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B04141"/>
          <w:sz w:val="22"/>
        </w:rPr>
        <w:t>CONFIDENTIAL - client engagement - Bram-only consulting record</w:t>
      </w:r>
    </w:p>
    <w:p>
      <w:pPr>
        <w:pStyle w:val="Title"/>
      </w:pPr>
      <w:r>
        <w:rPr>
          <w:color w:val="1C2842"/>
        </w:rPr>
        <w:t>Statement of Work - One-Time Qwen-2.5-VL Text-Stack Adapter</w:t>
      </w:r>
    </w:p>
    <w:p>
      <w:r>
        <w:rPr>
          <w:i/>
          <w:color w:val="606874"/>
        </w:rPr>
        <w:t>One-time engagement ahead of a paper deadline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Consultant</w:t>
            </w:r>
          </w:p>
        </w:tc>
        <w:tc>
          <w:tcPr>
            <w:tcW w:type="dxa" w:w="4320"/>
          </w:tcPr>
          <w:p>
            <w:r>
              <w:t>Bram Chen-Nakagawa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4320"/>
          </w:tcPr>
          <w:p>
            <w:r>
              <w:t>Dr. Nkechi Osunde-Ferrar (independent researcher / MATS scholar)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Client contact</w:t>
            </w:r>
          </w:p>
        </w:tc>
        <w:tc>
          <w:tcPr>
            <w:tcW w:type="dxa" w:w="4320"/>
          </w:tcPr>
          <w:p>
            <w:r>
              <w:t>nkechi.osunde@gmail.com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Engagement</w:t>
            </w:r>
          </w:p>
        </w:tc>
        <w:tc>
          <w:tcPr>
            <w:tcW w:type="dxa" w:w="4320"/>
          </w:tcPr>
          <w:p>
            <w:r>
              <w:t>One-time Qwen-2.5-VL text-stack adapter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Effort</w:t>
            </w:r>
          </w:p>
        </w:tc>
        <w:tc>
          <w:tcPr>
            <w:tcW w:type="dxa" w:w="4320"/>
          </w:tcPr>
          <w:p>
            <w:r>
              <w:t>6 hours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Rate</w:t>
            </w:r>
          </w:p>
        </w:tc>
        <w:tc>
          <w:tcPr>
            <w:tcW w:type="dxa" w:w="4320"/>
          </w:tcPr>
          <w:p>
            <w:r>
              <w:t>$145 / hour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Fee (net)</w:t>
            </w:r>
          </w:p>
        </w:tc>
        <w:tc>
          <w:tcPr>
            <w:tcW w:type="dxa" w:w="4320"/>
          </w:tcPr>
          <w:p>
            <w:r>
              <w:t>$870.00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Umsatzsteuer (19%)</w:t>
            </w:r>
          </w:p>
        </w:tc>
        <w:tc>
          <w:tcPr>
            <w:tcW w:type="dxa" w:w="4320"/>
          </w:tcPr>
          <w:p>
            <w:r>
              <w:t>$165.30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t>$1,035.30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Invoice</w:t>
            </w:r>
          </w:p>
        </w:tc>
        <w:tc>
          <w:tcPr>
            <w:tcW w:type="dxa" w:w="4320"/>
          </w:tcPr>
          <w:p>
            <w:r>
              <w:t>HB-2026-021, Net 15 via HelloBonsai</w:t>
            </w:r>
          </w:p>
        </w:tc>
      </w:tr>
    </w:tbl>
    <w:p>
      <w:pPr>
        <w:pStyle w:val="Heading1"/>
      </w:pPr>
      <w:r>
        <w:rPr>
          <w:color w:val="1C2842"/>
        </w:rPr>
        <w:t>1. Scope</w:t>
      </w:r>
    </w:p>
    <w:p>
      <w:r>
        <w:t>Deliver a Qwen-2.5-VL text-decoder adapter for HookedTransformer so the client can run SAE / HookedTransformer analysis on the language-model stack ahead of a paper deadline. Vision tower is out of scope (documented limitation). The adapter lands upstream as PR #1066 (v2.12.0); the code is public.</w:t>
      </w:r>
    </w:p>
    <w:p>
      <w:pPr>
        <w:pStyle w:val="Heading1"/>
      </w:pPr>
      <w:r>
        <w:rPr>
          <w:color w:val="1C2842"/>
        </w:rPr>
        <w:t>2. Deliverables</w:t>
      </w:r>
    </w:p>
    <w:p>
      <w:pPr>
        <w:pStyle w:val="ListBullet"/>
      </w:pPr>
      <w:r>
        <w:t>Text-stack weight-conversion adapter + acceptance test (float32 logits to 1e-4 abs).</w:t>
      </w:r>
    </w:p>
    <w:p>
      <w:pPr>
        <w:pStyle w:val="ListBullet"/>
      </w:pPr>
      <w:r>
        <w:t>Documented limitation: image-conditioned positions unsupported (text stack only).</w:t>
      </w:r>
    </w:p>
    <w:p>
      <w:pPr>
        <w:pStyle w:val="Heading1"/>
      </w:pPr>
      <w:r>
        <w:rPr>
          <w:color w:val="1C2842"/>
        </w:rPr>
        <w:t>3. Terms</w:t>
      </w:r>
    </w:p>
    <w:p>
      <w:r>
        <w:t>Net 15 via HelloBonsai with 19 percent Umsatzsteuer; paid via Wise. This is a Bram-only consulting record.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