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LTFF Milestone Report - Q1 2026 (DRAFT)</w:t>
      </w:r>
    </w:p>
    <w:p>
      <w:r>
        <w:rPr>
          <w:i/>
          <w:color w:val="606874"/>
        </w:rPr>
        <w:t>Working draft; Priya reviews for clarity and hyperbole before PDF export to Devante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Grantee</w:t>
            </w:r>
          </w:p>
        </w:tc>
        <w:tc>
          <w:tcPr>
            <w:tcW w:type="dxa" w:w="4320"/>
          </w:tcPr>
          <w:p>
            <w:r>
              <w:t>Bram Chen-Nakagawa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Funder</w:t>
            </w:r>
          </w:p>
        </w:tc>
        <w:tc>
          <w:tcPr>
            <w:tcW w:type="dxa" w:w="4320"/>
          </w:tcPr>
          <w:p>
            <w:r>
              <w:t>Long-Term Future Fund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Grant manager</w:t>
            </w:r>
          </w:p>
        </w:tc>
        <w:tc>
          <w:tcPr>
            <w:tcW w:type="dxa" w:w="4320"/>
          </w:tcPr>
          <w:p>
            <w:r>
              <w:t>Devante Kilmartin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4320"/>
          </w:tcPr>
          <w:p>
            <w:r>
              <w:t>2026-01-01 to 2026-03-31</w:t>
            </w:r>
          </w:p>
        </w:tc>
      </w:tr>
    </w:tbl>
    <w:p>
      <w:pPr>
        <w:pStyle w:val="Heading1"/>
      </w:pPr>
      <w:r>
        <w:rPr>
          <w:color w:val="1C2842"/>
        </w:rPr>
        <w:t>Summary</w:t>
      </w:r>
    </w:p>
    <w:p>
      <w:r>
        <w:t>Real, unrounded metrics for the period. In-scope maintenance and adapter breadth. No client attribution, no inflated claims (Priya review pass).</w:t>
      </w:r>
    </w:p>
    <w:p>
      <w:pPr>
        <w:pStyle w:val="Heading1"/>
      </w:pPr>
      <w:r>
        <w:rPr>
          <w:color w:val="1C2842"/>
        </w:rP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PRs merged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PyPI downloads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Scholar cited-by</w:t>
            </w:r>
          </w:p>
        </w:tc>
      </w:tr>
      <w:tr>
        <w:tc>
          <w:tcPr>
            <w:tcW w:type="dxa" w:w="2160"/>
          </w:tcPr>
          <w:p>
            <w:r>
              <w:t>Jan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182,400</w:t>
            </w:r>
          </w:p>
        </w:tc>
        <w:tc>
          <w:tcPr>
            <w:tcW w:type="dxa" w:w="2160"/>
          </w:tcPr>
          <w:p>
            <w:r>
              <w:t>524</w:t>
            </w:r>
          </w:p>
        </w:tc>
      </w:tr>
      <w:tr>
        <w:tc>
          <w:tcPr>
            <w:tcW w:type="dxa" w:w="2160"/>
          </w:tcPr>
          <w:p>
            <w:r>
              <w:t>Feb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191,200</w:t>
            </w:r>
          </w:p>
        </w:tc>
        <w:tc>
          <w:tcPr>
            <w:tcW w:type="dxa" w:w="2160"/>
          </w:tcPr>
          <w:p>
            <w:r>
              <w:t>538</w:t>
            </w:r>
          </w:p>
        </w:tc>
      </w:tr>
      <w:tr>
        <w:tc>
          <w:tcPr>
            <w:tcW w:type="dxa" w:w="2160"/>
          </w:tcPr>
          <w:p>
            <w:r>
              <w:t>Mar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205,800</w:t>
            </w:r>
          </w:p>
        </w:tc>
        <w:tc>
          <w:tcPr>
            <w:tcW w:type="dxa" w:w="2160"/>
          </w:tcPr>
          <w:p>
            <w:r>
              <w:t>556</w:t>
            </w:r>
          </w:p>
        </w:tc>
      </w:tr>
    </w:tbl>
    <w:p>
      <w:pPr>
        <w:pStyle w:val="Heading1"/>
      </w:pPr>
      <w:r>
        <w:rPr>
          <w:color w:val="1C2842"/>
        </w:rPr>
        <w:t>Adapters and releases</w:t>
      </w:r>
    </w:p>
    <w:p>
      <w:pPr>
        <w:pStyle w:val="ListBullet"/>
      </w:pPr>
      <w:r>
        <w:t>Qwen-2.5-VL text-stack (v2.12.0), Qwen-3 (v2.13.0), Mistral-Small-3 (v2.13.0, external, credited).</w:t>
      </w:r>
    </w:p>
    <w:p>
      <w:pPr>
        <w:pStyle w:val="ListBullet"/>
      </w:pPr>
      <w:r>
        <w:t>Releases v2.11.0 / v2.12.0 / v2.13.0 on cadence.</w:t>
      </w:r>
    </w:p>
    <w:p>
      <w:pPr>
        <w:pStyle w:val="Heading1"/>
      </w:pPr>
      <w:r>
        <w:rPr>
          <w:color w:val="1C2842"/>
        </w:rPr>
        <w:t>Review checklist (Priya)</w:t>
      </w:r>
    </w:p>
    <w:p>
      <w:pPr>
        <w:pStyle w:val="ListBullet"/>
      </w:pPr>
      <w:r>
        <w:t>No client named anywhere.</w:t>
      </w:r>
    </w:p>
    <w:p>
      <w:pPr>
        <w:pStyle w:val="ListBullet"/>
      </w:pPr>
      <w:r>
        <w:t>No embargoed security detail before the release.</w:t>
      </w:r>
    </w:p>
    <w:p>
      <w:pPr>
        <w:pStyle w:val="ListBullet"/>
      </w:pPr>
      <w:r>
        <w:t>Numbers match the metrics working file (unrounded).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