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LTFF Milestone Report - Q2 2026 (DRAFT)</w:t>
      </w:r>
    </w:p>
    <w:p>
      <w:r>
        <w:rPr>
          <w:i/>
          <w:color w:val="606874"/>
        </w:rPr>
        <w:t>Working draft; Priya reviews for clarity and hyperbole before PDF export to Devante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Grantee</w:t>
            </w:r>
          </w:p>
        </w:tc>
        <w:tc>
          <w:tcPr>
            <w:tcW w:type="dxa" w:w="4320"/>
          </w:tcPr>
          <w:p>
            <w:r>
              <w:t>Bram Chen-Nakagawa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Funder</w:t>
            </w:r>
          </w:p>
        </w:tc>
        <w:tc>
          <w:tcPr>
            <w:tcW w:type="dxa" w:w="4320"/>
          </w:tcPr>
          <w:p>
            <w:r>
              <w:t>Long-Term Future Fund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Grant manager</w:t>
            </w:r>
          </w:p>
        </w:tc>
        <w:tc>
          <w:tcPr>
            <w:tcW w:type="dxa" w:w="4320"/>
          </w:tcPr>
          <w:p>
            <w:r>
              <w:t>Devante Kilmartin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4320"/>
          </w:tcPr>
          <w:p>
            <w:r>
              <w:t>2026-04-01 to 2026-06-30</w:t>
            </w:r>
          </w:p>
        </w:tc>
      </w:tr>
    </w:tbl>
    <w:p>
      <w:pPr>
        <w:pStyle w:val="Heading1"/>
      </w:pPr>
      <w:r>
        <w:rPr>
          <w:color w:val="1C2842"/>
        </w:rPr>
        <w:t>Summary</w:t>
      </w:r>
    </w:p>
    <w:p>
      <w:r>
        <w:t>Real, unrounded metrics for the period. In-scope maintenance and adapter breadth. No client attribution, no inflated claims (Priya review pass).</w:t>
      </w:r>
    </w:p>
    <w:p>
      <w:pPr>
        <w:pStyle w:val="Heading1"/>
      </w:pPr>
      <w:r>
        <w:rPr>
          <w:color w:val="1C2842"/>
        </w:rP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PRs merged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PyPI downloads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Scholar cited-by</w:t>
            </w:r>
          </w:p>
        </w:tc>
      </w:tr>
      <w:tr>
        <w:tc>
          <w:tcPr>
            <w:tcW w:type="dxa" w:w="2160"/>
          </w:tcPr>
          <w:p>
            <w:r>
              <w:t>Apr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224,500</w:t>
            </w:r>
          </w:p>
        </w:tc>
        <w:tc>
          <w:tcPr>
            <w:tcW w:type="dxa" w:w="2160"/>
          </w:tcPr>
          <w:p>
            <w:r>
              <w:t>571</w:t>
            </w:r>
          </w:p>
        </w:tc>
      </w:tr>
      <w:tr>
        <w:tc>
          <w:tcPr>
            <w:tcW w:type="dxa" w:w="2160"/>
          </w:tcPr>
          <w:p>
            <w:r>
              <w:t>May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248,900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Jun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263,100</w:t>
            </w:r>
          </w:p>
        </w:tc>
        <w:tc>
          <w:tcPr>
            <w:tcW w:type="dxa" w:w="2160"/>
          </w:tcPr>
          <w:p>
            <w:r>
              <w:t>611</w:t>
            </w:r>
          </w:p>
        </w:tc>
      </w:tr>
    </w:tbl>
    <w:p>
      <w:pPr>
        <w:pStyle w:val="Heading1"/>
      </w:pPr>
      <w:r>
        <w:rPr>
          <w:color w:val="1C2842"/>
        </w:rPr>
        <w:t>Adapters and releases</w:t>
      </w:r>
    </w:p>
    <w:p>
      <w:pPr>
        <w:pStyle w:val="ListBullet"/>
      </w:pPr>
      <w:r>
        <w:t>LLaMA-4 (v2.14.0) with a shared scaled-RoPE helper; Gemma-3 (v2.16.0).</w:t>
      </w:r>
    </w:p>
    <w:p>
      <w:pPr>
        <w:pStyle w:val="ListBullet"/>
      </w:pPr>
      <w:r>
        <w:t>Releases v2.14.0 / v2.15.0 / v2.16.0 on cadence; one security advisory disclosed with v2.16.0.</w:t>
      </w:r>
    </w:p>
    <w:p>
      <w:pPr>
        <w:pStyle w:val="Heading1"/>
      </w:pPr>
      <w:r>
        <w:rPr>
          <w:color w:val="1C2842"/>
        </w:rPr>
        <w:t>Honest note</w:t>
      </w:r>
    </w:p>
    <w:p>
      <w:r>
        <w:t>Gemma-3 shipped in v2.16.0 with a norm-eps error caught inside the 48h monitoring window (#1121) and hotfixed in v2.16.1. Reported, not smoothed over.</w:t>
      </w:r>
    </w:p>
    <w:p>
      <w:pPr>
        <w:pStyle w:val="Heading1"/>
      </w:pPr>
      <w:r>
        <w:rPr>
          <w:color w:val="1C2842"/>
        </w:rPr>
        <w:t>Review checklist (Priya)</w:t>
      </w:r>
    </w:p>
    <w:p>
      <w:pPr>
        <w:pStyle w:val="ListBullet"/>
      </w:pPr>
      <w:r>
        <w:t>No client named anywhere.</w:t>
      </w:r>
    </w:p>
    <w:p>
      <w:pPr>
        <w:pStyle w:val="ListBullet"/>
      </w:pPr>
      <w:r>
        <w:t>No embargoed security detail before the release.</w:t>
      </w:r>
    </w:p>
    <w:p>
      <w:pPr>
        <w:pStyle w:val="ListBullet"/>
      </w:pPr>
      <w:r>
        <w:t>Numbers match the metrics working file (unrounded).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