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C2842"/>
        </w:rPr>
        <w:t>LTFF Renewal Narrative (DRAFT)</w:t>
      </w:r>
    </w:p>
    <w:p>
      <w:r>
        <w:rPr>
          <w:i/>
          <w:color w:val="606874"/>
        </w:rPr>
        <w:t>Prose narrative accompanying the renewal budget</w:t>
      </w:r>
    </w:p>
    <w:p>
      <w:pPr>
        <w:pStyle w:val="Heading1"/>
      </w:pPr>
      <w:r>
        <w:rPr>
          <w:color w:val="1C2842"/>
        </w:rPr>
        <w:t>Impact narrative</w:t>
      </w:r>
    </w:p>
    <w:p>
      <w:r>
        <w:t>TransformerLens is the standard tooling layer for mechanistic interpretability research. Over the prior period it sustained a monthly release cadence, broadened model-adapter coverage across the major public families, held a 72h PR / 5-business-day issue SLA, and handled a security-adjacent report through coordinated responsible disclosure. Downloads and citations grew steadily (see the metrics working file).</w:t>
      </w:r>
    </w:p>
    <w:p>
      <w:pPr>
        <w:pStyle w:val="Heading1"/>
      </w:pPr>
      <w:r>
        <w:rPr>
          <w:color w:val="1C2842"/>
        </w:rPr>
        <w:t>Why continued funding</w:t>
      </w:r>
    </w:p>
    <w:p>
      <w:pPr>
        <w:pStyle w:val="ListBullet"/>
      </w:pPr>
      <w:r>
        <w:t>Adapter breadth must track a fast-moving field; each new public family needs a tested conversion table.</w:t>
      </w:r>
    </w:p>
    <w:p>
      <w:pPr>
        <w:pStyle w:val="ListBullet"/>
      </w:pPr>
      <w:r>
        <w:t>The hook surface and ActivationCache need careful, peer-reviewed maintenance.</w:t>
      </w:r>
    </w:p>
    <w:p>
      <w:pPr>
        <w:pStyle w:val="ListBullet"/>
      </w:pPr>
      <w:r>
        <w:t>Reliable releases and triage are what downstream researchers depend on.</w:t>
      </w:r>
    </w:p>
    <w:p>
      <w:pPr>
        <w:pStyle w:val="Heading1"/>
      </w:pPr>
      <w:r>
        <w:rPr>
          <w:color w:val="1C2842"/>
        </w:rPr>
        <w:t>Stewardship</w:t>
      </w:r>
    </w:p>
    <w:p>
      <w:r>
        <w:t>Funds are used only for the stated scope; the grant is a separate ledger from the consulting practice; metrics are reported honestly, including slips.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