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Onboarding - New Core Maintainer</w:t>
      </w:r>
    </w:p>
    <w:p>
      <w:r>
        <w:rPr>
          <w:i/>
          <w:color w:val="606874"/>
        </w:rPr>
        <w:t>How the TransformerLensOrg maintainer team works</w:t>
      </w:r>
    </w:p>
    <w:p>
      <w:pPr>
        <w:pStyle w:val="Heading1"/>
      </w:pPr>
      <w:r>
        <w:rPr>
          <w:color w:val="1C2842"/>
        </w:rPr>
        <w:t>The org</w:t>
      </w:r>
    </w:p>
    <w:p>
      <w:r>
        <w:t>TransformerLensOrg is a peer community org. Four core maintainers with area ownership and no reporting line; nobody is anyone's boss. Merge authority: approve + merge to main in your owned area on green CI. Cross-cutting changes (API break, dependency bump) need a +1 from at least one other core maintainer.</w:t>
      </w:r>
    </w:p>
    <w:p>
      <w:pPr>
        <w:pStyle w:val="Heading1"/>
      </w:pPr>
      <w:r>
        <w:rPr>
          <w:color w:val="1C2842"/>
        </w:rPr>
        <w:t>The four areas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maintainer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Bram Chen-Nakagawa</w:t>
            </w:r>
          </w:p>
        </w:tc>
        <w:tc>
          <w:tcPr>
            <w:tcW w:type="dxa" w:w="2880"/>
          </w:tcPr>
          <w:p>
            <w:r>
              <w:t>model adapters, releases, triage owner, adapter docs</w:t>
            </w:r>
          </w:p>
        </w:tc>
        <w:tc>
          <w:tcPr>
            <w:tcW w:type="dxa" w:w="2880"/>
          </w:tcPr>
          <w:p>
            <w:r>
              <w:t>Berlin</w:t>
            </w:r>
          </w:p>
        </w:tc>
      </w:tr>
      <w:tr>
        <w:tc>
          <w:tcPr>
            <w:tcW w:type="dxa" w:w="2880"/>
          </w:tcPr>
          <w:p>
            <w:r>
              <w:t>Rehan Ojo-Bergsdottir</w:t>
            </w:r>
          </w:p>
        </w:tc>
        <w:tc>
          <w:tcPr>
            <w:tcW w:type="dxa" w:w="2880"/>
          </w:tcPr>
          <w:p>
            <w:r>
              <w:t>training / gradient hooks; usual +1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</w:tr>
      <w:tr>
        <w:tc>
          <w:tcPr>
            <w:tcW w:type="dxa" w:w="2880"/>
          </w:tcPr>
          <w:p>
            <w:r>
              <w:t>Priya Alameda-Vasquez</w:t>
            </w:r>
          </w:p>
        </w:tc>
        <w:tc>
          <w:tcPr>
            <w:tcW w:type="dxa" w:w="2880"/>
          </w:tcPr>
          <w:p>
            <w:r>
              <w:t>docs platform, tutorials, demo notebooks</w:t>
            </w:r>
          </w:p>
        </w:tc>
        <w:tc>
          <w:tcPr>
            <w:tcW w:type="dxa" w:w="2880"/>
          </w:tcPr>
          <w:p>
            <w:r>
              <w:t>Bay Area</w:t>
            </w:r>
          </w:p>
        </w:tc>
      </w:tr>
      <w:tr>
        <w:tc>
          <w:tcPr>
            <w:tcW w:type="dxa" w:w="2880"/>
          </w:tcPr>
          <w:p>
            <w:r>
              <w:t>Yusuke Papadakis-Nkomo</w:t>
            </w:r>
          </w:p>
        </w:tc>
        <w:tc>
          <w:tcPr>
            <w:tcW w:type="dxa" w:w="2880"/>
          </w:tcPr>
          <w:p>
            <w:r>
              <w:t>CI, tests, acceptance suite; security contact</w:t>
            </w:r>
          </w:p>
        </w:tc>
        <w:tc>
          <w:tcPr>
            <w:tcW w:type="dxa" w:w="2880"/>
          </w:tcPr>
          <w:p>
            <w:r>
              <w:t>Tokyo</w:t>
            </w:r>
          </w:p>
        </w:tc>
      </w:tr>
    </w:tbl>
    <w:p>
      <w:pPr>
        <w:pStyle w:val="Heading1"/>
      </w:pPr>
      <w:r>
        <w:rPr>
          <w:color w:val="1C2842"/>
        </w:rPr>
        <w:t>Rhythm</w:t>
      </w:r>
    </w:p>
    <w:p>
      <w:pPr>
        <w:pStyle w:val="ListBullet"/>
      </w:pPr>
      <w:r>
        <w:t>Weekly maintainer sync: Tuesday 17:00 Berlin (Zoom), 30 min, PR-board screen-share; action items to the maintainer email thread.</w:t>
      </w:r>
    </w:p>
    <w:p>
      <w:pPr>
        <w:pStyle w:val="ListBullet"/>
      </w:pPr>
      <w:r>
        <w:t>Monthly release: last Thursday, after a green Wednesday demo sweep + green CI.</w:t>
      </w:r>
    </w:p>
    <w:p>
      <w:pPr>
        <w:pStyle w:val="ListBullet"/>
      </w:pPr>
      <w:r>
        <w:t>Triage SLA: 72h on PRs, 5 business days on issues. Real responses, not hollow labels.</w:t>
      </w:r>
    </w:p>
    <w:p>
      <w:pPr>
        <w:pStyle w:val="Heading1"/>
      </w:pPr>
      <w:r>
        <w:rPr>
          <w:color w:val="1C2842"/>
        </w:rPr>
        <w:t>Non-negotiables</w:t>
      </w:r>
    </w:p>
    <w:p>
      <w:pPr>
        <w:pStyle w:val="ListBullet"/>
      </w:pPr>
      <w:r>
        <w:t>Every model-adapter PR ships a weight-conversion test (float32 logits to 1e-4 abs).</w:t>
      </w:r>
    </w:p>
    <w:p>
      <w:pPr>
        <w:pStyle w:val="ListBullet"/>
      </w:pPr>
      <w:r>
        <w:t>Permissive (MIT-compatible) dependencies only; no GPL; no dependency bump in a patch.</w:t>
      </w:r>
    </w:p>
    <w:p>
      <w:pPr>
        <w:pStyle w:val="ListBullet"/>
      </w:pPr>
      <w:r>
        <w:t>Security-adjacent reports go to a private advisory + Yusuke; embargo until coordinated release.</w:t>
      </w:r>
    </w:p>
    <w:p>
      <w:pPr>
        <w:pStyle w:val="ListBullet"/>
      </w:pPr>
      <w:r>
        <w:t>No LLM-generated code merged without human review and rewrite.</w:t>
      </w:r>
    </w:p>
    <w:p>
      <w:pPr>
        <w:pStyle w:val="ListBullet"/>
      </w:pPr>
      <w:r>
        <w:t>Published weights + architecture only; adapters land upstream; no private forks; no training loops.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