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F5E74" w14:textId="77777777" w:rsidR="00B27DB1" w:rsidRPr="00B27DB1" w:rsidRDefault="00B27DB1" w:rsidP="00B27DB1">
      <w:pPr>
        <w:ind w:firstLine="708"/>
        <w:jc w:val="center"/>
        <w:rPr>
          <w:rFonts w:ascii="Times New Roman" w:hAnsi="Times New Roman" w:cs="Times New Roman"/>
          <w:b/>
          <w:bCs/>
        </w:rPr>
      </w:pPr>
      <w:r w:rsidRPr="00B27DB1">
        <w:rPr>
          <w:rFonts w:ascii="Times New Roman" w:hAnsi="Times New Roman" w:cs="Times New Roman"/>
          <w:b/>
          <w:bCs/>
        </w:rPr>
        <w:t>Re-</w:t>
      </w:r>
      <w:proofErr w:type="spellStart"/>
      <w:r w:rsidRPr="00B27DB1">
        <w:rPr>
          <w:rFonts w:ascii="Times New Roman" w:hAnsi="Times New Roman" w:cs="Times New Roman"/>
          <w:b/>
          <w:bCs/>
        </w:rPr>
        <w:t>Evaluating</w:t>
      </w:r>
      <w:proofErr w:type="spellEnd"/>
      <w:r w:rsidRPr="00B27DB1">
        <w:rPr>
          <w:rFonts w:ascii="Times New Roman" w:hAnsi="Times New Roman" w:cs="Times New Roman"/>
          <w:b/>
          <w:bCs/>
        </w:rPr>
        <w:t xml:space="preserve"> </w:t>
      </w:r>
      <w:proofErr w:type="spellStart"/>
      <w:r w:rsidRPr="00B27DB1">
        <w:rPr>
          <w:rFonts w:ascii="Times New Roman" w:hAnsi="Times New Roman" w:cs="Times New Roman"/>
          <w:b/>
          <w:bCs/>
        </w:rPr>
        <w:t>Phonetic-Phonological</w:t>
      </w:r>
      <w:proofErr w:type="spellEnd"/>
      <w:r w:rsidRPr="00B27DB1">
        <w:rPr>
          <w:rFonts w:ascii="Times New Roman" w:hAnsi="Times New Roman" w:cs="Times New Roman"/>
          <w:b/>
          <w:bCs/>
        </w:rPr>
        <w:t xml:space="preserve"> </w:t>
      </w:r>
      <w:proofErr w:type="spellStart"/>
      <w:r w:rsidRPr="00B27DB1">
        <w:rPr>
          <w:rFonts w:ascii="Times New Roman" w:hAnsi="Times New Roman" w:cs="Times New Roman"/>
          <w:b/>
          <w:bCs/>
        </w:rPr>
        <w:t>Representations</w:t>
      </w:r>
      <w:proofErr w:type="spellEnd"/>
      <w:r w:rsidRPr="00B27DB1">
        <w:rPr>
          <w:rFonts w:ascii="Times New Roman" w:hAnsi="Times New Roman" w:cs="Times New Roman"/>
          <w:b/>
          <w:bCs/>
        </w:rPr>
        <w:t xml:space="preserve"> in </w:t>
      </w:r>
      <w:proofErr w:type="spellStart"/>
      <w:r w:rsidRPr="00B27DB1">
        <w:rPr>
          <w:rFonts w:ascii="Times New Roman" w:hAnsi="Times New Roman" w:cs="Times New Roman"/>
          <w:b/>
          <w:bCs/>
        </w:rPr>
        <w:t>the</w:t>
      </w:r>
      <w:proofErr w:type="spellEnd"/>
      <w:r w:rsidRPr="00B27DB1">
        <w:rPr>
          <w:rFonts w:ascii="Times New Roman" w:hAnsi="Times New Roman" w:cs="Times New Roman"/>
          <w:b/>
          <w:bCs/>
        </w:rPr>
        <w:t xml:space="preserve"> </w:t>
      </w:r>
      <w:proofErr w:type="spellStart"/>
      <w:r w:rsidRPr="00B27DB1">
        <w:rPr>
          <w:rFonts w:ascii="Times New Roman" w:hAnsi="Times New Roman" w:cs="Times New Roman"/>
          <w:b/>
          <w:bCs/>
        </w:rPr>
        <w:t>Early</w:t>
      </w:r>
      <w:proofErr w:type="spellEnd"/>
      <w:r w:rsidRPr="00B27DB1">
        <w:rPr>
          <w:rFonts w:ascii="Times New Roman" w:hAnsi="Times New Roman" w:cs="Times New Roman"/>
          <w:b/>
          <w:bCs/>
        </w:rPr>
        <w:t xml:space="preserve"> </w:t>
      </w:r>
      <w:proofErr w:type="spellStart"/>
      <w:r w:rsidRPr="00B27DB1">
        <w:rPr>
          <w:rFonts w:ascii="Times New Roman" w:hAnsi="Times New Roman" w:cs="Times New Roman"/>
          <w:b/>
          <w:bCs/>
        </w:rPr>
        <w:t>Bilingual</w:t>
      </w:r>
      <w:proofErr w:type="spellEnd"/>
      <w:r w:rsidRPr="00B27DB1">
        <w:rPr>
          <w:rFonts w:ascii="Times New Roman" w:hAnsi="Times New Roman" w:cs="Times New Roman"/>
          <w:b/>
          <w:bCs/>
        </w:rPr>
        <w:t xml:space="preserve"> </w:t>
      </w:r>
      <w:proofErr w:type="spellStart"/>
      <w:r w:rsidRPr="00B27DB1">
        <w:rPr>
          <w:rFonts w:ascii="Times New Roman" w:hAnsi="Times New Roman" w:cs="Times New Roman"/>
          <w:b/>
          <w:bCs/>
        </w:rPr>
        <w:t>Mind</w:t>
      </w:r>
      <w:proofErr w:type="spellEnd"/>
      <w:r w:rsidRPr="00B27DB1">
        <w:rPr>
          <w:rFonts w:ascii="Times New Roman" w:hAnsi="Times New Roman" w:cs="Times New Roman"/>
          <w:b/>
          <w:bCs/>
        </w:rPr>
        <w:t xml:space="preserve">: </w:t>
      </w:r>
      <w:proofErr w:type="spellStart"/>
      <w:r w:rsidRPr="00B27DB1">
        <w:rPr>
          <w:rFonts w:ascii="Times New Roman" w:hAnsi="Times New Roman" w:cs="Times New Roman"/>
          <w:b/>
          <w:bCs/>
        </w:rPr>
        <w:t>The</w:t>
      </w:r>
      <w:proofErr w:type="spellEnd"/>
      <w:r w:rsidRPr="00B27DB1">
        <w:rPr>
          <w:rFonts w:ascii="Times New Roman" w:hAnsi="Times New Roman" w:cs="Times New Roman"/>
          <w:b/>
          <w:bCs/>
        </w:rPr>
        <w:t xml:space="preserve"> </w:t>
      </w:r>
      <w:proofErr w:type="spellStart"/>
      <w:r w:rsidRPr="00B27DB1">
        <w:rPr>
          <w:rFonts w:ascii="Times New Roman" w:hAnsi="Times New Roman" w:cs="Times New Roman"/>
          <w:b/>
          <w:bCs/>
        </w:rPr>
        <w:t>Case</w:t>
      </w:r>
      <w:proofErr w:type="spellEnd"/>
      <w:r w:rsidRPr="00B27DB1">
        <w:rPr>
          <w:rFonts w:ascii="Times New Roman" w:hAnsi="Times New Roman" w:cs="Times New Roman"/>
          <w:b/>
          <w:bCs/>
        </w:rPr>
        <w:t xml:space="preserve"> of Catalan </w:t>
      </w:r>
      <w:proofErr w:type="spellStart"/>
      <w:r w:rsidRPr="00B27DB1">
        <w:rPr>
          <w:rFonts w:ascii="Times New Roman" w:hAnsi="Times New Roman" w:cs="Times New Roman"/>
          <w:b/>
          <w:bCs/>
        </w:rPr>
        <w:t>Mid</w:t>
      </w:r>
      <w:proofErr w:type="spellEnd"/>
      <w:r w:rsidRPr="00B27DB1">
        <w:rPr>
          <w:rFonts w:ascii="Times New Roman" w:hAnsi="Times New Roman" w:cs="Times New Roman"/>
          <w:b/>
          <w:bCs/>
        </w:rPr>
        <w:t xml:space="preserve"> </w:t>
      </w:r>
      <w:proofErr w:type="spellStart"/>
      <w:r w:rsidRPr="00B27DB1">
        <w:rPr>
          <w:rFonts w:ascii="Times New Roman" w:hAnsi="Times New Roman" w:cs="Times New Roman"/>
          <w:b/>
          <w:bCs/>
        </w:rPr>
        <w:t>Vowels</w:t>
      </w:r>
      <w:proofErr w:type="spellEnd"/>
    </w:p>
    <w:p w14:paraId="7F3EB74E" w14:textId="0F3D73C7" w:rsidR="003B7777" w:rsidRDefault="003B7777" w:rsidP="00E93DCB">
      <w:pPr>
        <w:ind w:firstLine="708"/>
        <w:jc w:val="both"/>
        <w:rPr>
          <w:rFonts w:ascii="Times New Roman" w:hAnsi="Times New Roman" w:cs="Times New Roman"/>
          <w:lang w:val="es-ES"/>
        </w:rPr>
      </w:pPr>
      <w:r w:rsidRPr="00686536">
        <w:rPr>
          <w:rFonts w:ascii="Times New Roman" w:hAnsi="Times New Roman" w:cs="Times New Roman"/>
          <w:lang w:val="es-ES"/>
        </w:rPr>
        <w:t>Gemma Repiso Puigdelliura (</w:t>
      </w:r>
      <w:proofErr w:type="spellStart"/>
      <w:r w:rsidRPr="00686536">
        <w:rPr>
          <w:rFonts w:ascii="Times New Roman" w:hAnsi="Times New Roman" w:cs="Times New Roman"/>
          <w:i/>
          <w:iCs/>
          <w:lang w:val="es-ES"/>
        </w:rPr>
        <w:t>Universitat</w:t>
      </w:r>
      <w:proofErr w:type="spellEnd"/>
      <w:r w:rsidRPr="00686536">
        <w:rPr>
          <w:rFonts w:ascii="Times New Roman" w:hAnsi="Times New Roman" w:cs="Times New Roman"/>
          <w:i/>
          <w:iCs/>
          <w:lang w:val="es-ES"/>
        </w:rPr>
        <w:t xml:space="preserve"> </w:t>
      </w:r>
      <w:proofErr w:type="spellStart"/>
      <w:r w:rsidRPr="00686536">
        <w:rPr>
          <w:rFonts w:ascii="Times New Roman" w:hAnsi="Times New Roman" w:cs="Times New Roman"/>
          <w:i/>
          <w:iCs/>
          <w:lang w:val="es-ES"/>
        </w:rPr>
        <w:t>Autònoma</w:t>
      </w:r>
      <w:proofErr w:type="spellEnd"/>
      <w:r w:rsidRPr="00686536">
        <w:rPr>
          <w:rFonts w:ascii="Times New Roman" w:hAnsi="Times New Roman" w:cs="Times New Roman"/>
          <w:i/>
          <w:iCs/>
          <w:lang w:val="es-ES"/>
        </w:rPr>
        <w:t xml:space="preserve"> de Barcelona</w:t>
      </w:r>
      <w:r w:rsidRPr="00686536">
        <w:rPr>
          <w:rFonts w:ascii="Times New Roman" w:hAnsi="Times New Roman" w:cs="Times New Roman"/>
          <w:lang w:val="es-ES"/>
        </w:rPr>
        <w:t>)</w:t>
      </w:r>
    </w:p>
    <w:p w14:paraId="14D3632C" w14:textId="59A48CC3" w:rsidR="00E00745" w:rsidRPr="00E00745" w:rsidRDefault="00E00745" w:rsidP="00E00745">
      <w:pPr>
        <w:jc w:val="both"/>
        <w:rPr>
          <w:rFonts w:ascii="Times New Roman" w:hAnsi="Times New Roman" w:cs="Times New Roman"/>
          <w:lang w:val="en-US"/>
        </w:rPr>
      </w:pPr>
      <w:r>
        <w:rPr>
          <w:rFonts w:ascii="Times New Roman" w:hAnsi="Times New Roman" w:cs="Times New Roman"/>
          <w:lang w:val="en-US"/>
        </w:rPr>
        <w:t xml:space="preserve">Keywords: </w:t>
      </w:r>
      <w:r w:rsidRPr="00E00745">
        <w:rPr>
          <w:rFonts w:ascii="Times New Roman" w:hAnsi="Times New Roman" w:cs="Times New Roman"/>
          <w:lang w:val="en-US"/>
        </w:rPr>
        <w:t xml:space="preserve">Early bilingualism; Speech perception; </w:t>
      </w:r>
      <w:proofErr w:type="spellStart"/>
      <w:r w:rsidRPr="00E00745">
        <w:rPr>
          <w:rFonts w:ascii="Times New Roman" w:hAnsi="Times New Roman" w:cs="Times New Roman"/>
          <w:lang w:val="en-US"/>
        </w:rPr>
        <w:t>Phonolexical</w:t>
      </w:r>
      <w:proofErr w:type="spellEnd"/>
      <w:r w:rsidRPr="00E00745">
        <w:rPr>
          <w:rFonts w:ascii="Times New Roman" w:hAnsi="Times New Roman" w:cs="Times New Roman"/>
          <w:lang w:val="en-US"/>
        </w:rPr>
        <w:t xml:space="preserve"> representations; Language mode; Language dominance; Catalan mid-vowels; Prelexical discrimination; Mispronunciation tolerance; Input adaptation.</w:t>
      </w:r>
    </w:p>
    <w:p w14:paraId="583464ED" w14:textId="77777777" w:rsidR="009C5349" w:rsidRDefault="009C5349" w:rsidP="00B24EEC">
      <w:pPr>
        <w:jc w:val="both"/>
        <w:rPr>
          <w:rFonts w:ascii="Times New Roman" w:hAnsi="Times New Roman" w:cs="Times New Roman"/>
          <w:lang w:val="en-US"/>
        </w:rPr>
      </w:pPr>
    </w:p>
    <w:p w14:paraId="3B89C472" w14:textId="6D10C604" w:rsidR="00B24EEC" w:rsidRPr="00B9080E" w:rsidRDefault="00B24EEC" w:rsidP="00B24EEC">
      <w:pPr>
        <w:jc w:val="both"/>
        <w:rPr>
          <w:rFonts w:ascii="Times New Roman" w:hAnsi="Times New Roman" w:cs="Times New Roman"/>
          <w:lang w:val="en-US"/>
        </w:rPr>
      </w:pPr>
      <w:r w:rsidRPr="00B9080E">
        <w:rPr>
          <w:rFonts w:ascii="Times New Roman" w:hAnsi="Times New Roman" w:cs="Times New Roman"/>
          <w:lang w:val="en-US"/>
        </w:rPr>
        <w:t xml:space="preserve">Early bilinguals are defined as speakers who receive regular, continuous exposure to two languages during early childhood, acquiring them either simultaneously from birth or sequentially during their preschool years. Unlike late second-language (L2) learners, who acquire an additional language after their L1 system has already stabilized, early bilinguals construct two language systems simultaneously during </w:t>
      </w:r>
      <w:r w:rsidR="002671C5">
        <w:rPr>
          <w:rFonts w:ascii="Times New Roman" w:hAnsi="Times New Roman" w:cs="Times New Roman"/>
          <w:lang w:val="en-US"/>
        </w:rPr>
        <w:t xml:space="preserve">linguistic </w:t>
      </w:r>
      <w:r w:rsidRPr="00B9080E">
        <w:rPr>
          <w:rFonts w:ascii="Times New Roman" w:hAnsi="Times New Roman" w:cs="Times New Roman"/>
          <w:lang w:val="en-US"/>
        </w:rPr>
        <w:t xml:space="preserve">development. However, an early age of initial exposure alone does not guarantee balanced </w:t>
      </w:r>
      <w:r w:rsidR="002671C5">
        <w:rPr>
          <w:rFonts w:ascii="Times New Roman" w:hAnsi="Times New Roman" w:cs="Times New Roman"/>
          <w:lang w:val="en-US"/>
        </w:rPr>
        <w:t>dominance</w:t>
      </w:r>
      <w:r w:rsidRPr="00B9080E">
        <w:rPr>
          <w:rFonts w:ascii="Times New Roman" w:hAnsi="Times New Roman" w:cs="Times New Roman"/>
          <w:lang w:val="en-US"/>
        </w:rPr>
        <w:t>. Instead, early bilingual grammars remain highly dynamic across the lifespan, continually shaped by cumulative daily exposure, language dominance, and context-dependent language modes.</w:t>
      </w:r>
    </w:p>
    <w:p w14:paraId="2F4225BA" w14:textId="2376E559" w:rsidR="00B24EEC" w:rsidRPr="00B9080E" w:rsidRDefault="00B24EEC" w:rsidP="00B24EEC">
      <w:pPr>
        <w:jc w:val="both"/>
        <w:rPr>
          <w:rFonts w:ascii="Times New Roman" w:hAnsi="Times New Roman" w:cs="Times New Roman"/>
          <w:lang w:val="en-US"/>
        </w:rPr>
      </w:pPr>
      <w:r w:rsidRPr="00B9080E">
        <w:rPr>
          <w:rFonts w:ascii="Times New Roman" w:hAnsi="Times New Roman" w:cs="Times New Roman"/>
          <w:lang w:val="en-US"/>
        </w:rPr>
        <w:t>Building upon multi-tier phonetic-phonological models</w:t>
      </w:r>
      <w:r w:rsidR="00B9080E" w:rsidRPr="00B9080E">
        <w:rPr>
          <w:rFonts w:ascii="Times New Roman" w:hAnsi="Times New Roman" w:cs="Times New Roman"/>
          <w:lang w:val="en-US"/>
        </w:rPr>
        <w:t xml:space="preserve">, </w:t>
      </w:r>
      <w:r w:rsidRPr="00B9080E">
        <w:rPr>
          <w:rFonts w:ascii="Times New Roman" w:hAnsi="Times New Roman" w:cs="Times New Roman"/>
          <w:lang w:val="en-US"/>
        </w:rPr>
        <w:t>including the Bidirectional Phonology and Phonetics model (Boersma, 2007, 2011; Boersma &amp; Hamann, 2009), the Language Mode Framework (Grosjean, 1998, 2001, 2008), and the Speech Learning Model (Flege, 1995; Flege &amp; Bohn, 202</w:t>
      </w:r>
      <w:r w:rsidR="00410859">
        <w:rPr>
          <w:rFonts w:ascii="Times New Roman" w:hAnsi="Times New Roman" w:cs="Times New Roman"/>
          <w:lang w:val="en-US"/>
        </w:rPr>
        <w:t>1</w:t>
      </w:r>
      <w:r w:rsidRPr="00B9080E">
        <w:rPr>
          <w:rFonts w:ascii="Times New Roman" w:hAnsi="Times New Roman" w:cs="Times New Roman"/>
          <w:lang w:val="en-US"/>
        </w:rPr>
        <w:t>)</w:t>
      </w:r>
      <w:r w:rsidR="003F20B3">
        <w:rPr>
          <w:rFonts w:ascii="Times New Roman" w:hAnsi="Times New Roman" w:cs="Times New Roman"/>
          <w:lang w:val="en-US"/>
        </w:rPr>
        <w:t xml:space="preserve">, </w:t>
      </w:r>
      <w:r w:rsidRPr="00B9080E">
        <w:rPr>
          <w:rFonts w:ascii="Times New Roman" w:hAnsi="Times New Roman" w:cs="Times New Roman"/>
          <w:lang w:val="en-US"/>
        </w:rPr>
        <w:t xml:space="preserve">this research investigates how </w:t>
      </w:r>
      <w:r w:rsidR="003F20B3">
        <w:rPr>
          <w:rFonts w:ascii="Times New Roman" w:hAnsi="Times New Roman" w:cs="Times New Roman"/>
          <w:lang w:val="en-US"/>
        </w:rPr>
        <w:t>prelexical perception and</w:t>
      </w:r>
      <w:r w:rsidRPr="00B9080E">
        <w:rPr>
          <w:rFonts w:ascii="Times New Roman" w:hAnsi="Times New Roman" w:cs="Times New Roman"/>
          <w:lang w:val="en-US"/>
        </w:rPr>
        <w:t xml:space="preserve"> </w:t>
      </w:r>
      <w:proofErr w:type="spellStart"/>
      <w:r w:rsidRPr="00B9080E">
        <w:rPr>
          <w:rFonts w:ascii="Times New Roman" w:hAnsi="Times New Roman" w:cs="Times New Roman"/>
          <w:lang w:val="en-US"/>
        </w:rPr>
        <w:t>phonolexical</w:t>
      </w:r>
      <w:proofErr w:type="spellEnd"/>
      <w:r w:rsidRPr="00B9080E">
        <w:rPr>
          <w:rFonts w:ascii="Times New Roman" w:hAnsi="Times New Roman" w:cs="Times New Roman"/>
          <w:lang w:val="en-US"/>
        </w:rPr>
        <w:t xml:space="preserve"> representations interact in the </w:t>
      </w:r>
      <w:r w:rsidR="006855C7">
        <w:rPr>
          <w:rFonts w:ascii="Times New Roman" w:hAnsi="Times New Roman" w:cs="Times New Roman"/>
          <w:lang w:val="en-US"/>
        </w:rPr>
        <w:t xml:space="preserve">early </w:t>
      </w:r>
      <w:r w:rsidRPr="00B9080E">
        <w:rPr>
          <w:rFonts w:ascii="Times New Roman" w:hAnsi="Times New Roman" w:cs="Times New Roman"/>
          <w:lang w:val="en-US"/>
        </w:rPr>
        <w:t>bilingual mind. The Catalan front mid-vowel contrast (/e/–/ɛ/) across the Barcelona metropolitan area serves as the ideal empirical testbed. Because this contrast is present in Catalan but absent in Spanish, it provides a unique window into how sound contrasts are represented, perceived, and stored within a bilingual phonetic-phonological system.</w:t>
      </w:r>
    </w:p>
    <w:p w14:paraId="17AE2205" w14:textId="77777777" w:rsidR="00B24EEC" w:rsidRPr="00B9080E" w:rsidRDefault="00B24EEC" w:rsidP="00B24EEC">
      <w:pPr>
        <w:jc w:val="both"/>
        <w:rPr>
          <w:rFonts w:ascii="Times New Roman" w:hAnsi="Times New Roman" w:cs="Times New Roman"/>
          <w:lang w:val="en-US"/>
        </w:rPr>
      </w:pPr>
      <w:r w:rsidRPr="00B9080E">
        <w:rPr>
          <w:rFonts w:ascii="Times New Roman" w:hAnsi="Times New Roman" w:cs="Times New Roman"/>
          <w:lang w:val="en-US"/>
        </w:rPr>
        <w:t xml:space="preserve">This keynote synthesizes findings from two empirical investigations. The first study (joint work with Chao Zhou) utilizes a discrimination task to test how language mode and dominance modulate perceptual category boundaries. Results show that boundary steepness remains remarkably stable across Catalan and Spanish language modes, demonstrating that early bilinguals do not “switch off” non-target contrasts in a non-target monolingual context. Moreover, higher Catalan dominance enhances within-category sensitivity, revealing how exposure to Spanish-accented community input fosters adaptive perceptual </w:t>
      </w:r>
      <w:proofErr w:type="spellStart"/>
      <w:r w:rsidRPr="00B9080E">
        <w:rPr>
          <w:rFonts w:ascii="Times New Roman" w:hAnsi="Times New Roman" w:cs="Times New Roman"/>
          <w:lang w:val="en-US"/>
        </w:rPr>
        <w:t>gradiency</w:t>
      </w:r>
      <w:proofErr w:type="spellEnd"/>
      <w:r w:rsidRPr="00B9080E">
        <w:rPr>
          <w:rFonts w:ascii="Times New Roman" w:hAnsi="Times New Roman" w:cs="Times New Roman"/>
          <w:lang w:val="en-US"/>
        </w:rPr>
        <w:t>.</w:t>
      </w:r>
    </w:p>
    <w:p w14:paraId="0E5BDE4E" w14:textId="216C381A" w:rsidR="00B24EEC" w:rsidRPr="00B9080E" w:rsidRDefault="00B24EEC" w:rsidP="00B24EEC">
      <w:pPr>
        <w:jc w:val="both"/>
        <w:rPr>
          <w:rFonts w:ascii="Times New Roman" w:hAnsi="Times New Roman" w:cs="Times New Roman"/>
          <w:lang w:val="en-US"/>
        </w:rPr>
      </w:pPr>
      <w:r w:rsidRPr="00B9080E">
        <w:rPr>
          <w:rFonts w:ascii="Times New Roman" w:hAnsi="Times New Roman" w:cs="Times New Roman"/>
          <w:lang w:val="en-US"/>
        </w:rPr>
        <w:t>A second study (joint work with Miquel Llompart, Scott Perry, Miquel Simonet, and Mark Amengual) examines how the Catalan mid-vowel contrast is specified across distinct levels of representation in early bilinguals. Using a four-task experimental battery administered to children (ages 7.5–12.5) and young adults, we track the contrast across prelexical discrimination (XAB), lexical decision (LD), lexical preference (LP), and novel word learning (WL)</w:t>
      </w:r>
      <w:r w:rsidR="007024CC">
        <w:rPr>
          <w:rFonts w:ascii="Times New Roman" w:hAnsi="Times New Roman" w:cs="Times New Roman"/>
          <w:lang w:val="en-US"/>
        </w:rPr>
        <w:t xml:space="preserve"> paradigms</w:t>
      </w:r>
      <w:r w:rsidRPr="00B9080E">
        <w:rPr>
          <w:rFonts w:ascii="Times New Roman" w:hAnsi="Times New Roman" w:cs="Times New Roman"/>
          <w:lang w:val="en-US"/>
        </w:rPr>
        <w:t xml:space="preserve">. This design allows us to tease apart prelexical sensitivity and lexical-level effects and, within the latter, to distinguish between potentially fuzzy </w:t>
      </w:r>
      <w:proofErr w:type="spellStart"/>
      <w:r w:rsidRPr="00B9080E">
        <w:rPr>
          <w:rFonts w:ascii="Times New Roman" w:hAnsi="Times New Roman" w:cs="Times New Roman"/>
          <w:lang w:val="en-US"/>
        </w:rPr>
        <w:t>phonolexical</w:t>
      </w:r>
      <w:proofErr w:type="spellEnd"/>
      <w:r w:rsidRPr="00B9080E">
        <w:rPr>
          <w:rFonts w:ascii="Times New Roman" w:hAnsi="Times New Roman" w:cs="Times New Roman"/>
          <w:lang w:val="en-US"/>
        </w:rPr>
        <w:t xml:space="preserve"> representations and a greater tolerance of mispronunciations or lexical adaptability. Taken together, results suggest that the source of the effect is primarily lexical rather than prelexical: </w:t>
      </w:r>
      <w:r w:rsidRPr="00B9080E">
        <w:rPr>
          <w:rFonts w:ascii="Times New Roman" w:hAnsi="Times New Roman" w:cs="Times New Roman"/>
          <w:lang w:val="en-US"/>
        </w:rPr>
        <w:lastRenderedPageBreak/>
        <w:t xml:space="preserve">participants show relatively good sensitivity to the contrast in XAB, but make very little use of it when rejecting altered word forms in LD, despite being able to exploit the contrast when choosing between lexical alternatives in the LP task. This pattern is difficult to reconcile with genuinely “fuzzy” </w:t>
      </w:r>
      <w:proofErr w:type="spellStart"/>
      <w:r w:rsidRPr="00B9080E">
        <w:rPr>
          <w:rFonts w:ascii="Times New Roman" w:hAnsi="Times New Roman" w:cs="Times New Roman"/>
          <w:lang w:val="en-US"/>
        </w:rPr>
        <w:t>phonolexical</w:t>
      </w:r>
      <w:proofErr w:type="spellEnd"/>
      <w:r w:rsidRPr="00B9080E">
        <w:rPr>
          <w:rFonts w:ascii="Times New Roman" w:hAnsi="Times New Roman" w:cs="Times New Roman"/>
          <w:lang w:val="en-US"/>
        </w:rPr>
        <w:t xml:space="preserve"> representations and may instead reflect greater lexical tolerance through adaptation to variable input.</w:t>
      </w:r>
    </w:p>
    <w:p w14:paraId="62D3FAB8" w14:textId="77777777" w:rsidR="00814403" w:rsidRPr="00B9080E" w:rsidRDefault="00814403" w:rsidP="006C487B">
      <w:pPr>
        <w:jc w:val="both"/>
        <w:rPr>
          <w:rFonts w:ascii="Times New Roman" w:hAnsi="Times New Roman" w:cs="Times New Roman"/>
          <w:lang w:val="en-US"/>
        </w:rPr>
      </w:pPr>
    </w:p>
    <w:p w14:paraId="51EC97C0" w14:textId="31142A63" w:rsidR="000C7D66" w:rsidRPr="00B9080E" w:rsidRDefault="000C7D66" w:rsidP="006C487B">
      <w:pPr>
        <w:jc w:val="both"/>
        <w:rPr>
          <w:rFonts w:ascii="Times New Roman" w:hAnsi="Times New Roman" w:cs="Times New Roman"/>
          <w:b/>
          <w:bCs/>
          <w:lang w:val="en-US"/>
        </w:rPr>
      </w:pPr>
      <w:r w:rsidRPr="00B9080E">
        <w:rPr>
          <w:rFonts w:ascii="Times New Roman" w:hAnsi="Times New Roman" w:cs="Times New Roman"/>
          <w:b/>
          <w:bCs/>
          <w:lang w:val="en-US"/>
        </w:rPr>
        <w:t>References</w:t>
      </w:r>
    </w:p>
    <w:p w14:paraId="52256079" w14:textId="77777777" w:rsidR="00684425" w:rsidRPr="00B9080E" w:rsidRDefault="00684425" w:rsidP="00684425">
      <w:pPr>
        <w:jc w:val="both"/>
        <w:rPr>
          <w:rFonts w:ascii="Times New Roman" w:hAnsi="Times New Roman" w:cs="Times New Roman"/>
          <w:lang w:val="en-US"/>
        </w:rPr>
      </w:pPr>
      <w:r w:rsidRPr="00B9080E">
        <w:rPr>
          <w:rFonts w:ascii="Times New Roman" w:hAnsi="Times New Roman" w:cs="Times New Roman"/>
          <w:lang w:val="en-US"/>
        </w:rPr>
        <w:t>Boersma, P. (2007). Some listener-oriented accounts of h-</w:t>
      </w:r>
      <w:proofErr w:type="spellStart"/>
      <w:r w:rsidRPr="00B9080E">
        <w:rPr>
          <w:rFonts w:ascii="Times New Roman" w:hAnsi="Times New Roman" w:cs="Times New Roman"/>
          <w:lang w:val="en-US"/>
        </w:rPr>
        <w:t>aspiré</w:t>
      </w:r>
      <w:proofErr w:type="spellEnd"/>
      <w:r w:rsidRPr="00B9080E">
        <w:rPr>
          <w:rFonts w:ascii="Times New Roman" w:hAnsi="Times New Roman" w:cs="Times New Roman"/>
          <w:lang w:val="en-US"/>
        </w:rPr>
        <w:t xml:space="preserve"> in French. </w:t>
      </w:r>
      <w:r w:rsidRPr="00B9080E">
        <w:rPr>
          <w:rFonts w:ascii="Times New Roman" w:hAnsi="Times New Roman" w:cs="Times New Roman"/>
          <w:i/>
          <w:iCs/>
          <w:lang w:val="en-US"/>
        </w:rPr>
        <w:t>Lingua</w:t>
      </w:r>
      <w:r w:rsidRPr="00B9080E">
        <w:rPr>
          <w:rFonts w:ascii="Times New Roman" w:hAnsi="Times New Roman" w:cs="Times New Roman"/>
          <w:lang w:val="en-US"/>
        </w:rPr>
        <w:t>, 117(12), 1989–2054. https://doi.org/10.1016/j.lingua.2006.11.004</w:t>
      </w:r>
    </w:p>
    <w:p w14:paraId="67BB799D" w14:textId="77777777" w:rsidR="00312830" w:rsidRPr="00B9080E" w:rsidRDefault="00312830" w:rsidP="00684425">
      <w:pPr>
        <w:jc w:val="both"/>
        <w:rPr>
          <w:rFonts w:ascii="Times New Roman" w:hAnsi="Times New Roman" w:cs="Times New Roman"/>
          <w:lang w:val="en-US"/>
        </w:rPr>
      </w:pPr>
      <w:r w:rsidRPr="00B9080E">
        <w:rPr>
          <w:rFonts w:ascii="Times New Roman" w:hAnsi="Times New Roman" w:cs="Times New Roman"/>
          <w:lang w:val="en-US"/>
        </w:rPr>
        <w:t xml:space="preserve">Boersma, Paul. 2011. A </w:t>
      </w:r>
      <w:proofErr w:type="spellStart"/>
      <w:r w:rsidRPr="00B9080E">
        <w:rPr>
          <w:rFonts w:ascii="Times New Roman" w:hAnsi="Times New Roman" w:cs="Times New Roman"/>
          <w:lang w:val="en-US"/>
        </w:rPr>
        <w:t>programme</w:t>
      </w:r>
      <w:proofErr w:type="spellEnd"/>
      <w:r w:rsidRPr="00B9080E">
        <w:rPr>
          <w:rFonts w:ascii="Times New Roman" w:hAnsi="Times New Roman" w:cs="Times New Roman"/>
          <w:lang w:val="en-US"/>
        </w:rPr>
        <w:t xml:space="preserve"> for bidirectional phonology and phonetics and their acquisition and evolution. In Benz, Anton &amp; Mattausch, Jason (eds.), </w:t>
      </w:r>
      <w:r w:rsidRPr="00B9080E">
        <w:rPr>
          <w:rFonts w:ascii="Times New Roman" w:hAnsi="Times New Roman" w:cs="Times New Roman"/>
          <w:i/>
          <w:iCs/>
          <w:lang w:val="en-US"/>
        </w:rPr>
        <w:t>Bidirectional Optimality Theory</w:t>
      </w:r>
      <w:r w:rsidRPr="00B9080E">
        <w:rPr>
          <w:rFonts w:ascii="Times New Roman" w:hAnsi="Times New Roman" w:cs="Times New Roman"/>
          <w:lang w:val="en-US"/>
        </w:rPr>
        <w:t xml:space="preserve">, Vol. (180), 33–72. Amsterdam: John Benjamins. DOI: https://doi.org/10.1075/la.180.02boe </w:t>
      </w:r>
    </w:p>
    <w:p w14:paraId="45099CBD" w14:textId="1B8F68FD" w:rsidR="00684425" w:rsidRPr="00B9080E" w:rsidRDefault="00684425" w:rsidP="00684425">
      <w:pPr>
        <w:jc w:val="both"/>
        <w:rPr>
          <w:rFonts w:ascii="Times New Roman" w:hAnsi="Times New Roman" w:cs="Times New Roman"/>
          <w:lang w:val="en-US"/>
        </w:rPr>
      </w:pPr>
      <w:r w:rsidRPr="00B9080E">
        <w:rPr>
          <w:rFonts w:ascii="Times New Roman" w:hAnsi="Times New Roman" w:cs="Times New Roman"/>
          <w:lang w:val="en-US"/>
        </w:rPr>
        <w:t xml:space="preserve">Boersma, P., &amp; Hamann, S. (2009). Introduction: Models of phonology in perception. In P. Boersma &amp; S. Hamann (Eds.), </w:t>
      </w:r>
      <w:r w:rsidRPr="00B9080E">
        <w:rPr>
          <w:rFonts w:ascii="Times New Roman" w:hAnsi="Times New Roman" w:cs="Times New Roman"/>
          <w:i/>
          <w:iCs/>
          <w:lang w:val="en-US"/>
        </w:rPr>
        <w:t>Phonology in Perception</w:t>
      </w:r>
      <w:r w:rsidRPr="00B9080E">
        <w:rPr>
          <w:rFonts w:ascii="Times New Roman" w:hAnsi="Times New Roman" w:cs="Times New Roman"/>
          <w:lang w:val="en-US"/>
        </w:rPr>
        <w:t xml:space="preserve"> (pp. 1–24). Mouton de Gruyter. https://doi.org/10.1515/9783110219234.1</w:t>
      </w:r>
    </w:p>
    <w:p w14:paraId="1CCEE28B" w14:textId="77777777" w:rsidR="00684425" w:rsidRPr="00B9080E" w:rsidRDefault="00684425" w:rsidP="00684425">
      <w:pPr>
        <w:jc w:val="both"/>
        <w:rPr>
          <w:rFonts w:ascii="Times New Roman" w:hAnsi="Times New Roman" w:cs="Times New Roman"/>
          <w:lang w:val="en-US"/>
        </w:rPr>
      </w:pPr>
      <w:r w:rsidRPr="00B9080E">
        <w:rPr>
          <w:rFonts w:ascii="Times New Roman" w:hAnsi="Times New Roman" w:cs="Times New Roman"/>
          <w:lang w:val="en-US"/>
        </w:rPr>
        <w:t xml:space="preserve">Flege, J. E. (1995). Second language speech learning: Theory, findings, and problems. In W. Strange (Ed.), </w:t>
      </w:r>
      <w:r w:rsidRPr="00B9080E">
        <w:rPr>
          <w:rFonts w:ascii="Times New Roman" w:hAnsi="Times New Roman" w:cs="Times New Roman"/>
          <w:i/>
          <w:iCs/>
          <w:lang w:val="en-US"/>
        </w:rPr>
        <w:t>Speech Perception and Linguistic Experience: Issues in Cross-Language Research</w:t>
      </w:r>
      <w:r w:rsidRPr="00B9080E">
        <w:rPr>
          <w:rFonts w:ascii="Times New Roman" w:hAnsi="Times New Roman" w:cs="Times New Roman"/>
          <w:lang w:val="en-US"/>
        </w:rPr>
        <w:t xml:space="preserve"> (pp. 233–277). York Press.</w:t>
      </w:r>
    </w:p>
    <w:p w14:paraId="47D5A6D8" w14:textId="77777777" w:rsidR="00684425" w:rsidRPr="00B9080E" w:rsidRDefault="00684425" w:rsidP="00684425">
      <w:pPr>
        <w:jc w:val="both"/>
        <w:rPr>
          <w:rFonts w:ascii="Times New Roman" w:hAnsi="Times New Roman" w:cs="Times New Roman"/>
          <w:lang w:val="en-US"/>
        </w:rPr>
      </w:pPr>
      <w:r w:rsidRPr="00B9080E">
        <w:rPr>
          <w:rFonts w:ascii="Times New Roman" w:hAnsi="Times New Roman" w:cs="Times New Roman"/>
          <w:lang w:val="en-US"/>
        </w:rPr>
        <w:t xml:space="preserve">Flege, J. E., &amp; Bohn, O.-S. (2021). The revised Speech Learning Model (SLM-r). In R. Wayland (Ed.), </w:t>
      </w:r>
      <w:r w:rsidRPr="00B9080E">
        <w:rPr>
          <w:rFonts w:ascii="Times New Roman" w:hAnsi="Times New Roman" w:cs="Times New Roman"/>
          <w:i/>
          <w:iCs/>
          <w:lang w:val="en-US"/>
        </w:rPr>
        <w:t>Second Language Speech Learning: Theoretical and Empirical Progress</w:t>
      </w:r>
      <w:r w:rsidRPr="00B9080E">
        <w:rPr>
          <w:rFonts w:ascii="Times New Roman" w:hAnsi="Times New Roman" w:cs="Times New Roman"/>
          <w:lang w:val="en-US"/>
        </w:rPr>
        <w:t xml:space="preserve"> (pp. 3–83). Cambridge University Press. https://doi.org/10.1017/9781108886901.002</w:t>
      </w:r>
    </w:p>
    <w:p w14:paraId="6A6E76B8" w14:textId="77777777" w:rsidR="00684425" w:rsidRPr="00B9080E" w:rsidRDefault="00684425" w:rsidP="00684425">
      <w:pPr>
        <w:jc w:val="both"/>
        <w:rPr>
          <w:rFonts w:ascii="Times New Roman" w:hAnsi="Times New Roman" w:cs="Times New Roman"/>
          <w:lang w:val="en-US"/>
        </w:rPr>
      </w:pPr>
      <w:r w:rsidRPr="00B9080E">
        <w:rPr>
          <w:rFonts w:ascii="Times New Roman" w:hAnsi="Times New Roman" w:cs="Times New Roman"/>
          <w:lang w:val="en-US"/>
        </w:rPr>
        <w:t xml:space="preserve">Grosjean, F. (1998). Studying bilinguals: Methodological and conceptual issues. </w:t>
      </w:r>
      <w:r w:rsidRPr="00B9080E">
        <w:rPr>
          <w:rFonts w:ascii="Times New Roman" w:hAnsi="Times New Roman" w:cs="Times New Roman"/>
          <w:i/>
          <w:iCs/>
          <w:lang w:val="en-US"/>
        </w:rPr>
        <w:t>Bilingualism: Language and Cognition</w:t>
      </w:r>
      <w:r w:rsidRPr="00B9080E">
        <w:rPr>
          <w:rFonts w:ascii="Times New Roman" w:hAnsi="Times New Roman" w:cs="Times New Roman"/>
          <w:lang w:val="en-US"/>
        </w:rPr>
        <w:t>, 1(2), 131–149.</w:t>
      </w:r>
    </w:p>
    <w:p w14:paraId="2ACD7146" w14:textId="77777777" w:rsidR="00684425" w:rsidRPr="00B9080E" w:rsidRDefault="00684425" w:rsidP="00684425">
      <w:pPr>
        <w:jc w:val="both"/>
        <w:rPr>
          <w:rFonts w:ascii="Times New Roman" w:hAnsi="Times New Roman" w:cs="Times New Roman"/>
          <w:lang w:val="en-US"/>
        </w:rPr>
      </w:pPr>
      <w:r w:rsidRPr="00B9080E">
        <w:rPr>
          <w:rFonts w:ascii="Times New Roman" w:hAnsi="Times New Roman" w:cs="Times New Roman"/>
          <w:lang w:val="en-US"/>
        </w:rPr>
        <w:t xml:space="preserve">Grosjean, F. (2001). The bilingual’s language modes. In J. L. Nicol (Ed.), </w:t>
      </w:r>
      <w:r w:rsidRPr="00B9080E">
        <w:rPr>
          <w:rFonts w:ascii="Times New Roman" w:hAnsi="Times New Roman" w:cs="Times New Roman"/>
          <w:i/>
          <w:iCs/>
          <w:lang w:val="en-US"/>
        </w:rPr>
        <w:t>One Mind, Two Languages: Bilingual Language Processing</w:t>
      </w:r>
      <w:r w:rsidRPr="00B9080E">
        <w:rPr>
          <w:rFonts w:ascii="Times New Roman" w:hAnsi="Times New Roman" w:cs="Times New Roman"/>
          <w:lang w:val="en-US"/>
        </w:rPr>
        <w:t xml:space="preserve"> (pp. 1–22). Blackwell.</w:t>
      </w:r>
    </w:p>
    <w:p w14:paraId="267F4AA5" w14:textId="77777777" w:rsidR="00684425" w:rsidRPr="00B9080E" w:rsidRDefault="00684425" w:rsidP="00684425">
      <w:pPr>
        <w:jc w:val="both"/>
        <w:rPr>
          <w:rFonts w:ascii="Times New Roman" w:hAnsi="Times New Roman" w:cs="Times New Roman"/>
          <w:lang w:val="en-US"/>
        </w:rPr>
      </w:pPr>
      <w:r w:rsidRPr="00B9080E">
        <w:rPr>
          <w:rFonts w:ascii="Times New Roman" w:hAnsi="Times New Roman" w:cs="Times New Roman"/>
          <w:lang w:val="en-US"/>
        </w:rPr>
        <w:t xml:space="preserve">Grosjean, F. (2008). </w:t>
      </w:r>
      <w:r w:rsidRPr="00B9080E">
        <w:rPr>
          <w:rFonts w:ascii="Times New Roman" w:hAnsi="Times New Roman" w:cs="Times New Roman"/>
          <w:i/>
          <w:iCs/>
          <w:lang w:val="en-US"/>
        </w:rPr>
        <w:t>Studying Bilinguals</w:t>
      </w:r>
      <w:r w:rsidRPr="00B9080E">
        <w:rPr>
          <w:rFonts w:ascii="Times New Roman" w:hAnsi="Times New Roman" w:cs="Times New Roman"/>
          <w:lang w:val="en-US"/>
        </w:rPr>
        <w:t>. Oxford University Press.</w:t>
      </w:r>
    </w:p>
    <w:p w14:paraId="526FD8FB" w14:textId="77777777" w:rsidR="000C7D66" w:rsidRPr="00B9080E" w:rsidRDefault="000C7D66" w:rsidP="006C487B">
      <w:pPr>
        <w:jc w:val="both"/>
        <w:rPr>
          <w:rFonts w:ascii="Times New Roman" w:hAnsi="Times New Roman" w:cs="Times New Roman"/>
          <w:lang w:val="en-US"/>
        </w:rPr>
      </w:pPr>
    </w:p>
    <w:sectPr w:rsidR="000C7D66" w:rsidRPr="00B908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0164E"/>
    <w:multiLevelType w:val="multilevel"/>
    <w:tmpl w:val="AC26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0D7F10"/>
    <w:multiLevelType w:val="multilevel"/>
    <w:tmpl w:val="BFD62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6590404">
    <w:abstractNumId w:val="1"/>
  </w:num>
  <w:num w:numId="2" w16cid:durableId="1680155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B9"/>
    <w:rsid w:val="00007C30"/>
    <w:rsid w:val="00037767"/>
    <w:rsid w:val="00094C33"/>
    <w:rsid w:val="000C7D66"/>
    <w:rsid w:val="000D373F"/>
    <w:rsid w:val="001200C0"/>
    <w:rsid w:val="00127A8F"/>
    <w:rsid w:val="0014111E"/>
    <w:rsid w:val="00143130"/>
    <w:rsid w:val="001537B0"/>
    <w:rsid w:val="0015417C"/>
    <w:rsid w:val="001975A7"/>
    <w:rsid w:val="001D0D2B"/>
    <w:rsid w:val="001D70F1"/>
    <w:rsid w:val="001F5D0D"/>
    <w:rsid w:val="00207B3D"/>
    <w:rsid w:val="0025288A"/>
    <w:rsid w:val="002645FC"/>
    <w:rsid w:val="0026654D"/>
    <w:rsid w:val="002671C5"/>
    <w:rsid w:val="002A2C91"/>
    <w:rsid w:val="002A603B"/>
    <w:rsid w:val="002C0499"/>
    <w:rsid w:val="002D1AF8"/>
    <w:rsid w:val="002D4161"/>
    <w:rsid w:val="002E1E72"/>
    <w:rsid w:val="002F3754"/>
    <w:rsid w:val="00304C44"/>
    <w:rsid w:val="00312830"/>
    <w:rsid w:val="00375A58"/>
    <w:rsid w:val="003826D8"/>
    <w:rsid w:val="003A6279"/>
    <w:rsid w:val="003B7777"/>
    <w:rsid w:val="003C30E9"/>
    <w:rsid w:val="003F20B3"/>
    <w:rsid w:val="00410859"/>
    <w:rsid w:val="0041450D"/>
    <w:rsid w:val="004205B8"/>
    <w:rsid w:val="0042115D"/>
    <w:rsid w:val="00436689"/>
    <w:rsid w:val="00440163"/>
    <w:rsid w:val="004501D3"/>
    <w:rsid w:val="00453F36"/>
    <w:rsid w:val="004663A9"/>
    <w:rsid w:val="00466BFD"/>
    <w:rsid w:val="004750D4"/>
    <w:rsid w:val="004763BE"/>
    <w:rsid w:val="0048756A"/>
    <w:rsid w:val="00524940"/>
    <w:rsid w:val="0055292C"/>
    <w:rsid w:val="00565837"/>
    <w:rsid w:val="005669D6"/>
    <w:rsid w:val="005C756D"/>
    <w:rsid w:val="006065F3"/>
    <w:rsid w:val="00610EB9"/>
    <w:rsid w:val="00632ED3"/>
    <w:rsid w:val="006550A0"/>
    <w:rsid w:val="00684425"/>
    <w:rsid w:val="00684A37"/>
    <w:rsid w:val="006855C7"/>
    <w:rsid w:val="00686536"/>
    <w:rsid w:val="0069017D"/>
    <w:rsid w:val="006B1A51"/>
    <w:rsid w:val="006C487B"/>
    <w:rsid w:val="00700B58"/>
    <w:rsid w:val="007024CC"/>
    <w:rsid w:val="00713801"/>
    <w:rsid w:val="0072609B"/>
    <w:rsid w:val="00750082"/>
    <w:rsid w:val="00764E8D"/>
    <w:rsid w:val="007722CD"/>
    <w:rsid w:val="00782F31"/>
    <w:rsid w:val="00796B1B"/>
    <w:rsid w:val="0079742A"/>
    <w:rsid w:val="007A5045"/>
    <w:rsid w:val="007B00C2"/>
    <w:rsid w:val="007B2ACF"/>
    <w:rsid w:val="007F1F50"/>
    <w:rsid w:val="007F4E3C"/>
    <w:rsid w:val="00814403"/>
    <w:rsid w:val="0085588F"/>
    <w:rsid w:val="00880605"/>
    <w:rsid w:val="00894B5D"/>
    <w:rsid w:val="008C68D1"/>
    <w:rsid w:val="008E5521"/>
    <w:rsid w:val="0090657A"/>
    <w:rsid w:val="00911DD7"/>
    <w:rsid w:val="009240CF"/>
    <w:rsid w:val="009833B5"/>
    <w:rsid w:val="0098559C"/>
    <w:rsid w:val="00991768"/>
    <w:rsid w:val="00992113"/>
    <w:rsid w:val="00992255"/>
    <w:rsid w:val="009C5349"/>
    <w:rsid w:val="009F0FDB"/>
    <w:rsid w:val="009F3A47"/>
    <w:rsid w:val="009F795C"/>
    <w:rsid w:val="009F7A78"/>
    <w:rsid w:val="00A32647"/>
    <w:rsid w:val="00A41452"/>
    <w:rsid w:val="00A44F07"/>
    <w:rsid w:val="00A52A7F"/>
    <w:rsid w:val="00A94EBF"/>
    <w:rsid w:val="00AA33B0"/>
    <w:rsid w:val="00AB7E95"/>
    <w:rsid w:val="00AC4654"/>
    <w:rsid w:val="00AE3AC9"/>
    <w:rsid w:val="00B24EEC"/>
    <w:rsid w:val="00B27DB1"/>
    <w:rsid w:val="00B41895"/>
    <w:rsid w:val="00B51101"/>
    <w:rsid w:val="00B768F4"/>
    <w:rsid w:val="00B8370F"/>
    <w:rsid w:val="00B9080E"/>
    <w:rsid w:val="00B9696B"/>
    <w:rsid w:val="00BA7618"/>
    <w:rsid w:val="00BD4FCB"/>
    <w:rsid w:val="00BE7371"/>
    <w:rsid w:val="00C37811"/>
    <w:rsid w:val="00C96FC8"/>
    <w:rsid w:val="00CF1F2F"/>
    <w:rsid w:val="00D02219"/>
    <w:rsid w:val="00D0791C"/>
    <w:rsid w:val="00D449C3"/>
    <w:rsid w:val="00D46406"/>
    <w:rsid w:val="00D50EB6"/>
    <w:rsid w:val="00D8422B"/>
    <w:rsid w:val="00DB3A0C"/>
    <w:rsid w:val="00DC6D04"/>
    <w:rsid w:val="00E00745"/>
    <w:rsid w:val="00E05CFA"/>
    <w:rsid w:val="00E12D48"/>
    <w:rsid w:val="00E3591C"/>
    <w:rsid w:val="00E73932"/>
    <w:rsid w:val="00E82EDA"/>
    <w:rsid w:val="00E93DCB"/>
    <w:rsid w:val="00ED0712"/>
    <w:rsid w:val="00EE52E0"/>
    <w:rsid w:val="00F157BF"/>
    <w:rsid w:val="00F34FBB"/>
    <w:rsid w:val="00F41E6D"/>
    <w:rsid w:val="00F83850"/>
    <w:rsid w:val="00FD14AE"/>
    <w:rsid w:val="00FD6E6D"/>
    <w:rsid w:val="00FE039D"/>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3DB2D"/>
  <w15:chartTrackingRefBased/>
  <w15:docId w15:val="{57563513-241A-4626-A775-8E4AD14D3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a-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ol1">
    <w:name w:val="heading 1"/>
    <w:basedOn w:val="Normal"/>
    <w:next w:val="Normal"/>
    <w:link w:val="Ttol1Car"/>
    <w:uiPriority w:val="9"/>
    <w:qFormat/>
    <w:rsid w:val="00610E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ol2">
    <w:name w:val="heading 2"/>
    <w:basedOn w:val="Normal"/>
    <w:next w:val="Normal"/>
    <w:link w:val="Ttol2Car"/>
    <w:uiPriority w:val="9"/>
    <w:semiHidden/>
    <w:unhideWhenUsed/>
    <w:qFormat/>
    <w:rsid w:val="00610E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ol3">
    <w:name w:val="heading 3"/>
    <w:basedOn w:val="Normal"/>
    <w:next w:val="Normal"/>
    <w:link w:val="Ttol3Car"/>
    <w:uiPriority w:val="9"/>
    <w:semiHidden/>
    <w:unhideWhenUsed/>
    <w:qFormat/>
    <w:rsid w:val="00610EB9"/>
    <w:pPr>
      <w:keepNext/>
      <w:keepLines/>
      <w:spacing w:before="160" w:after="80"/>
      <w:outlineLvl w:val="2"/>
    </w:pPr>
    <w:rPr>
      <w:rFonts w:eastAsiaTheme="majorEastAsia" w:cstheme="majorBidi"/>
      <w:color w:val="0F4761" w:themeColor="accent1" w:themeShade="BF"/>
      <w:sz w:val="28"/>
      <w:szCs w:val="28"/>
    </w:rPr>
  </w:style>
  <w:style w:type="paragraph" w:styleId="Ttol4">
    <w:name w:val="heading 4"/>
    <w:basedOn w:val="Normal"/>
    <w:next w:val="Normal"/>
    <w:link w:val="Ttol4Car"/>
    <w:uiPriority w:val="9"/>
    <w:semiHidden/>
    <w:unhideWhenUsed/>
    <w:qFormat/>
    <w:rsid w:val="00610EB9"/>
    <w:pPr>
      <w:keepNext/>
      <w:keepLines/>
      <w:spacing w:before="80" w:after="40"/>
      <w:outlineLvl w:val="3"/>
    </w:pPr>
    <w:rPr>
      <w:rFonts w:eastAsiaTheme="majorEastAsia" w:cstheme="majorBidi"/>
      <w:i/>
      <w:iCs/>
      <w:color w:val="0F4761" w:themeColor="accent1" w:themeShade="BF"/>
    </w:rPr>
  </w:style>
  <w:style w:type="paragraph" w:styleId="Ttol5">
    <w:name w:val="heading 5"/>
    <w:basedOn w:val="Normal"/>
    <w:next w:val="Normal"/>
    <w:link w:val="Ttol5Car"/>
    <w:uiPriority w:val="9"/>
    <w:semiHidden/>
    <w:unhideWhenUsed/>
    <w:qFormat/>
    <w:rsid w:val="00610EB9"/>
    <w:pPr>
      <w:keepNext/>
      <w:keepLines/>
      <w:spacing w:before="80" w:after="40"/>
      <w:outlineLvl w:val="4"/>
    </w:pPr>
    <w:rPr>
      <w:rFonts w:eastAsiaTheme="majorEastAsia" w:cstheme="majorBidi"/>
      <w:color w:val="0F4761" w:themeColor="accent1" w:themeShade="BF"/>
    </w:rPr>
  </w:style>
  <w:style w:type="paragraph" w:styleId="Ttol6">
    <w:name w:val="heading 6"/>
    <w:basedOn w:val="Normal"/>
    <w:next w:val="Normal"/>
    <w:link w:val="Ttol6Car"/>
    <w:uiPriority w:val="9"/>
    <w:semiHidden/>
    <w:unhideWhenUsed/>
    <w:qFormat/>
    <w:rsid w:val="00610EB9"/>
    <w:pPr>
      <w:keepNext/>
      <w:keepLines/>
      <w:spacing w:before="40" w:after="0"/>
      <w:outlineLvl w:val="5"/>
    </w:pPr>
    <w:rPr>
      <w:rFonts w:eastAsiaTheme="majorEastAsia" w:cstheme="majorBidi"/>
      <w:i/>
      <w:iCs/>
      <w:color w:val="595959" w:themeColor="text1" w:themeTint="A6"/>
    </w:rPr>
  </w:style>
  <w:style w:type="paragraph" w:styleId="Ttol7">
    <w:name w:val="heading 7"/>
    <w:basedOn w:val="Normal"/>
    <w:next w:val="Normal"/>
    <w:link w:val="Ttol7Car"/>
    <w:uiPriority w:val="9"/>
    <w:semiHidden/>
    <w:unhideWhenUsed/>
    <w:qFormat/>
    <w:rsid w:val="00610EB9"/>
    <w:pPr>
      <w:keepNext/>
      <w:keepLines/>
      <w:spacing w:before="40" w:after="0"/>
      <w:outlineLvl w:val="6"/>
    </w:pPr>
    <w:rPr>
      <w:rFonts w:eastAsiaTheme="majorEastAsia" w:cstheme="majorBidi"/>
      <w:color w:val="595959" w:themeColor="text1" w:themeTint="A6"/>
    </w:rPr>
  </w:style>
  <w:style w:type="paragraph" w:styleId="Ttol8">
    <w:name w:val="heading 8"/>
    <w:basedOn w:val="Normal"/>
    <w:next w:val="Normal"/>
    <w:link w:val="Ttol8Car"/>
    <w:uiPriority w:val="9"/>
    <w:semiHidden/>
    <w:unhideWhenUsed/>
    <w:qFormat/>
    <w:rsid w:val="00610EB9"/>
    <w:pPr>
      <w:keepNext/>
      <w:keepLines/>
      <w:spacing w:after="0"/>
      <w:outlineLvl w:val="7"/>
    </w:pPr>
    <w:rPr>
      <w:rFonts w:eastAsiaTheme="majorEastAsia" w:cstheme="majorBidi"/>
      <w:i/>
      <w:iCs/>
      <w:color w:val="272727" w:themeColor="text1" w:themeTint="D8"/>
    </w:rPr>
  </w:style>
  <w:style w:type="paragraph" w:styleId="Ttol9">
    <w:name w:val="heading 9"/>
    <w:basedOn w:val="Normal"/>
    <w:next w:val="Normal"/>
    <w:link w:val="Ttol9Car"/>
    <w:uiPriority w:val="9"/>
    <w:semiHidden/>
    <w:unhideWhenUsed/>
    <w:qFormat/>
    <w:rsid w:val="00610EB9"/>
    <w:pPr>
      <w:keepNext/>
      <w:keepLines/>
      <w:spacing w:after="0"/>
      <w:outlineLvl w:val="8"/>
    </w:pPr>
    <w:rPr>
      <w:rFonts w:eastAsiaTheme="majorEastAsia" w:cstheme="majorBidi"/>
      <w:color w:val="272727" w:themeColor="text1" w:themeTint="D8"/>
    </w:rPr>
  </w:style>
  <w:style w:type="character" w:default="1" w:styleId="Lletraperdefectedelpargraf">
    <w:name w:val="Default Paragraph Font"/>
    <w:uiPriority w:val="1"/>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customStyle="1" w:styleId="Ttol1Car">
    <w:name w:val="Títol 1 Car"/>
    <w:basedOn w:val="Lletraperdefectedelpargraf"/>
    <w:link w:val="Ttol1"/>
    <w:uiPriority w:val="9"/>
    <w:rsid w:val="00610EB9"/>
    <w:rPr>
      <w:rFonts w:asciiTheme="majorHAnsi" w:eastAsiaTheme="majorEastAsia" w:hAnsiTheme="majorHAnsi" w:cstheme="majorBidi"/>
      <w:color w:val="0F4761" w:themeColor="accent1" w:themeShade="BF"/>
      <w:sz w:val="40"/>
      <w:szCs w:val="40"/>
    </w:rPr>
  </w:style>
  <w:style w:type="character" w:customStyle="1" w:styleId="Ttol2Car">
    <w:name w:val="Títol 2 Car"/>
    <w:basedOn w:val="Lletraperdefectedelpargraf"/>
    <w:link w:val="Ttol2"/>
    <w:uiPriority w:val="9"/>
    <w:semiHidden/>
    <w:rsid w:val="00610EB9"/>
    <w:rPr>
      <w:rFonts w:asciiTheme="majorHAnsi" w:eastAsiaTheme="majorEastAsia" w:hAnsiTheme="majorHAnsi" w:cstheme="majorBidi"/>
      <w:color w:val="0F4761" w:themeColor="accent1" w:themeShade="BF"/>
      <w:sz w:val="32"/>
      <w:szCs w:val="32"/>
    </w:rPr>
  </w:style>
  <w:style w:type="character" w:customStyle="1" w:styleId="Ttol3Car">
    <w:name w:val="Títol 3 Car"/>
    <w:basedOn w:val="Lletraperdefectedelpargraf"/>
    <w:link w:val="Ttol3"/>
    <w:uiPriority w:val="9"/>
    <w:semiHidden/>
    <w:rsid w:val="00610EB9"/>
    <w:rPr>
      <w:rFonts w:eastAsiaTheme="majorEastAsia" w:cstheme="majorBidi"/>
      <w:color w:val="0F4761" w:themeColor="accent1" w:themeShade="BF"/>
      <w:sz w:val="28"/>
      <w:szCs w:val="28"/>
    </w:rPr>
  </w:style>
  <w:style w:type="character" w:customStyle="1" w:styleId="Ttol4Car">
    <w:name w:val="Títol 4 Car"/>
    <w:basedOn w:val="Lletraperdefectedelpargraf"/>
    <w:link w:val="Ttol4"/>
    <w:uiPriority w:val="9"/>
    <w:semiHidden/>
    <w:rsid w:val="00610EB9"/>
    <w:rPr>
      <w:rFonts w:eastAsiaTheme="majorEastAsia" w:cstheme="majorBidi"/>
      <w:i/>
      <w:iCs/>
      <w:color w:val="0F4761" w:themeColor="accent1" w:themeShade="BF"/>
    </w:rPr>
  </w:style>
  <w:style w:type="character" w:customStyle="1" w:styleId="Ttol5Car">
    <w:name w:val="Títol 5 Car"/>
    <w:basedOn w:val="Lletraperdefectedelpargraf"/>
    <w:link w:val="Ttol5"/>
    <w:uiPriority w:val="9"/>
    <w:semiHidden/>
    <w:rsid w:val="00610EB9"/>
    <w:rPr>
      <w:rFonts w:eastAsiaTheme="majorEastAsia" w:cstheme="majorBidi"/>
      <w:color w:val="0F4761" w:themeColor="accent1" w:themeShade="BF"/>
    </w:rPr>
  </w:style>
  <w:style w:type="character" w:customStyle="1" w:styleId="Ttol6Car">
    <w:name w:val="Títol 6 Car"/>
    <w:basedOn w:val="Lletraperdefectedelpargraf"/>
    <w:link w:val="Ttol6"/>
    <w:uiPriority w:val="9"/>
    <w:semiHidden/>
    <w:rsid w:val="00610EB9"/>
    <w:rPr>
      <w:rFonts w:eastAsiaTheme="majorEastAsia" w:cstheme="majorBidi"/>
      <w:i/>
      <w:iCs/>
      <w:color w:val="595959" w:themeColor="text1" w:themeTint="A6"/>
    </w:rPr>
  </w:style>
  <w:style w:type="character" w:customStyle="1" w:styleId="Ttol7Car">
    <w:name w:val="Títol 7 Car"/>
    <w:basedOn w:val="Lletraperdefectedelpargraf"/>
    <w:link w:val="Ttol7"/>
    <w:uiPriority w:val="9"/>
    <w:semiHidden/>
    <w:rsid w:val="00610EB9"/>
    <w:rPr>
      <w:rFonts w:eastAsiaTheme="majorEastAsia" w:cstheme="majorBidi"/>
      <w:color w:val="595959" w:themeColor="text1" w:themeTint="A6"/>
    </w:rPr>
  </w:style>
  <w:style w:type="character" w:customStyle="1" w:styleId="Ttol8Car">
    <w:name w:val="Títol 8 Car"/>
    <w:basedOn w:val="Lletraperdefectedelpargraf"/>
    <w:link w:val="Ttol8"/>
    <w:uiPriority w:val="9"/>
    <w:semiHidden/>
    <w:rsid w:val="00610EB9"/>
    <w:rPr>
      <w:rFonts w:eastAsiaTheme="majorEastAsia" w:cstheme="majorBidi"/>
      <w:i/>
      <w:iCs/>
      <w:color w:val="272727" w:themeColor="text1" w:themeTint="D8"/>
    </w:rPr>
  </w:style>
  <w:style w:type="character" w:customStyle="1" w:styleId="Ttol9Car">
    <w:name w:val="Títol 9 Car"/>
    <w:basedOn w:val="Lletraperdefectedelpargraf"/>
    <w:link w:val="Ttol9"/>
    <w:uiPriority w:val="9"/>
    <w:semiHidden/>
    <w:rsid w:val="00610EB9"/>
    <w:rPr>
      <w:rFonts w:eastAsiaTheme="majorEastAsia" w:cstheme="majorBidi"/>
      <w:color w:val="272727" w:themeColor="text1" w:themeTint="D8"/>
    </w:rPr>
  </w:style>
  <w:style w:type="paragraph" w:styleId="Ttol">
    <w:name w:val="Title"/>
    <w:basedOn w:val="Normal"/>
    <w:next w:val="Normal"/>
    <w:link w:val="TtolCar"/>
    <w:uiPriority w:val="10"/>
    <w:qFormat/>
    <w:rsid w:val="00610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olCar">
    <w:name w:val="Títol Car"/>
    <w:basedOn w:val="Lletraperdefectedelpargraf"/>
    <w:link w:val="Ttol"/>
    <w:uiPriority w:val="10"/>
    <w:rsid w:val="00610EB9"/>
    <w:rPr>
      <w:rFonts w:asciiTheme="majorHAnsi" w:eastAsiaTheme="majorEastAsia" w:hAnsiTheme="majorHAnsi" w:cstheme="majorBidi"/>
      <w:spacing w:val="-10"/>
      <w:kern w:val="28"/>
      <w:sz w:val="56"/>
      <w:szCs w:val="56"/>
    </w:rPr>
  </w:style>
  <w:style w:type="paragraph" w:styleId="Subttol">
    <w:name w:val="Subtitle"/>
    <w:basedOn w:val="Normal"/>
    <w:next w:val="Normal"/>
    <w:link w:val="SubttolCar"/>
    <w:uiPriority w:val="11"/>
    <w:qFormat/>
    <w:rsid w:val="00610EB9"/>
    <w:pPr>
      <w:numPr>
        <w:ilvl w:val="1"/>
      </w:numPr>
    </w:pPr>
    <w:rPr>
      <w:rFonts w:eastAsiaTheme="majorEastAsia" w:cstheme="majorBidi"/>
      <w:color w:val="595959" w:themeColor="text1" w:themeTint="A6"/>
      <w:spacing w:val="15"/>
      <w:sz w:val="28"/>
      <w:szCs w:val="28"/>
    </w:rPr>
  </w:style>
  <w:style w:type="character" w:customStyle="1" w:styleId="SubttolCar">
    <w:name w:val="Subtítol Car"/>
    <w:basedOn w:val="Lletraperdefectedelpargraf"/>
    <w:link w:val="Subttol"/>
    <w:uiPriority w:val="11"/>
    <w:rsid w:val="00610E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0EB9"/>
    <w:pPr>
      <w:spacing w:before="160"/>
      <w:jc w:val="center"/>
    </w:pPr>
    <w:rPr>
      <w:i/>
      <w:iCs/>
      <w:color w:val="404040" w:themeColor="text1" w:themeTint="BF"/>
    </w:rPr>
  </w:style>
  <w:style w:type="character" w:customStyle="1" w:styleId="CitaCar">
    <w:name w:val="Cita Car"/>
    <w:basedOn w:val="Lletraperdefectedelpargraf"/>
    <w:link w:val="Cita"/>
    <w:uiPriority w:val="29"/>
    <w:rsid w:val="00610EB9"/>
    <w:rPr>
      <w:i/>
      <w:iCs/>
      <w:color w:val="404040" w:themeColor="text1" w:themeTint="BF"/>
    </w:rPr>
  </w:style>
  <w:style w:type="paragraph" w:styleId="Pargrafdellista">
    <w:name w:val="List Paragraph"/>
    <w:basedOn w:val="Normal"/>
    <w:uiPriority w:val="34"/>
    <w:qFormat/>
    <w:rsid w:val="00610EB9"/>
    <w:pPr>
      <w:ind w:left="720"/>
      <w:contextualSpacing/>
    </w:pPr>
  </w:style>
  <w:style w:type="character" w:styleId="mfasiintens">
    <w:name w:val="Intense Emphasis"/>
    <w:basedOn w:val="Lletraperdefectedelpargraf"/>
    <w:uiPriority w:val="21"/>
    <w:qFormat/>
    <w:rsid w:val="00610EB9"/>
    <w:rPr>
      <w:i/>
      <w:iCs/>
      <w:color w:val="0F4761" w:themeColor="accent1" w:themeShade="BF"/>
    </w:rPr>
  </w:style>
  <w:style w:type="paragraph" w:styleId="Citaintensa">
    <w:name w:val="Intense Quote"/>
    <w:basedOn w:val="Normal"/>
    <w:next w:val="Normal"/>
    <w:link w:val="CitaintensaCar"/>
    <w:uiPriority w:val="30"/>
    <w:qFormat/>
    <w:rsid w:val="00610E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intensaCar">
    <w:name w:val="Cita intensa Car"/>
    <w:basedOn w:val="Lletraperdefectedelpargraf"/>
    <w:link w:val="Citaintensa"/>
    <w:uiPriority w:val="30"/>
    <w:rsid w:val="00610EB9"/>
    <w:rPr>
      <w:i/>
      <w:iCs/>
      <w:color w:val="0F4761" w:themeColor="accent1" w:themeShade="BF"/>
    </w:rPr>
  </w:style>
  <w:style w:type="character" w:styleId="Refernciaintensa">
    <w:name w:val="Intense Reference"/>
    <w:basedOn w:val="Lletraperdefectedelpargraf"/>
    <w:uiPriority w:val="32"/>
    <w:qFormat/>
    <w:rsid w:val="00610EB9"/>
    <w:rPr>
      <w:b/>
      <w:bCs/>
      <w:smallCaps/>
      <w:color w:val="0F4761" w:themeColor="accent1" w:themeShade="BF"/>
      <w:spacing w:val="5"/>
    </w:rPr>
  </w:style>
  <w:style w:type="paragraph" w:styleId="NormalWeb">
    <w:name w:val="Normal (Web)"/>
    <w:basedOn w:val="Normal"/>
    <w:uiPriority w:val="99"/>
    <w:semiHidden/>
    <w:unhideWhenUsed/>
    <w:rsid w:val="006C487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ici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769</Words>
  <Characters>4384</Characters>
  <Application>Microsoft Office Word</Application>
  <DocSecurity>0</DocSecurity>
  <Lines>36</Lines>
  <Paragraphs>10</Paragraphs>
  <ScaleCrop>false</ScaleCrop>
  <HeadingPairs>
    <vt:vector size="2" baseType="variant">
      <vt:variant>
        <vt:lpstr>Títol</vt:lpstr>
      </vt:variant>
      <vt:variant>
        <vt:i4>1</vt:i4>
      </vt:variant>
    </vt:vector>
  </HeadingPairs>
  <TitlesOfParts>
    <vt:vector size="1" baseType="lpstr">
      <vt:lpstr/>
    </vt:vector>
  </TitlesOfParts>
  <Company/>
  <LinksUpToDate>false</LinksUpToDate>
  <CharactersWithSpaces>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Gemma Repiso Puigdelliura</dc:creator>
  <cp:keywords/>
  <dc:description/>
  <cp:lastModifiedBy>Gemma Repiso Puigdelliura</cp:lastModifiedBy>
  <cp:revision>3</cp:revision>
  <dcterms:created xsi:type="dcterms:W3CDTF">2026-09-30T15:44:00Z</dcterms:created>
  <dcterms:modified xsi:type="dcterms:W3CDTF">2026-09-30T15:47:00Z</dcterms:modified>
</cp:coreProperties>
</file>