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Accounting</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The University of Chicago</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The University of Chicago.</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