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EF9735"/>
          <w:sz w:val="22"/>
        </w:rPr>
        <w:t>AAI-540  |  GROUP 6 PROJECT</w:t>
      </w:r>
    </w:p>
    <w:p>
      <w:pPr>
        <w:pStyle w:val="Title"/>
        <w:spacing w:before="300"/>
      </w:pPr>
      <w:r>
        <w:t>GenAI Workload Power Demand Prediction</w:t>
      </w:r>
    </w:p>
    <w:p>
      <w:r>
        <w:rPr>
          <w:b/>
          <w:color w:val="0A8B84"/>
          <w:sz w:val="34"/>
        </w:rPr>
        <w:t>Final ML Design Document</w:t>
      </w:r>
    </w:p>
    <w:p>
      <w:pPr>
        <w:spacing w:before="200"/>
      </w:pPr>
      <w:r>
        <w:rPr>
          <w:color w:val="5E6C77"/>
          <w:sz w:val="26"/>
        </w:rPr>
        <w:t>From execution traces to power-aware infrastructure scheduling</w:t>
      </w:r>
    </w:p>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5314B"/>
          </w:tcPr>
          <w:p>
            <w:pPr>
              <w:spacing w:after="20"/>
            </w:pPr>
            <w:r/>
            <w:r>
              <w:rPr>
                <w:rFonts w:ascii="Aptos" w:hAnsi="Aptos"/>
                <w:b/>
                <w:color w:val="FFFFFF"/>
                <w:sz w:val="18"/>
              </w:rPr>
              <w:t>Project information</w:t>
            </w:r>
          </w:p>
        </w:tc>
        <w:tc>
          <w:tcPr>
            <w:tcW w:type="dxa" w:w="7488"/>
            <w:vAlign w:val="center"/>
            <w:shd w:fill="15314B"/>
          </w:tcPr>
          <w:p>
            <w:pPr>
              <w:spacing w:after="20"/>
            </w:pPr>
            <w:r/>
            <w:r>
              <w:rPr>
                <w:rFonts w:ascii="Aptos" w:hAnsi="Aptos"/>
                <w:b/>
                <w:color w:val="FFFFFF"/>
                <w:sz w:val="18"/>
              </w:rPr>
              <w:t>Details</w:t>
            </w:r>
          </w:p>
        </w:tc>
      </w:tr>
      <w:tr>
        <w:trPr>
          <w:cantSplit/>
        </w:trPr>
        <w:tc>
          <w:tcPr>
            <w:tcW w:type="dxa" w:w="2880"/>
            <w:vAlign w:val="center"/>
            <w:shd w:fill="F1F6F9"/>
          </w:tcPr>
          <w:p>
            <w:pPr>
              <w:spacing w:after="20"/>
            </w:pPr>
            <w:r/>
            <w:r>
              <w:rPr>
                <w:rFonts w:ascii="Aptos" w:hAnsi="Aptos"/>
                <w:b w:val="0"/>
                <w:color w:val="263644"/>
                <w:sz w:val="18"/>
              </w:rPr>
              <w:t>Project team</w:t>
            </w:r>
          </w:p>
        </w:tc>
        <w:tc>
          <w:tcPr>
            <w:tcW w:type="dxa" w:w="7488"/>
            <w:vAlign w:val="center"/>
            <w:shd w:fill="F1F6F9"/>
          </w:tcPr>
          <w:p>
            <w:pPr>
              <w:spacing w:after="20"/>
            </w:pPr>
            <w:r/>
            <w:r>
              <w:rPr>
                <w:rFonts w:ascii="Aptos" w:hAnsi="Aptos"/>
                <w:b w:val="0"/>
                <w:color w:val="263644"/>
                <w:sz w:val="18"/>
              </w:rPr>
              <w:t>Group 6</w:t>
            </w:r>
          </w:p>
        </w:tc>
      </w:tr>
      <w:tr>
        <w:trPr>
          <w:cantSplit/>
        </w:trPr>
        <w:tc>
          <w:tcPr>
            <w:tcW w:type="dxa" w:w="2880"/>
            <w:vAlign w:val="center"/>
          </w:tcPr>
          <w:p>
            <w:pPr>
              <w:spacing w:after="20"/>
            </w:pPr>
            <w:r/>
            <w:r>
              <w:rPr>
                <w:rFonts w:ascii="Aptos" w:hAnsi="Aptos"/>
                <w:b w:val="0"/>
                <w:color w:val="263644"/>
                <w:sz w:val="18"/>
              </w:rPr>
              <w:t>Authors</w:t>
            </w:r>
          </w:p>
        </w:tc>
        <w:tc>
          <w:tcPr>
            <w:tcW w:type="dxa" w:w="7488"/>
            <w:vAlign w:val="center"/>
          </w:tcPr>
          <w:p>
            <w:pPr>
              <w:spacing w:after="20"/>
            </w:pPr>
            <w:r/>
            <w:r>
              <w:rPr>
                <w:rFonts w:ascii="Aptos" w:hAnsi="Aptos"/>
                <w:b w:val="0"/>
                <w:color w:val="263644"/>
                <w:sz w:val="18"/>
              </w:rPr>
              <w:t>Sanjay B G; George David Asirvatharaj; Anbu Chezhian E</w:t>
            </w:r>
          </w:p>
        </w:tc>
      </w:tr>
      <w:tr>
        <w:trPr>
          <w:cantSplit/>
        </w:trPr>
        <w:tc>
          <w:tcPr>
            <w:tcW w:type="dxa" w:w="2880"/>
            <w:vAlign w:val="center"/>
            <w:shd w:fill="F1F6F9"/>
          </w:tcPr>
          <w:p>
            <w:pPr>
              <w:spacing w:after="20"/>
            </w:pPr>
            <w:r/>
            <w:r>
              <w:rPr>
                <w:rFonts w:ascii="Aptos" w:hAnsi="Aptos"/>
                <w:b w:val="0"/>
                <w:color w:val="263644"/>
                <w:sz w:val="18"/>
              </w:rPr>
              <w:t>Course</w:t>
            </w:r>
          </w:p>
        </w:tc>
        <w:tc>
          <w:tcPr>
            <w:tcW w:type="dxa" w:w="7488"/>
            <w:vAlign w:val="center"/>
            <w:shd w:fill="F1F6F9"/>
          </w:tcPr>
          <w:p>
            <w:pPr>
              <w:spacing w:after="20"/>
            </w:pPr>
            <w:r/>
            <w:r>
              <w:rPr>
                <w:rFonts w:ascii="Aptos" w:hAnsi="Aptos"/>
                <w:b w:val="0"/>
                <w:color w:val="263644"/>
                <w:sz w:val="18"/>
              </w:rPr>
              <w:t>AAI-540</w:t>
            </w:r>
          </w:p>
        </w:tc>
      </w:tr>
      <w:tr>
        <w:trPr>
          <w:cantSplit/>
        </w:trPr>
        <w:tc>
          <w:tcPr>
            <w:tcW w:type="dxa" w:w="2880"/>
            <w:vAlign w:val="center"/>
          </w:tcPr>
          <w:p>
            <w:pPr>
              <w:spacing w:after="20"/>
            </w:pPr>
            <w:r/>
            <w:r>
              <w:rPr>
                <w:rFonts w:ascii="Aptos" w:hAnsi="Aptos"/>
                <w:b w:val="0"/>
                <w:color w:val="263644"/>
                <w:sz w:val="18"/>
              </w:rPr>
              <w:t>Project repository</w:t>
            </w:r>
          </w:p>
        </w:tc>
        <w:tc>
          <w:tcPr>
            <w:tcW w:type="dxa" w:w="7488"/>
            <w:vAlign w:val="center"/>
          </w:tcPr>
          <w:p>
            <w:pPr>
              <w:spacing w:after="20"/>
            </w:pPr>
            <w:r/>
            <w:r>
              <w:rPr>
                <w:rFonts w:ascii="Aptos" w:hAnsi="Aptos"/>
                <w:b w:val="0"/>
                <w:color w:val="263644"/>
                <w:sz w:val="18"/>
              </w:rPr>
              <w:t>genai-power-ml/genai-workload-power-forecasting</w:t>
            </w:r>
          </w:p>
        </w:tc>
      </w:tr>
      <w:tr>
        <w:trPr>
          <w:cantSplit/>
        </w:trPr>
        <w:tc>
          <w:tcPr>
            <w:tcW w:type="dxa" w:w="2880"/>
            <w:vAlign w:val="center"/>
            <w:shd w:fill="F1F6F9"/>
          </w:tcPr>
          <w:p>
            <w:pPr>
              <w:spacing w:after="20"/>
            </w:pPr>
            <w:r/>
            <w:r>
              <w:rPr>
                <w:rFonts w:ascii="Aptos" w:hAnsi="Aptos"/>
                <w:b w:val="0"/>
                <w:color w:val="263644"/>
                <w:sz w:val="18"/>
              </w:rPr>
              <w:t>Document status</w:t>
            </w:r>
          </w:p>
        </w:tc>
        <w:tc>
          <w:tcPr>
            <w:tcW w:type="dxa" w:w="7488"/>
            <w:vAlign w:val="center"/>
            <w:shd w:fill="F1F6F9"/>
          </w:tcPr>
          <w:p>
            <w:pPr>
              <w:spacing w:after="20"/>
            </w:pPr>
            <w:r/>
            <w:r>
              <w:rPr>
                <w:rFonts w:ascii="Aptos" w:hAnsi="Aptos"/>
                <w:b w:val="0"/>
                <w:color w:val="263644"/>
                <w:sz w:val="18"/>
              </w:rPr>
              <w:t>Final design document reflecting the implemented notebook, SageMaker inference validation, scheduler simulation, and stated future work</w:t>
            </w:r>
          </w:p>
        </w:tc>
      </w:tr>
      <w:tr>
        <w:trPr>
          <w:cantSplit/>
        </w:trPr>
        <w:tc>
          <w:tcPr>
            <w:tcW w:type="dxa" w:w="2880"/>
            <w:vAlign w:val="center"/>
          </w:tcPr>
          <w:p>
            <w:pPr>
              <w:spacing w:after="20"/>
            </w:pPr>
            <w:r/>
            <w:r>
              <w:rPr>
                <w:rFonts w:ascii="Aptos" w:hAnsi="Aptos"/>
                <w:b w:val="0"/>
                <w:color w:val="263644"/>
                <w:sz w:val="18"/>
              </w:rPr>
              <w:t>Publication date</w:t>
            </w:r>
          </w:p>
        </w:tc>
        <w:tc>
          <w:tcPr>
            <w:tcW w:type="dxa" w:w="7488"/>
            <w:vAlign w:val="center"/>
          </w:tcPr>
          <w:p>
            <w:pPr>
              <w:spacing w:after="20"/>
            </w:pPr>
            <w:r/>
            <w:r>
              <w:rPr>
                <w:rFonts w:ascii="Aptos" w:hAnsi="Aptos"/>
                <w:b w:val="0"/>
                <w:color w:val="263644"/>
                <w:sz w:val="18"/>
              </w:rPr>
              <w:t>October 19, 2026</w:t>
            </w:r>
          </w:p>
        </w:tc>
      </w:tr>
    </w:tbl>
    <w:p>
      <w:pPr>
        <w:spacing w:after="20"/>
      </w:pPr>
    </w:p>
    <w:tbl>
      <w:tblPr>
        <w:tblStyle w:val="TableGrid"/>
        <w:tblW w:type="auto" w:w="0"/>
        <w:tblLook w:firstColumn="1" w:firstRow="1" w:lastColumn="0" w:lastRow="0" w:noHBand="0" w:noVBand="1" w:val="04A0"/>
      </w:tblPr>
      <w:tblGrid>
        <w:gridCol w:w="9994"/>
      </w:tblGrid>
      <w:tr>
        <w:trPr>
          <w:cantSplit/>
        </w:trPr>
        <w:tc>
          <w:tcPr>
            <w:tcW w:type="dxa" w:w="9994"/>
            <w:shd w:fill="F1F6F9"/>
          </w:tcPr>
          <w:p>
            <w:pPr>
              <w:spacing w:after="40"/>
            </w:pPr>
            <w:r/>
            <w:r>
              <w:rPr>
                <w:b/>
                <w:color w:val="0A8B84"/>
                <w:sz w:val="19"/>
              </w:rPr>
              <w:t xml:space="preserve">Project framing  </w:t>
            </w:r>
            <w:r>
              <w:rPr>
                <w:color w:val="263644"/>
                <w:sz w:val="18"/>
              </w:rPr>
              <w:t>This is a decision-support ML system. It predicts execution-level mean power and evaluates how those predictions can inform a simulated workload scheduler; it is not an autonomous data-center control system.</w:t>
            </w:r>
          </w:p>
        </w:tc>
      </w:tr>
    </w:tbl>
    <w:p>
      <w:pPr>
        <w:spacing w:after="20"/>
      </w:pPr>
    </w:p>
    <w:p>
      <w:r>
        <w:br w:type="page"/>
      </w:r>
    </w:p>
    <w:p>
      <w:pPr>
        <w:pStyle w:val="Heading1"/>
      </w:pPr>
      <w:r>
        <w:t>1. Executive Summary</w:t>
      </w:r>
    </w:p>
    <w:p>
      <w:r>
        <w:t>This project develops an end-to-end machine-learning workflow for predicting the execution-level mean power demand of Generative AI inference workloads. Using the NLR Generative AI Workload Power Profiles dataset, the team curated 2,424 valid Llama 3 inference executions and built a supervised regression pipeline using workload type and configuration metadata.</w:t>
      </w:r>
    </w:p>
    <w:p>
      <w:r>
        <w:t>The workflow compares statistical baselines, Linear Regression, Random Forest, and XGBoost. Random Forest was selected for deployment after validation comparison. On the 364-row held-out test set, it achieved RMSE of 37.61 W, MAE of 25.10 W, and R² of 0.9599. The trained model and fitted preprocessor were then packaged and deployed to an AWS SageMaker endpoint. For one held-out request, the endpoint prediction matched the notebook prediction exactly (2,258.6723 W; absolute difference 0.0 W). This verifies consistency for that request, not general production reliability.</w:t>
      </w:r>
    </w:p>
    <w:p>
      <w:r>
        <w:t>Finally, a deterministic scheduler simulation uses predicted power to select workloads under hypothetical power budgets. At a 10 kW budget, the power-aware heuristic scheduled four workloads and left approximately 1.91 kW of headroom, compared with approximately 24 W for the FCFS baseline on the same candidate batch. These are simulation results, not measured production savings. The proposed future extension is composition-aware uncertainty reservation.</w:t>
      </w:r>
    </w:p>
    <w:p>
      <w:pPr>
        <w:pStyle w:val="Heading1"/>
      </w:pPr>
      <w:r>
        <w:t>2. Project Scope</w:t>
      </w:r>
    </w:p>
    <w:p>
      <w:pPr>
        <w:pStyle w:val="Heading2"/>
      </w:pPr>
      <w:r>
        <w:t>2.1 Background and problem statement</w:t>
      </w:r>
    </w:p>
    <w:p>
      <w:r>
        <w:t>GenAI inference workloads can exhibit different power behavior depending on workload type and execution configuration. Data-center capacity planning can benefit from estimates of power demand before workloads are run. This project investigates whether execution-level mean power can be predicted from workload metadata and whether the predictions can support an illustrative power-budget scheduling decision.</w:t>
      </w:r>
    </w:p>
    <w:p>
      <w:pPr>
        <w:pStyle w:val="Heading2"/>
      </w:pPr>
      <w:r>
        <w:t>2.2 Goals</w:t>
      </w:r>
    </w:p>
    <w:p>
      <w:pPr>
        <w:pStyle w:val="ListBullet"/>
        <w:spacing w:after="40"/>
      </w:pPr>
      <w:r>
        <w:t>Predict mean power demand for valid GenAI inference executions from workload and configuration characteristics.</w:t>
      </w:r>
    </w:p>
    <w:p>
      <w:pPr>
        <w:pStyle w:val="ListBullet"/>
        <w:spacing w:after="40"/>
      </w:pPr>
      <w:r>
        <w:t>Establish a reproducible workflow for curation, leakage-safe preprocessing, model comparison, evaluation, and artifact management.</w:t>
      </w:r>
    </w:p>
    <w:p>
      <w:pPr>
        <w:pStyle w:val="ListBullet"/>
        <w:spacing w:after="40"/>
      </w:pPr>
      <w:r>
        <w:t>Compare global-mean and workload-mean baselines with Linear Regression, Random Forest, and XGBoost.</w:t>
      </w:r>
    </w:p>
    <w:p>
      <w:pPr>
        <w:pStyle w:val="ListBullet"/>
        <w:spacing w:after="40"/>
      </w:pPr>
      <w:r>
        <w:t>Deploy the selected model with its fitted preprocessing pipeline and validate the live inference path.</w:t>
      </w:r>
    </w:p>
    <w:p>
      <w:pPr>
        <w:pStyle w:val="ListBullet"/>
        <w:spacing w:after="40"/>
      </w:pPr>
      <w:r>
        <w:t>Demonstrate prediction-informed workload selection through a decision-support simulation.</w:t>
      </w:r>
    </w:p>
    <w:p>
      <w:pPr>
        <w:pStyle w:val="ListBullet"/>
        <w:spacing w:after="40"/>
      </w:pPr>
      <w:r>
        <w:t>Identify future improvements, including uncertainty-aware and composition-aware power reserves.</w:t>
      </w:r>
    </w:p>
    <w:p>
      <w:pPr>
        <w:pStyle w:val="Heading2"/>
      </w:pPr>
      <w:r>
        <w:t>2.3 Non-goals</w:t>
      </w:r>
    </w:p>
    <w:p>
      <w:pPr>
        <w:pStyle w:val="ListBullet"/>
        <w:spacing w:after="40"/>
      </w:pPr>
      <w:r>
        <w:t>Autonomous real-time control of data-center infrastructure.</w:t>
      </w:r>
    </w:p>
    <w:p>
      <w:pPr>
        <w:pStyle w:val="ListBullet"/>
        <w:spacing w:after="40"/>
      </w:pPr>
      <w:r>
        <w:t>A production energy-management or electrical-grid control system.</w:t>
      </w:r>
    </w:p>
    <w:p>
      <w:pPr>
        <w:pStyle w:val="ListBullet"/>
        <w:spacing w:after="40"/>
      </w:pPr>
      <w:r>
        <w:t>A consumer-facing application or dashboard.</w:t>
      </w:r>
    </w:p>
    <w:p>
      <w:pPr>
        <w:pStyle w:val="ListBullet"/>
        <w:spacing w:after="40"/>
      </w:pPr>
      <w:r>
        <w:t>Real-time streaming infrastructure; the current project uses an offline modeling workflow and a simulated scheduling layer.</w:t>
      </w:r>
    </w:p>
    <w:p>
      <w:pPr>
        <w:pStyle w:val="ListBullet"/>
        <w:spacing w:after="40"/>
      </w:pPr>
      <w:r>
        <w:t>Guaranteeing a specific production power reduction or energy-cost saving.</w:t>
      </w:r>
    </w:p>
    <w:p>
      <w:pPr>
        <w:pStyle w:val="Heading1"/>
      </w:pPr>
      <w:r>
        <w:t>3. Data Sources and Curation</w:t>
      </w:r>
    </w:p>
    <w:p>
      <w:r>
        <w:t>The source is the NLR Generative AI Workload Power Profiles dataset, available at https://data.nlr.gov/submissions/312. The source includes workload metadata and power measurements from GenAI executions. The implemented modeling scope is restricted to valid Llama 3 inference executions; other workload groups examined during EDA are outside the primary model.</w:t>
      </w:r>
    </w:p>
    <w:tbl>
      <w:tblPr>
        <w:tblStyle w:val="TableGrid"/>
        <w:tblW w:type="auto" w:w="0"/>
        <w:jc w:val="center"/>
        <w:tblLook w:firstColumn="1" w:firstRow="1" w:lastColumn="0" w:lastRow="0" w:noHBand="0" w:noVBand="1" w:val="04A0"/>
      </w:tblPr>
      <w:tblGrid>
        <w:gridCol w:w="4997"/>
        <w:gridCol w:w="4997"/>
      </w:tblGrid>
      <w:tr>
        <w:trPr>
          <w:cantSplit/>
        </w:trPr>
        <w:tc>
          <w:tcPr>
            <w:tcW w:type="dxa" w:w="6048"/>
            <w:vAlign w:val="center"/>
            <w:shd w:fill="15314B"/>
          </w:tcPr>
          <w:p>
            <w:pPr>
              <w:spacing w:after="20"/>
            </w:pPr>
            <w:r/>
            <w:r>
              <w:rPr>
                <w:rFonts w:ascii="Aptos" w:hAnsi="Aptos"/>
                <w:b/>
                <w:color w:val="FFFFFF"/>
                <w:sz w:val="18"/>
              </w:rPr>
              <w:t>Workload group</w:t>
            </w:r>
          </w:p>
        </w:tc>
        <w:tc>
          <w:tcPr>
            <w:tcW w:type="dxa" w:w="3168"/>
            <w:vAlign w:val="center"/>
            <w:shd w:fill="15314B"/>
          </w:tcPr>
          <w:p>
            <w:pPr>
              <w:spacing w:after="20"/>
            </w:pPr>
            <w:r/>
            <w:r>
              <w:rPr>
                <w:rFonts w:ascii="Aptos" w:hAnsi="Aptos"/>
                <w:b/>
                <w:color w:val="FFFFFF"/>
                <w:sz w:val="18"/>
              </w:rPr>
              <w:t>Valid executions used</w:t>
            </w:r>
          </w:p>
        </w:tc>
      </w:tr>
      <w:tr>
        <w:trPr>
          <w:cantSplit/>
        </w:trPr>
        <w:tc>
          <w:tcPr>
            <w:tcW w:type="dxa" w:w="6048"/>
            <w:vAlign w:val="center"/>
            <w:shd w:fill="F1F6F9"/>
          </w:tcPr>
          <w:p>
            <w:pPr>
              <w:spacing w:after="20"/>
            </w:pPr>
            <w:r/>
            <w:r>
              <w:rPr>
                <w:rFonts w:ascii="Aptos" w:hAnsi="Aptos"/>
                <w:b w:val="0"/>
                <w:color w:val="263644"/>
                <w:sz w:val="18"/>
              </w:rPr>
              <w:t>Offline inference</w:t>
            </w:r>
          </w:p>
        </w:tc>
        <w:tc>
          <w:tcPr>
            <w:tcW w:type="dxa" w:w="3168"/>
            <w:vAlign w:val="center"/>
            <w:shd w:fill="F1F6F9"/>
          </w:tcPr>
          <w:p>
            <w:pPr>
              <w:spacing w:after="20"/>
            </w:pPr>
            <w:r/>
            <w:r>
              <w:rPr>
                <w:rFonts w:ascii="Aptos" w:hAnsi="Aptos"/>
                <w:b w:val="0"/>
                <w:color w:val="263644"/>
                <w:sz w:val="18"/>
              </w:rPr>
              <w:t>1,200</w:t>
            </w:r>
          </w:p>
        </w:tc>
      </w:tr>
      <w:tr>
        <w:trPr>
          <w:cantSplit/>
        </w:trPr>
        <w:tc>
          <w:tcPr>
            <w:tcW w:type="dxa" w:w="6048"/>
            <w:vAlign w:val="center"/>
          </w:tcPr>
          <w:p>
            <w:pPr>
              <w:spacing w:after="20"/>
            </w:pPr>
            <w:r/>
            <w:r>
              <w:rPr>
                <w:rFonts w:ascii="Aptos" w:hAnsi="Aptos"/>
                <w:b w:val="0"/>
                <w:color w:val="263644"/>
                <w:sz w:val="18"/>
              </w:rPr>
              <w:t>Online finite inference</w:t>
            </w:r>
          </w:p>
        </w:tc>
        <w:tc>
          <w:tcPr>
            <w:tcW w:type="dxa" w:w="3168"/>
            <w:vAlign w:val="center"/>
          </w:tcPr>
          <w:p>
            <w:pPr>
              <w:spacing w:after="20"/>
            </w:pPr>
            <w:r/>
            <w:r>
              <w:rPr>
                <w:rFonts w:ascii="Aptos" w:hAnsi="Aptos"/>
                <w:b w:val="0"/>
                <w:color w:val="263644"/>
                <w:sz w:val="18"/>
              </w:rPr>
              <w:t>1,024</w:t>
            </w:r>
          </w:p>
        </w:tc>
      </w:tr>
      <w:tr>
        <w:trPr>
          <w:cantSplit/>
        </w:trPr>
        <w:tc>
          <w:tcPr>
            <w:tcW w:type="dxa" w:w="6048"/>
            <w:vAlign w:val="center"/>
            <w:shd w:fill="F1F6F9"/>
          </w:tcPr>
          <w:p>
            <w:pPr>
              <w:spacing w:after="20"/>
            </w:pPr>
            <w:r/>
            <w:r>
              <w:rPr>
                <w:rFonts w:ascii="Aptos" w:hAnsi="Aptos"/>
                <w:b w:val="0"/>
                <w:color w:val="263644"/>
                <w:sz w:val="18"/>
              </w:rPr>
              <w:t>Online rate inference</w:t>
            </w:r>
          </w:p>
        </w:tc>
        <w:tc>
          <w:tcPr>
            <w:tcW w:type="dxa" w:w="3168"/>
            <w:vAlign w:val="center"/>
            <w:shd w:fill="F1F6F9"/>
          </w:tcPr>
          <w:p>
            <w:pPr>
              <w:spacing w:after="20"/>
            </w:pPr>
            <w:r/>
            <w:r>
              <w:rPr>
                <w:rFonts w:ascii="Aptos" w:hAnsi="Aptos"/>
                <w:b w:val="0"/>
                <w:color w:val="263644"/>
                <w:sz w:val="18"/>
              </w:rPr>
              <w:t>200</w:t>
            </w:r>
          </w:p>
        </w:tc>
      </w:tr>
      <w:tr>
        <w:trPr>
          <w:cantSplit/>
        </w:trPr>
        <w:tc>
          <w:tcPr>
            <w:tcW w:type="dxa" w:w="6048"/>
            <w:vAlign w:val="center"/>
          </w:tcPr>
          <w:p>
            <w:pPr>
              <w:spacing w:after="20"/>
            </w:pPr>
            <w:r/>
            <w:r>
              <w:rPr>
                <w:rFonts w:ascii="Aptos" w:hAnsi="Aptos"/>
                <w:b w:val="0"/>
                <w:color w:val="263644"/>
                <w:sz w:val="18"/>
              </w:rPr>
              <w:t>Total</w:t>
            </w:r>
          </w:p>
        </w:tc>
        <w:tc>
          <w:tcPr>
            <w:tcW w:type="dxa" w:w="3168"/>
            <w:vAlign w:val="center"/>
          </w:tcPr>
          <w:p>
            <w:pPr>
              <w:spacing w:after="20"/>
            </w:pPr>
            <w:r/>
            <w:r>
              <w:rPr>
                <w:rFonts w:ascii="Aptos" w:hAnsi="Aptos"/>
                <w:b w:val="0"/>
                <w:color w:val="263644"/>
                <w:sz w:val="18"/>
              </w:rPr>
              <w:t>2,424</w:t>
            </w:r>
          </w:p>
        </w:tc>
      </w:tr>
    </w:tbl>
    <w:p>
      <w:pPr>
        <w:spacing w:after="20"/>
      </w:pPr>
    </w:p>
    <w:p>
      <w:r>
        <w:t>Two incomplete online-finite runs were excluded. The final curated modeling dataset contains 2,424 valid executions. The outcome variable is execution-level mean power (`mean_power_w`, in watts). Peak power and other execution outcomes are not used as predictors.</w:t>
      </w:r>
    </w:p>
    <w:p>
      <w:pPr>
        <w:pStyle w:val="Heading2"/>
      </w:pPr>
      <w:r>
        <w:t>3.1 Data quality and generalization considerations</w:t>
      </w:r>
    </w:p>
    <w:p>
      <w:pPr>
        <w:pStyle w:val="ListBullet"/>
        <w:spacing w:after="40"/>
      </w:pPr>
      <w:r>
        <w:t>Metadata and Parquet power traces were checked for correspondence for the three inference workload groups.</w:t>
      </w:r>
    </w:p>
    <w:p>
      <w:pPr>
        <w:pStyle w:val="ListBullet"/>
        <w:spacing w:after="40"/>
      </w:pPr>
      <w:r>
        <w:t>Completion status is used only to filter incomplete runs; it is not a model feature.</w:t>
      </w:r>
    </w:p>
    <w:p>
      <w:pPr>
        <w:pStyle w:val="ListBullet"/>
        <w:spacing w:after="40"/>
      </w:pPr>
      <w:r>
        <w:t>The measurements represent particular models, configurations, hardware, and experimental conditions. Generalization to different hardware or workload distributions requires further evaluation.</w:t>
      </w:r>
    </w:p>
    <w:p>
      <w:pPr>
        <w:pStyle w:val="ListBullet"/>
        <w:spacing w:after="40"/>
      </w:pPr>
      <w:r>
        <w:t>Some configuration fields, especially output length, may not be known exactly before execution in a real scheduler. Their use in admission-time prediction depends on an estimate or on the field being available at request admission.</w:t>
      </w:r>
    </w:p>
    <w:p>
      <w:pPr>
        <w:pStyle w:val="Heading1"/>
      </w:pPr>
      <w:r>
        <w:t>4. Feature Engineering and Leakage Prevention</w:t>
      </w:r>
    </w:p>
    <w:p>
      <w:r>
        <w:t>The model uses six conceptual input fields. The preprocessing pipeline is fitted on the training partition only and then reused unchanged for validation, test, and inference.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88"/>
            <w:vAlign w:val="center"/>
            <w:shd w:fill="15314B"/>
          </w:tcPr>
          <w:p>
            <w:pPr>
              <w:spacing w:after="20"/>
            </w:pPr>
            <w:r/>
            <w:r>
              <w:rPr>
                <w:rFonts w:ascii="Aptos" w:hAnsi="Aptos"/>
                <w:b/>
                <w:color w:val="FFFFFF"/>
                <w:sz w:val="16"/>
              </w:rPr>
              <w:t>Raw input</w:t>
            </w:r>
          </w:p>
        </w:tc>
        <w:tc>
          <w:tcPr>
            <w:tcW w:type="dxa" w:w="3672"/>
            <w:vAlign w:val="center"/>
            <w:shd w:fill="15314B"/>
          </w:tcPr>
          <w:p>
            <w:pPr>
              <w:spacing w:after="20"/>
            </w:pPr>
            <w:r/>
            <w:r>
              <w:rPr>
                <w:rFonts w:ascii="Aptos" w:hAnsi="Aptos"/>
                <w:b/>
                <w:color w:val="FFFFFF"/>
                <w:sz w:val="16"/>
              </w:rPr>
              <w:t>Treatment</w:t>
            </w:r>
          </w:p>
        </w:tc>
        <w:tc>
          <w:tcPr>
            <w:tcW w:type="dxa" w:w="4824"/>
            <w:vAlign w:val="center"/>
            <w:shd w:fill="15314B"/>
          </w:tcPr>
          <w:p>
            <w:pPr>
              <w:spacing w:after="20"/>
            </w:pPr>
            <w:r/>
            <w:r>
              <w:rPr>
                <w:rFonts w:ascii="Aptos" w:hAnsi="Aptos"/>
                <w:b/>
                <w:color w:val="FFFFFF"/>
                <w:sz w:val="16"/>
              </w:rPr>
              <w:t>Notes</w:t>
            </w:r>
          </w:p>
        </w:tc>
      </w:tr>
      <w:tr>
        <w:trPr>
          <w:cantSplit/>
        </w:trPr>
        <w:tc>
          <w:tcPr>
            <w:tcW w:type="dxa" w:w="2088"/>
            <w:vAlign w:val="center"/>
            <w:shd w:fill="F1F6F9"/>
          </w:tcPr>
          <w:p>
            <w:pPr>
              <w:spacing w:after="20"/>
            </w:pPr>
            <w:r/>
            <w:r>
              <w:rPr>
                <w:rFonts w:ascii="Aptos" w:hAnsi="Aptos"/>
                <w:b w:val="0"/>
                <w:color w:val="263644"/>
                <w:sz w:val="16"/>
              </w:rPr>
              <w:t>workload_type</w:t>
            </w:r>
          </w:p>
        </w:tc>
        <w:tc>
          <w:tcPr>
            <w:tcW w:type="dxa" w:w="3672"/>
            <w:vAlign w:val="center"/>
            <w:shd w:fill="F1F6F9"/>
          </w:tcPr>
          <w:p>
            <w:pPr>
              <w:spacing w:after="20"/>
            </w:pPr>
            <w:r/>
            <w:r>
              <w:rPr>
                <w:rFonts w:ascii="Aptos" w:hAnsi="Aptos"/>
                <w:b w:val="0"/>
                <w:color w:val="263644"/>
                <w:sz w:val="16"/>
              </w:rPr>
              <w:t>Categorical; one-hot encoded</w:t>
            </w:r>
          </w:p>
        </w:tc>
        <w:tc>
          <w:tcPr>
            <w:tcW w:type="dxa" w:w="4824"/>
            <w:vAlign w:val="center"/>
            <w:shd w:fill="F1F6F9"/>
          </w:tcPr>
          <w:p>
            <w:pPr>
              <w:spacing w:after="20"/>
            </w:pPr>
            <w:r/>
            <w:r>
              <w:rPr>
                <w:rFonts w:ascii="Aptos" w:hAnsi="Aptos"/>
                <w:b w:val="0"/>
                <w:color w:val="263644"/>
                <w:sz w:val="16"/>
              </w:rPr>
              <w:t>Distinguishes offline, online finite, and online rate inference.</w:t>
            </w:r>
          </w:p>
        </w:tc>
      </w:tr>
      <w:tr>
        <w:trPr>
          <w:cantSplit/>
        </w:trPr>
        <w:tc>
          <w:tcPr>
            <w:tcW w:type="dxa" w:w="2088"/>
            <w:vAlign w:val="center"/>
          </w:tcPr>
          <w:p>
            <w:pPr>
              <w:spacing w:after="20"/>
            </w:pPr>
            <w:r/>
            <w:r>
              <w:rPr>
                <w:rFonts w:ascii="Aptos" w:hAnsi="Aptos"/>
                <w:b w:val="0"/>
                <w:color w:val="263644"/>
                <w:sz w:val="16"/>
              </w:rPr>
              <w:t>batch_size</w:t>
            </w:r>
          </w:p>
        </w:tc>
        <w:tc>
          <w:tcPr>
            <w:tcW w:type="dxa" w:w="3672"/>
            <w:vAlign w:val="center"/>
          </w:tcPr>
          <w:p>
            <w:pPr>
              <w:spacing w:after="20"/>
            </w:pPr>
            <w:r/>
            <w:r>
              <w:rPr>
                <w:rFonts w:ascii="Aptos" w:hAnsi="Aptos"/>
                <w:b w:val="0"/>
                <w:color w:val="263644"/>
                <w:sz w:val="16"/>
              </w:rPr>
              <w:t>Numeric; median imputation, missingness indicator, scaling</w:t>
            </w:r>
          </w:p>
        </w:tc>
        <w:tc>
          <w:tcPr>
            <w:tcW w:type="dxa" w:w="4824"/>
            <w:vAlign w:val="center"/>
          </w:tcPr>
          <w:p>
            <w:pPr>
              <w:spacing w:after="20"/>
            </w:pPr>
            <w:r/>
            <w:r>
              <w:rPr>
                <w:rFonts w:ascii="Aptos" w:hAnsi="Aptos"/>
                <w:b w:val="0"/>
                <w:color w:val="263644"/>
                <w:sz w:val="16"/>
              </w:rPr>
              <w:t>Relevant configuration field, particularly for offline inference.</w:t>
            </w:r>
          </w:p>
        </w:tc>
      </w:tr>
      <w:tr>
        <w:trPr>
          <w:cantSplit/>
        </w:trPr>
        <w:tc>
          <w:tcPr>
            <w:tcW w:type="dxa" w:w="2088"/>
            <w:vAlign w:val="center"/>
            <w:shd w:fill="F1F6F9"/>
          </w:tcPr>
          <w:p>
            <w:pPr>
              <w:spacing w:after="20"/>
            </w:pPr>
            <w:r/>
            <w:r>
              <w:rPr>
                <w:rFonts w:ascii="Aptos" w:hAnsi="Aptos"/>
                <w:b w:val="0"/>
                <w:color w:val="263644"/>
                <w:sz w:val="16"/>
              </w:rPr>
              <w:t>max_output_tokens</w:t>
            </w:r>
          </w:p>
        </w:tc>
        <w:tc>
          <w:tcPr>
            <w:tcW w:type="dxa" w:w="3672"/>
            <w:vAlign w:val="center"/>
            <w:shd w:fill="F1F6F9"/>
          </w:tcPr>
          <w:p>
            <w:pPr>
              <w:spacing w:after="20"/>
            </w:pPr>
            <w:r/>
            <w:r>
              <w:rPr>
                <w:rFonts w:ascii="Aptos" w:hAnsi="Aptos"/>
                <w:b w:val="0"/>
                <w:color w:val="263644"/>
                <w:sz w:val="16"/>
              </w:rPr>
              <w:t>Numeric; median imputation, missingness indicator, scaling</w:t>
            </w:r>
          </w:p>
        </w:tc>
        <w:tc>
          <w:tcPr>
            <w:tcW w:type="dxa" w:w="4824"/>
            <w:vAlign w:val="center"/>
            <w:shd w:fill="F1F6F9"/>
          </w:tcPr>
          <w:p>
            <w:pPr>
              <w:spacing w:after="20"/>
            </w:pPr>
            <w:r/>
            <w:r>
              <w:rPr>
                <w:rFonts w:ascii="Aptos" w:hAnsi="Aptos"/>
                <w:b w:val="0"/>
                <w:color w:val="263644"/>
                <w:sz w:val="16"/>
              </w:rPr>
              <w:t>Workload configuration field.</w:t>
            </w:r>
          </w:p>
        </w:tc>
      </w:tr>
      <w:tr>
        <w:trPr>
          <w:cantSplit/>
        </w:trPr>
        <w:tc>
          <w:tcPr>
            <w:tcW w:type="dxa" w:w="2088"/>
            <w:vAlign w:val="center"/>
          </w:tcPr>
          <w:p>
            <w:pPr>
              <w:spacing w:after="20"/>
            </w:pPr>
            <w:r/>
            <w:r>
              <w:rPr>
                <w:rFonts w:ascii="Aptos" w:hAnsi="Aptos"/>
                <w:b w:val="0"/>
                <w:color w:val="263644"/>
                <w:sz w:val="16"/>
              </w:rPr>
              <w:t>request_rate</w:t>
            </w:r>
          </w:p>
        </w:tc>
        <w:tc>
          <w:tcPr>
            <w:tcW w:type="dxa" w:w="3672"/>
            <w:vAlign w:val="center"/>
          </w:tcPr>
          <w:p>
            <w:pPr>
              <w:spacing w:after="20"/>
            </w:pPr>
            <w:r/>
            <w:r>
              <w:rPr>
                <w:rFonts w:ascii="Aptos" w:hAnsi="Aptos"/>
                <w:b w:val="0"/>
                <w:color w:val="263644"/>
                <w:sz w:val="16"/>
              </w:rPr>
              <w:t>Numeric; median imputation, missingness indicator, scaling</w:t>
            </w:r>
          </w:p>
        </w:tc>
        <w:tc>
          <w:tcPr>
            <w:tcW w:type="dxa" w:w="4824"/>
            <w:vAlign w:val="center"/>
          </w:tcPr>
          <w:p>
            <w:pPr>
              <w:spacing w:after="20"/>
            </w:pPr>
            <w:r/>
            <w:r>
              <w:rPr>
                <w:rFonts w:ascii="Aptos" w:hAnsi="Aptos"/>
                <w:b w:val="0"/>
                <w:color w:val="263644"/>
                <w:sz w:val="16"/>
              </w:rPr>
              <w:t>Relevant to online inference.</w:t>
            </w:r>
          </w:p>
        </w:tc>
      </w:tr>
      <w:tr>
        <w:trPr>
          <w:cantSplit/>
        </w:trPr>
        <w:tc>
          <w:tcPr>
            <w:tcW w:type="dxa" w:w="2088"/>
            <w:vAlign w:val="center"/>
            <w:shd w:fill="F1F6F9"/>
          </w:tcPr>
          <w:p>
            <w:pPr>
              <w:spacing w:after="20"/>
            </w:pPr>
            <w:r/>
            <w:r>
              <w:rPr>
                <w:rFonts w:ascii="Aptos" w:hAnsi="Aptos"/>
                <w:b w:val="0"/>
                <w:color w:val="263644"/>
                <w:sz w:val="16"/>
              </w:rPr>
              <w:t>output_length</w:t>
            </w:r>
          </w:p>
        </w:tc>
        <w:tc>
          <w:tcPr>
            <w:tcW w:type="dxa" w:w="3672"/>
            <w:vAlign w:val="center"/>
            <w:shd w:fill="F1F6F9"/>
          </w:tcPr>
          <w:p>
            <w:pPr>
              <w:spacing w:after="20"/>
            </w:pPr>
            <w:r/>
            <w:r>
              <w:rPr>
                <w:rFonts w:ascii="Aptos" w:hAnsi="Aptos"/>
                <w:b w:val="0"/>
                <w:color w:val="263644"/>
                <w:sz w:val="16"/>
              </w:rPr>
              <w:t>Numeric; median imputation, missingness indicator, scaling</w:t>
            </w:r>
          </w:p>
        </w:tc>
        <w:tc>
          <w:tcPr>
            <w:tcW w:type="dxa" w:w="4824"/>
            <w:vAlign w:val="center"/>
            <w:shd w:fill="F1F6F9"/>
          </w:tcPr>
          <w:p>
            <w:pPr>
              <w:spacing w:after="20"/>
            </w:pPr>
            <w:r/>
            <w:r>
              <w:rPr>
                <w:rFonts w:ascii="Aptos" w:hAnsi="Aptos"/>
                <w:b w:val="0"/>
                <w:color w:val="263644"/>
                <w:sz w:val="16"/>
              </w:rPr>
              <w:t>Used where available; availability before execution must be considered in a live scheduler.</w:t>
            </w:r>
          </w:p>
        </w:tc>
      </w:tr>
      <w:tr>
        <w:trPr>
          <w:cantSplit/>
        </w:trPr>
        <w:tc>
          <w:tcPr>
            <w:tcW w:type="dxa" w:w="2088"/>
            <w:vAlign w:val="center"/>
          </w:tcPr>
          <w:p>
            <w:pPr>
              <w:spacing w:after="20"/>
            </w:pPr>
            <w:r/>
            <w:r>
              <w:rPr>
                <w:rFonts w:ascii="Aptos" w:hAnsi="Aptos"/>
                <w:b w:val="0"/>
                <w:color w:val="263644"/>
                <w:sz w:val="16"/>
              </w:rPr>
              <w:t>dataset</w:t>
            </w:r>
          </w:p>
        </w:tc>
        <w:tc>
          <w:tcPr>
            <w:tcW w:type="dxa" w:w="3672"/>
            <w:vAlign w:val="center"/>
          </w:tcPr>
          <w:p>
            <w:pPr>
              <w:spacing w:after="20"/>
            </w:pPr>
            <w:r/>
            <w:r>
              <w:rPr>
                <w:rFonts w:ascii="Aptos" w:hAnsi="Aptos"/>
                <w:b w:val="0"/>
                <w:color w:val="263644"/>
                <w:sz w:val="16"/>
              </w:rPr>
              <w:t>Categorical; constant imputation and one-hot encoding</w:t>
            </w:r>
          </w:p>
        </w:tc>
        <w:tc>
          <w:tcPr>
            <w:tcW w:type="dxa" w:w="4824"/>
            <w:vAlign w:val="center"/>
          </w:tcPr>
          <w:p>
            <w:pPr>
              <w:spacing w:after="20"/>
            </w:pPr>
            <w:r/>
            <w:r>
              <w:rPr>
                <w:rFonts w:ascii="Aptos" w:hAnsi="Aptos"/>
                <w:b w:val="0"/>
                <w:color w:val="263644"/>
                <w:sz w:val="16"/>
              </w:rPr>
              <w:t>Represents workload dataset/configuration category.</w:t>
            </w:r>
          </w:p>
        </w:tc>
      </w:tr>
    </w:tbl>
    <w:p>
      <w:pPr>
        <w:spacing w:after="20"/>
      </w:pPr>
    </w:p>
    <w:p>
      <w:r>
        <w:t>The resulting processed feature matrix contains 14 features. Numerical transformations use training-set medians, missing-value indicators, and scaling. Categorical variables use constant imputation and one-hot encoding.</w:t>
      </w:r>
    </w:p>
    <w:p>
      <w:pPr>
        <w:pStyle w:val="Heading2"/>
      </w:pPr>
      <w:r>
        <w:t>4.1 Excluded fields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5314B"/>
          </w:tcPr>
          <w:p>
            <w:pPr>
              <w:spacing w:after="20"/>
            </w:pPr>
            <w:r/>
            <w:r>
              <w:rPr>
                <w:rFonts w:ascii="Aptos" w:hAnsi="Aptos"/>
                <w:b/>
                <w:color w:val="FFFFFF"/>
                <w:sz w:val="16"/>
              </w:rPr>
              <w:t>Field group</w:t>
            </w:r>
          </w:p>
        </w:tc>
        <w:tc>
          <w:tcPr>
            <w:tcW w:type="dxa" w:w="7632"/>
            <w:vAlign w:val="center"/>
            <w:shd w:fill="15314B"/>
          </w:tcPr>
          <w:p>
            <w:pPr>
              <w:spacing w:after="20"/>
            </w:pPr>
            <w:r/>
            <w:r>
              <w:rPr>
                <w:rFonts w:ascii="Aptos" w:hAnsi="Aptos"/>
                <w:b/>
                <w:color w:val="FFFFFF"/>
                <w:sz w:val="16"/>
              </w:rPr>
              <w:t>Treatment and rationale</w:t>
            </w:r>
          </w:p>
        </w:tc>
      </w:tr>
      <w:tr>
        <w:trPr>
          <w:cantSplit/>
        </w:trPr>
        <w:tc>
          <w:tcPr>
            <w:tcW w:type="dxa" w:w="2880"/>
            <w:vAlign w:val="center"/>
            <w:shd w:fill="F1F6F9"/>
          </w:tcPr>
          <w:p>
            <w:pPr>
              <w:spacing w:after="20"/>
            </w:pPr>
            <w:r/>
            <w:r>
              <w:rPr>
                <w:rFonts w:ascii="Aptos" w:hAnsi="Aptos"/>
                <w:b w:val="0"/>
                <w:color w:val="263644"/>
                <w:sz w:val="16"/>
              </w:rPr>
              <w:t>mean_power_w</w:t>
            </w:r>
          </w:p>
        </w:tc>
        <w:tc>
          <w:tcPr>
            <w:tcW w:type="dxa" w:w="7632"/>
            <w:vAlign w:val="center"/>
            <w:shd w:fill="F1F6F9"/>
          </w:tcPr>
          <w:p>
            <w:pPr>
              <w:spacing w:after="20"/>
            </w:pPr>
            <w:r/>
            <w:r>
              <w:rPr>
                <w:rFonts w:ascii="Aptos" w:hAnsi="Aptos"/>
                <w:b w:val="0"/>
                <w:color w:val="263644"/>
                <w:sz w:val="16"/>
              </w:rPr>
              <w:t>Prediction target; excluded from predictors.</w:t>
            </w:r>
          </w:p>
        </w:tc>
      </w:tr>
      <w:tr>
        <w:trPr>
          <w:cantSplit/>
        </w:trPr>
        <w:tc>
          <w:tcPr>
            <w:tcW w:type="dxa" w:w="2880"/>
            <w:vAlign w:val="center"/>
          </w:tcPr>
          <w:p>
            <w:pPr>
              <w:spacing w:after="20"/>
            </w:pPr>
            <w:r/>
            <w:r>
              <w:rPr>
                <w:rFonts w:ascii="Aptos" w:hAnsi="Aptos"/>
                <w:b w:val="0"/>
                <w:color w:val="263644"/>
                <w:sz w:val="16"/>
              </w:rPr>
              <w:t>peak_power_w</w:t>
            </w:r>
          </w:p>
        </w:tc>
        <w:tc>
          <w:tcPr>
            <w:tcW w:type="dxa" w:w="7632"/>
            <w:vAlign w:val="center"/>
          </w:tcPr>
          <w:p>
            <w:pPr>
              <w:spacing w:after="20"/>
            </w:pPr>
            <w:r/>
            <w:r>
              <w:rPr>
                <w:rFonts w:ascii="Aptos" w:hAnsi="Aptos"/>
                <w:b w:val="0"/>
                <w:color w:val="263644"/>
                <w:sz w:val="16"/>
              </w:rPr>
              <w:t>Excluded because it is a same-execution outcome and could leak target-related information.</w:t>
            </w:r>
          </w:p>
        </w:tc>
      </w:tr>
      <w:tr>
        <w:trPr>
          <w:cantSplit/>
        </w:trPr>
        <w:tc>
          <w:tcPr>
            <w:tcW w:type="dxa" w:w="2880"/>
            <w:vAlign w:val="center"/>
            <w:shd w:fill="F1F6F9"/>
          </w:tcPr>
          <w:p>
            <w:pPr>
              <w:spacing w:after="20"/>
            </w:pPr>
            <w:r/>
            <w:r>
              <w:rPr>
                <w:rFonts w:ascii="Aptos" w:hAnsi="Aptos"/>
                <w:b w:val="0"/>
                <w:color w:val="263644"/>
                <w:sz w:val="16"/>
              </w:rPr>
              <w:t>Elapsed time / duration</w:t>
            </w:r>
          </w:p>
        </w:tc>
        <w:tc>
          <w:tcPr>
            <w:tcW w:type="dxa" w:w="7632"/>
            <w:vAlign w:val="center"/>
            <w:shd w:fill="F1F6F9"/>
          </w:tcPr>
          <w:p>
            <w:pPr>
              <w:spacing w:after="20"/>
            </w:pPr>
            <w:r/>
            <w:r>
              <w:rPr>
                <w:rFonts w:ascii="Aptos" w:hAnsi="Aptos"/>
                <w:b w:val="0"/>
                <w:color w:val="263644"/>
                <w:sz w:val="16"/>
              </w:rPr>
              <w:t>Excluded because measured during or after execution.</w:t>
            </w:r>
          </w:p>
        </w:tc>
      </w:tr>
      <w:tr>
        <w:trPr>
          <w:cantSplit/>
        </w:trPr>
        <w:tc>
          <w:tcPr>
            <w:tcW w:type="dxa" w:w="2880"/>
            <w:vAlign w:val="center"/>
          </w:tcPr>
          <w:p>
            <w:pPr>
              <w:spacing w:after="20"/>
            </w:pPr>
            <w:r/>
            <w:r>
              <w:rPr>
                <w:rFonts w:ascii="Aptos" w:hAnsi="Aptos"/>
                <w:b w:val="0"/>
                <w:color w:val="263644"/>
                <w:sz w:val="16"/>
              </w:rPr>
              <w:t>Throughput / latency</w:t>
            </w:r>
          </w:p>
        </w:tc>
        <w:tc>
          <w:tcPr>
            <w:tcW w:type="dxa" w:w="7632"/>
            <w:vAlign w:val="center"/>
          </w:tcPr>
          <w:p>
            <w:pPr>
              <w:spacing w:after="20"/>
            </w:pPr>
            <w:r/>
            <w:r>
              <w:rPr>
                <w:rFonts w:ascii="Aptos" w:hAnsi="Aptos"/>
                <w:b w:val="0"/>
                <w:color w:val="263644"/>
                <w:sz w:val="16"/>
              </w:rPr>
              <w:t>Excluded as post-execution performance outcomes.</w:t>
            </w:r>
          </w:p>
        </w:tc>
      </w:tr>
      <w:tr>
        <w:trPr>
          <w:cantSplit/>
        </w:trPr>
        <w:tc>
          <w:tcPr>
            <w:tcW w:type="dxa" w:w="2880"/>
            <w:vAlign w:val="center"/>
            <w:shd w:fill="F1F6F9"/>
          </w:tcPr>
          <w:p>
            <w:pPr>
              <w:spacing w:after="20"/>
            </w:pPr>
            <w:r/>
            <w:r>
              <w:rPr>
                <w:rFonts w:ascii="Aptos" w:hAnsi="Aptos"/>
                <w:b w:val="0"/>
                <w:color w:val="263644"/>
                <w:sz w:val="16"/>
              </w:rPr>
              <w:t>Completion flags</w:t>
            </w:r>
          </w:p>
        </w:tc>
        <w:tc>
          <w:tcPr>
            <w:tcW w:type="dxa" w:w="7632"/>
            <w:vAlign w:val="center"/>
            <w:shd w:fill="F1F6F9"/>
          </w:tcPr>
          <w:p>
            <w:pPr>
              <w:spacing w:after="20"/>
            </w:pPr>
            <w:r/>
            <w:r>
              <w:rPr>
                <w:rFonts w:ascii="Aptos" w:hAnsi="Aptos"/>
                <w:b w:val="0"/>
                <w:color w:val="263644"/>
                <w:sz w:val="16"/>
              </w:rPr>
              <w:t>Filtering only; not predictors.</w:t>
            </w:r>
          </w:p>
        </w:tc>
      </w:tr>
      <w:tr>
        <w:trPr>
          <w:cantSplit/>
        </w:trPr>
        <w:tc>
          <w:tcPr>
            <w:tcW w:type="dxa" w:w="2880"/>
            <w:vAlign w:val="center"/>
          </w:tcPr>
          <w:p>
            <w:pPr>
              <w:spacing w:after="20"/>
            </w:pPr>
            <w:r/>
            <w:r>
              <w:rPr>
                <w:rFonts w:ascii="Aptos" w:hAnsi="Aptos"/>
                <w:b w:val="0"/>
                <w:color w:val="263644"/>
                <w:sz w:val="16"/>
              </w:rPr>
              <w:t>IDs, seeds, repeats, paths, timestamps, Slurm IDs</w:t>
            </w:r>
          </w:p>
        </w:tc>
        <w:tc>
          <w:tcPr>
            <w:tcW w:type="dxa" w:w="7632"/>
            <w:vAlign w:val="center"/>
          </w:tcPr>
          <w:p>
            <w:pPr>
              <w:spacing w:after="20"/>
            </w:pPr>
            <w:r/>
            <w:r>
              <w:rPr>
                <w:rFonts w:ascii="Aptos" w:hAnsi="Aptos"/>
                <w:b w:val="0"/>
                <w:color w:val="263644"/>
                <w:sz w:val="16"/>
              </w:rPr>
              <w:t>Excluded as identifiers or execution metadata rather than workload characteristics.</w:t>
            </w:r>
          </w:p>
        </w:tc>
      </w:tr>
    </w:tbl>
    <w:p>
      <w:pPr>
        <w:spacing w:after="20"/>
      </w:pPr>
    </w:p>
    <w:p>
      <w:pPr>
        <w:pStyle w:val="Heading1"/>
      </w:pPr>
      <w:r>
        <w:t>5. Dataset Split and Model Development</w:t>
      </w:r>
    </w:p>
    <w:p>
      <w:r>
        <w:t>The 2,424 valid executions are divided by a stratified 70/15/15 split using `workload_type`, with `random_state=42`. This yields 1,696 training rows, 364 validation rows, and 364 test rows. The split is performed before fitting preprocessing to prevent validation and test information from influencing training-time imputation, scaling, or encoding.</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04"/>
            <w:vAlign w:val="center"/>
            <w:shd w:fill="15314B"/>
          </w:tcPr>
          <w:p>
            <w:pPr>
              <w:spacing w:after="20"/>
            </w:pPr>
            <w:r/>
            <w:r>
              <w:rPr>
                <w:rFonts w:ascii="Aptos" w:hAnsi="Aptos"/>
                <w:b/>
                <w:color w:val="FFFFFF"/>
                <w:sz w:val="17"/>
              </w:rPr>
              <w:t>Partition</w:t>
            </w:r>
          </w:p>
        </w:tc>
        <w:tc>
          <w:tcPr>
            <w:tcW w:type="dxa" w:w="1440"/>
            <w:vAlign w:val="center"/>
            <w:shd w:fill="15314B"/>
          </w:tcPr>
          <w:p>
            <w:pPr>
              <w:spacing w:after="20"/>
            </w:pPr>
            <w:r/>
            <w:r>
              <w:rPr>
                <w:rFonts w:ascii="Aptos" w:hAnsi="Aptos"/>
                <w:b/>
                <w:color w:val="FFFFFF"/>
                <w:sz w:val="17"/>
              </w:rPr>
              <w:t>Rows</w:t>
            </w:r>
          </w:p>
        </w:tc>
        <w:tc>
          <w:tcPr>
            <w:tcW w:type="dxa" w:w="6768"/>
            <w:vAlign w:val="center"/>
            <w:shd w:fill="15314B"/>
          </w:tcPr>
          <w:p>
            <w:pPr>
              <w:spacing w:after="20"/>
            </w:pPr>
            <w:r/>
            <w:r>
              <w:rPr>
                <w:rFonts w:ascii="Aptos" w:hAnsi="Aptos"/>
                <w:b/>
                <w:color w:val="FFFFFF"/>
                <w:sz w:val="17"/>
              </w:rPr>
              <w:t>Purpose</w:t>
            </w:r>
          </w:p>
        </w:tc>
      </w:tr>
      <w:tr>
        <w:trPr>
          <w:cantSplit/>
        </w:trPr>
        <w:tc>
          <w:tcPr>
            <w:tcW w:type="dxa" w:w="2304"/>
            <w:vAlign w:val="center"/>
            <w:shd w:fill="F1F6F9"/>
          </w:tcPr>
          <w:p>
            <w:pPr>
              <w:spacing w:after="20"/>
            </w:pPr>
            <w:r/>
            <w:r>
              <w:rPr>
                <w:rFonts w:ascii="Aptos" w:hAnsi="Aptos"/>
                <w:b w:val="0"/>
                <w:color w:val="263644"/>
                <w:sz w:val="17"/>
              </w:rPr>
              <w:t>Training</w:t>
            </w:r>
          </w:p>
        </w:tc>
        <w:tc>
          <w:tcPr>
            <w:tcW w:type="dxa" w:w="1440"/>
            <w:vAlign w:val="center"/>
            <w:shd w:fill="F1F6F9"/>
          </w:tcPr>
          <w:p>
            <w:pPr>
              <w:spacing w:after="20"/>
            </w:pPr>
            <w:r/>
            <w:r>
              <w:rPr>
                <w:rFonts w:ascii="Aptos" w:hAnsi="Aptos"/>
                <w:b w:val="0"/>
                <w:color w:val="263644"/>
                <w:sz w:val="17"/>
              </w:rPr>
              <w:t>1,696</w:t>
            </w:r>
          </w:p>
        </w:tc>
        <w:tc>
          <w:tcPr>
            <w:tcW w:type="dxa" w:w="6768"/>
            <w:vAlign w:val="center"/>
            <w:shd w:fill="F1F6F9"/>
          </w:tcPr>
          <w:p>
            <w:pPr>
              <w:spacing w:after="20"/>
            </w:pPr>
            <w:r/>
            <w:r>
              <w:rPr>
                <w:rFonts w:ascii="Aptos" w:hAnsi="Aptos"/>
                <w:b w:val="0"/>
                <w:color w:val="263644"/>
                <w:sz w:val="17"/>
              </w:rPr>
              <w:t>Fit preprocessing and candidate models.</w:t>
            </w:r>
          </w:p>
        </w:tc>
      </w:tr>
      <w:tr>
        <w:trPr>
          <w:cantSplit/>
        </w:trPr>
        <w:tc>
          <w:tcPr>
            <w:tcW w:type="dxa" w:w="2304"/>
            <w:vAlign w:val="center"/>
          </w:tcPr>
          <w:p>
            <w:pPr>
              <w:spacing w:after="20"/>
            </w:pPr>
            <w:r/>
            <w:r>
              <w:rPr>
                <w:rFonts w:ascii="Aptos" w:hAnsi="Aptos"/>
                <w:b w:val="0"/>
                <w:color w:val="263644"/>
                <w:sz w:val="17"/>
              </w:rPr>
              <w:t>Validation</w:t>
            </w:r>
          </w:p>
        </w:tc>
        <w:tc>
          <w:tcPr>
            <w:tcW w:type="dxa" w:w="1440"/>
            <w:vAlign w:val="center"/>
          </w:tcPr>
          <w:p>
            <w:pPr>
              <w:spacing w:after="20"/>
            </w:pPr>
            <w:r/>
            <w:r>
              <w:rPr>
                <w:rFonts w:ascii="Aptos" w:hAnsi="Aptos"/>
                <w:b w:val="0"/>
                <w:color w:val="263644"/>
                <w:sz w:val="17"/>
              </w:rPr>
              <w:t>364</w:t>
            </w:r>
          </w:p>
        </w:tc>
        <w:tc>
          <w:tcPr>
            <w:tcW w:type="dxa" w:w="6768"/>
            <w:vAlign w:val="center"/>
          </w:tcPr>
          <w:p>
            <w:pPr>
              <w:spacing w:after="20"/>
            </w:pPr>
            <w:r/>
            <w:r>
              <w:rPr>
                <w:rFonts w:ascii="Aptos" w:hAnsi="Aptos"/>
                <w:b w:val="0"/>
                <w:color w:val="263644"/>
                <w:sz w:val="17"/>
              </w:rPr>
              <w:t>Compare candidates and select the model.</w:t>
            </w:r>
          </w:p>
        </w:tc>
      </w:tr>
      <w:tr>
        <w:trPr>
          <w:cantSplit/>
        </w:trPr>
        <w:tc>
          <w:tcPr>
            <w:tcW w:type="dxa" w:w="2304"/>
            <w:vAlign w:val="center"/>
            <w:shd w:fill="F1F6F9"/>
          </w:tcPr>
          <w:p>
            <w:pPr>
              <w:spacing w:after="20"/>
            </w:pPr>
            <w:r/>
            <w:r>
              <w:rPr>
                <w:rFonts w:ascii="Aptos" w:hAnsi="Aptos"/>
                <w:b w:val="0"/>
                <w:color w:val="263644"/>
                <w:sz w:val="17"/>
              </w:rPr>
              <w:t>Test</w:t>
            </w:r>
          </w:p>
        </w:tc>
        <w:tc>
          <w:tcPr>
            <w:tcW w:type="dxa" w:w="1440"/>
            <w:vAlign w:val="center"/>
            <w:shd w:fill="F1F6F9"/>
          </w:tcPr>
          <w:p>
            <w:pPr>
              <w:spacing w:after="20"/>
            </w:pPr>
            <w:r/>
            <w:r>
              <w:rPr>
                <w:rFonts w:ascii="Aptos" w:hAnsi="Aptos"/>
                <w:b w:val="0"/>
                <w:color w:val="263644"/>
                <w:sz w:val="17"/>
              </w:rPr>
              <w:t>364</w:t>
            </w:r>
          </w:p>
        </w:tc>
        <w:tc>
          <w:tcPr>
            <w:tcW w:type="dxa" w:w="6768"/>
            <w:vAlign w:val="center"/>
            <w:shd w:fill="F1F6F9"/>
          </w:tcPr>
          <w:p>
            <w:pPr>
              <w:spacing w:after="20"/>
            </w:pPr>
            <w:r/>
            <w:r>
              <w:rPr>
                <w:rFonts w:ascii="Aptos" w:hAnsi="Aptos"/>
                <w:b w:val="0"/>
                <w:color w:val="263644"/>
                <w:sz w:val="17"/>
              </w:rPr>
              <w:t>Final held-out evaluation after model selection.</w:t>
            </w:r>
          </w:p>
        </w:tc>
      </w:tr>
    </w:tbl>
    <w:p>
      <w:pPr>
        <w:spacing w:after="20"/>
      </w:pPr>
    </w:p>
    <w:p>
      <w:pPr>
        <w:pStyle w:val="Heading2"/>
      </w:pPr>
      <w:r>
        <w:t>5.1 Candidates and metrics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5314B"/>
          </w:tcPr>
          <w:p>
            <w:pPr>
              <w:spacing w:after="20"/>
            </w:pPr>
            <w:r/>
            <w:r>
              <w:rPr>
                <w:rFonts w:ascii="Aptos" w:hAnsi="Aptos"/>
                <w:b/>
                <w:color w:val="FFFFFF"/>
                <w:sz w:val="16"/>
              </w:rPr>
              <w:t>Candidate</w:t>
            </w:r>
          </w:p>
        </w:tc>
        <w:tc>
          <w:tcPr>
            <w:tcW w:type="dxa" w:w="7632"/>
            <w:vAlign w:val="center"/>
            <w:shd w:fill="15314B"/>
          </w:tcPr>
          <w:p>
            <w:pPr>
              <w:spacing w:after="20"/>
            </w:pPr>
            <w:r/>
            <w:r>
              <w:rPr>
                <w:rFonts w:ascii="Aptos" w:hAnsi="Aptos"/>
                <w:b/>
                <w:color w:val="FFFFFF"/>
                <w:sz w:val="16"/>
              </w:rPr>
              <w:t>Role</w:t>
            </w:r>
          </w:p>
        </w:tc>
      </w:tr>
      <w:tr>
        <w:trPr>
          <w:cantSplit/>
        </w:trPr>
        <w:tc>
          <w:tcPr>
            <w:tcW w:type="dxa" w:w="2880"/>
            <w:vAlign w:val="center"/>
            <w:shd w:fill="F1F6F9"/>
          </w:tcPr>
          <w:p>
            <w:pPr>
              <w:spacing w:after="20"/>
            </w:pPr>
            <w:r/>
            <w:r>
              <w:rPr>
                <w:rFonts w:ascii="Aptos" w:hAnsi="Aptos"/>
                <w:b w:val="0"/>
                <w:color w:val="263644"/>
                <w:sz w:val="16"/>
              </w:rPr>
              <w:t>Global-mean baseline</w:t>
            </w:r>
          </w:p>
        </w:tc>
        <w:tc>
          <w:tcPr>
            <w:tcW w:type="dxa" w:w="7632"/>
            <w:vAlign w:val="center"/>
            <w:shd w:fill="F1F6F9"/>
          </w:tcPr>
          <w:p>
            <w:pPr>
              <w:spacing w:after="20"/>
            </w:pPr>
            <w:r/>
            <w:r>
              <w:rPr>
                <w:rFonts w:ascii="Aptos" w:hAnsi="Aptos"/>
                <w:b w:val="0"/>
                <w:color w:val="263644"/>
                <w:sz w:val="16"/>
              </w:rPr>
              <w:t>Reference using the overall training target mean.</w:t>
            </w:r>
          </w:p>
        </w:tc>
      </w:tr>
      <w:tr>
        <w:trPr>
          <w:cantSplit/>
        </w:trPr>
        <w:tc>
          <w:tcPr>
            <w:tcW w:type="dxa" w:w="2880"/>
            <w:vAlign w:val="center"/>
          </w:tcPr>
          <w:p>
            <w:pPr>
              <w:spacing w:after="20"/>
            </w:pPr>
            <w:r/>
            <w:r>
              <w:rPr>
                <w:rFonts w:ascii="Aptos" w:hAnsi="Aptos"/>
                <w:b w:val="0"/>
                <w:color w:val="263644"/>
                <w:sz w:val="16"/>
              </w:rPr>
              <w:t>Workload-mean baseline</w:t>
            </w:r>
          </w:p>
        </w:tc>
        <w:tc>
          <w:tcPr>
            <w:tcW w:type="dxa" w:w="7632"/>
            <w:vAlign w:val="center"/>
          </w:tcPr>
          <w:p>
            <w:pPr>
              <w:spacing w:after="20"/>
            </w:pPr>
            <w:r/>
            <w:r>
              <w:rPr>
                <w:rFonts w:ascii="Aptos" w:hAnsi="Aptos"/>
                <w:b w:val="0"/>
                <w:color w:val="263644"/>
                <w:sz w:val="16"/>
              </w:rPr>
              <w:t>Reference using mean power by workload type.</w:t>
            </w:r>
          </w:p>
        </w:tc>
      </w:tr>
      <w:tr>
        <w:trPr>
          <w:cantSplit/>
        </w:trPr>
        <w:tc>
          <w:tcPr>
            <w:tcW w:type="dxa" w:w="2880"/>
            <w:vAlign w:val="center"/>
            <w:shd w:fill="F1F6F9"/>
          </w:tcPr>
          <w:p>
            <w:pPr>
              <w:spacing w:after="20"/>
            </w:pPr>
            <w:r/>
            <w:r>
              <w:rPr>
                <w:rFonts w:ascii="Aptos" w:hAnsi="Aptos"/>
                <w:b w:val="0"/>
                <w:color w:val="263644"/>
                <w:sz w:val="16"/>
              </w:rPr>
              <w:t>Linear Regression</w:t>
            </w:r>
          </w:p>
        </w:tc>
        <w:tc>
          <w:tcPr>
            <w:tcW w:type="dxa" w:w="7632"/>
            <w:vAlign w:val="center"/>
            <w:shd w:fill="F1F6F9"/>
          </w:tcPr>
          <w:p>
            <w:pPr>
              <w:spacing w:after="20"/>
            </w:pPr>
            <w:r/>
            <w:r>
              <w:rPr>
                <w:rFonts w:ascii="Aptos" w:hAnsi="Aptos"/>
                <w:b w:val="0"/>
                <w:color w:val="263644"/>
                <w:sz w:val="16"/>
              </w:rPr>
              <w:t>Tests whether approximately linear relationships are sufficient.</w:t>
            </w:r>
          </w:p>
        </w:tc>
      </w:tr>
      <w:tr>
        <w:trPr>
          <w:cantSplit/>
        </w:trPr>
        <w:tc>
          <w:tcPr>
            <w:tcW w:type="dxa" w:w="2880"/>
            <w:vAlign w:val="center"/>
          </w:tcPr>
          <w:p>
            <w:pPr>
              <w:spacing w:after="20"/>
            </w:pPr>
            <w:r/>
            <w:r>
              <w:rPr>
                <w:rFonts w:ascii="Aptos" w:hAnsi="Aptos"/>
                <w:b w:val="0"/>
                <w:color w:val="263644"/>
                <w:sz w:val="16"/>
              </w:rPr>
              <w:t>Random Forest</w:t>
            </w:r>
          </w:p>
        </w:tc>
        <w:tc>
          <w:tcPr>
            <w:tcW w:type="dxa" w:w="7632"/>
            <w:vAlign w:val="center"/>
          </w:tcPr>
          <w:p>
            <w:pPr>
              <w:spacing w:after="20"/>
            </w:pPr>
            <w:r/>
            <w:r>
              <w:rPr>
                <w:rFonts w:ascii="Aptos" w:hAnsi="Aptos"/>
                <w:b w:val="0"/>
                <w:color w:val="263644"/>
                <w:sz w:val="16"/>
              </w:rPr>
              <w:t>Captures nonlinear relationships and feature interactions.</w:t>
            </w:r>
          </w:p>
        </w:tc>
      </w:tr>
      <w:tr>
        <w:trPr>
          <w:cantSplit/>
        </w:trPr>
        <w:tc>
          <w:tcPr>
            <w:tcW w:type="dxa" w:w="2880"/>
            <w:vAlign w:val="center"/>
            <w:shd w:fill="F1F6F9"/>
          </w:tcPr>
          <w:p>
            <w:pPr>
              <w:spacing w:after="20"/>
            </w:pPr>
            <w:r/>
            <w:r>
              <w:rPr>
                <w:rFonts w:ascii="Aptos" w:hAnsi="Aptos"/>
                <w:b w:val="0"/>
                <w:color w:val="263644"/>
                <w:sz w:val="16"/>
              </w:rPr>
              <w:t>XGBoost</w:t>
            </w:r>
          </w:p>
        </w:tc>
        <w:tc>
          <w:tcPr>
            <w:tcW w:type="dxa" w:w="7632"/>
            <w:vAlign w:val="center"/>
            <w:shd w:fill="F1F6F9"/>
          </w:tcPr>
          <w:p>
            <w:pPr>
              <w:spacing w:after="20"/>
            </w:pPr>
            <w:r/>
            <w:r>
              <w:rPr>
                <w:rFonts w:ascii="Aptos" w:hAnsi="Aptos"/>
                <w:b w:val="0"/>
                <w:color w:val="263644"/>
                <w:sz w:val="16"/>
              </w:rPr>
              <w:t>Tests gradient-boosted trees for nonlinear relationships and interactions.</w:t>
            </w:r>
          </w:p>
        </w:tc>
      </w:tr>
    </w:tbl>
    <w:p>
      <w:pPr>
        <w:spacing w:after="20"/>
      </w:pPr>
    </w:p>
    <w:p>
      <w:r>
        <w:t>The primary metrics are RMSE, MAE, and R². RMSE penalizes larger errors more strongly, MAE reports average absolute error in watts, and R² summarizes explained variance relative to a mean-based reference. The validation set is used for model selection; the test set is used for final reporting.</w:t>
      </w:r>
    </w:p>
    <w:p>
      <w:pPr>
        <w:pStyle w:val="Heading1"/>
      </w:pPr>
      <w:r>
        <w:t>6. Model Results</w:t>
      </w:r>
    </w:p>
    <w:p>
      <w:r>
        <w:t>The validation comparison selected the tuned Random Forest model for deployment. The validation results were:</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3240"/>
            <w:vAlign w:val="center"/>
            <w:shd w:fill="15314B"/>
          </w:tcPr>
          <w:p>
            <w:pPr>
              <w:spacing w:after="20"/>
            </w:pPr>
            <w:r/>
            <w:r>
              <w:rPr>
                <w:rFonts w:ascii="Aptos" w:hAnsi="Aptos"/>
                <w:b/>
                <w:color w:val="FFFFFF"/>
                <w:sz w:val="16"/>
              </w:rPr>
              <w:t>Model</w:t>
            </w:r>
          </w:p>
        </w:tc>
        <w:tc>
          <w:tcPr>
            <w:tcW w:type="dxa" w:w="2232"/>
            <w:vAlign w:val="center"/>
            <w:shd w:fill="15314B"/>
          </w:tcPr>
          <w:p>
            <w:pPr>
              <w:spacing w:after="20"/>
            </w:pPr>
            <w:r/>
            <w:r>
              <w:rPr>
                <w:rFonts w:ascii="Aptos" w:hAnsi="Aptos"/>
                <w:b/>
                <w:color w:val="FFFFFF"/>
                <w:sz w:val="16"/>
              </w:rPr>
              <w:t>Validation RMSE (W)</w:t>
            </w:r>
          </w:p>
        </w:tc>
        <w:tc>
          <w:tcPr>
            <w:tcW w:type="dxa" w:w="2232"/>
            <w:vAlign w:val="center"/>
            <w:shd w:fill="15314B"/>
          </w:tcPr>
          <w:p>
            <w:pPr>
              <w:spacing w:after="20"/>
            </w:pPr>
            <w:r/>
            <w:r>
              <w:rPr>
                <w:rFonts w:ascii="Aptos" w:hAnsi="Aptos"/>
                <w:b/>
                <w:color w:val="FFFFFF"/>
                <w:sz w:val="16"/>
              </w:rPr>
              <w:t>Validation MAE (W)</w:t>
            </w:r>
          </w:p>
        </w:tc>
        <w:tc>
          <w:tcPr>
            <w:tcW w:type="dxa" w:w="1944"/>
            <w:vAlign w:val="center"/>
            <w:shd w:fill="15314B"/>
          </w:tcPr>
          <w:p>
            <w:pPr>
              <w:spacing w:after="20"/>
            </w:pPr>
            <w:r/>
            <w:r>
              <w:rPr>
                <w:rFonts w:ascii="Aptos" w:hAnsi="Aptos"/>
                <w:b/>
                <w:color w:val="FFFFFF"/>
                <w:sz w:val="16"/>
              </w:rPr>
              <w:t>Validation R²</w:t>
            </w:r>
          </w:p>
        </w:tc>
      </w:tr>
      <w:tr>
        <w:trPr>
          <w:cantSplit/>
        </w:trPr>
        <w:tc>
          <w:tcPr>
            <w:tcW w:type="dxa" w:w="3240"/>
            <w:vAlign w:val="center"/>
            <w:shd w:fill="F1F6F9"/>
          </w:tcPr>
          <w:p>
            <w:pPr>
              <w:spacing w:after="20"/>
            </w:pPr>
            <w:r/>
            <w:r>
              <w:rPr>
                <w:rFonts w:ascii="Aptos" w:hAnsi="Aptos"/>
                <w:b w:val="0"/>
                <w:color w:val="263644"/>
                <w:sz w:val="16"/>
              </w:rPr>
              <w:t>Tuned Random Forest</w:t>
            </w:r>
          </w:p>
        </w:tc>
        <w:tc>
          <w:tcPr>
            <w:tcW w:type="dxa" w:w="2232"/>
            <w:vAlign w:val="center"/>
            <w:shd w:fill="F1F6F9"/>
          </w:tcPr>
          <w:p>
            <w:pPr>
              <w:spacing w:after="20"/>
            </w:pPr>
            <w:r/>
            <w:r>
              <w:rPr>
                <w:rFonts w:ascii="Aptos" w:hAnsi="Aptos"/>
                <w:b w:val="0"/>
                <w:color w:val="263644"/>
                <w:sz w:val="16"/>
              </w:rPr>
              <w:t>37.20</w:t>
            </w:r>
          </w:p>
        </w:tc>
        <w:tc>
          <w:tcPr>
            <w:tcW w:type="dxa" w:w="2232"/>
            <w:vAlign w:val="center"/>
            <w:shd w:fill="F1F6F9"/>
          </w:tcPr>
          <w:p>
            <w:pPr>
              <w:spacing w:after="20"/>
            </w:pPr>
            <w:r/>
            <w:r>
              <w:rPr>
                <w:rFonts w:ascii="Aptos" w:hAnsi="Aptos"/>
                <w:b w:val="0"/>
                <w:color w:val="263644"/>
                <w:sz w:val="16"/>
              </w:rPr>
              <w:t>24.74</w:t>
            </w:r>
          </w:p>
        </w:tc>
        <w:tc>
          <w:tcPr>
            <w:tcW w:type="dxa" w:w="1944"/>
            <w:vAlign w:val="center"/>
            <w:shd w:fill="F1F6F9"/>
          </w:tcPr>
          <w:p>
            <w:pPr>
              <w:spacing w:after="20"/>
            </w:pPr>
            <w:r/>
            <w:r>
              <w:rPr>
                <w:rFonts w:ascii="Aptos" w:hAnsi="Aptos"/>
                <w:b w:val="0"/>
                <w:color w:val="263644"/>
                <w:sz w:val="16"/>
              </w:rPr>
              <w:t>0.9605</w:t>
            </w:r>
          </w:p>
        </w:tc>
      </w:tr>
      <w:tr>
        <w:trPr>
          <w:cantSplit/>
        </w:trPr>
        <w:tc>
          <w:tcPr>
            <w:tcW w:type="dxa" w:w="3240"/>
            <w:vAlign w:val="center"/>
          </w:tcPr>
          <w:p>
            <w:pPr>
              <w:spacing w:after="20"/>
            </w:pPr>
            <w:r/>
            <w:r>
              <w:rPr>
                <w:rFonts w:ascii="Aptos" w:hAnsi="Aptos"/>
                <w:b w:val="0"/>
                <w:color w:val="263644"/>
                <w:sz w:val="16"/>
              </w:rPr>
              <w:t>Tuned XGBoost</w:t>
            </w:r>
          </w:p>
        </w:tc>
        <w:tc>
          <w:tcPr>
            <w:tcW w:type="dxa" w:w="2232"/>
            <w:vAlign w:val="center"/>
          </w:tcPr>
          <w:p>
            <w:pPr>
              <w:spacing w:after="20"/>
            </w:pPr>
            <w:r/>
            <w:r>
              <w:rPr>
                <w:rFonts w:ascii="Aptos" w:hAnsi="Aptos"/>
                <w:b w:val="0"/>
                <w:color w:val="263644"/>
                <w:sz w:val="16"/>
              </w:rPr>
              <w:t>37.25</w:t>
            </w:r>
          </w:p>
        </w:tc>
        <w:tc>
          <w:tcPr>
            <w:tcW w:type="dxa" w:w="2232"/>
            <w:vAlign w:val="center"/>
          </w:tcPr>
          <w:p>
            <w:pPr>
              <w:spacing w:after="20"/>
            </w:pPr>
            <w:r/>
            <w:r>
              <w:rPr>
                <w:rFonts w:ascii="Aptos" w:hAnsi="Aptos"/>
                <w:b w:val="0"/>
                <w:color w:val="263644"/>
                <w:sz w:val="16"/>
              </w:rPr>
              <w:t>25.27</w:t>
            </w:r>
          </w:p>
        </w:tc>
        <w:tc>
          <w:tcPr>
            <w:tcW w:type="dxa" w:w="1944"/>
            <w:vAlign w:val="center"/>
          </w:tcPr>
          <w:p>
            <w:pPr>
              <w:spacing w:after="20"/>
            </w:pPr>
            <w:r/>
            <w:r>
              <w:rPr>
                <w:rFonts w:ascii="Aptos" w:hAnsi="Aptos"/>
                <w:b w:val="0"/>
                <w:color w:val="263644"/>
                <w:sz w:val="16"/>
              </w:rPr>
              <w:t>0.9604</w:t>
            </w:r>
          </w:p>
        </w:tc>
      </w:tr>
      <w:tr>
        <w:trPr>
          <w:cantSplit/>
        </w:trPr>
        <w:tc>
          <w:tcPr>
            <w:tcW w:type="dxa" w:w="3240"/>
            <w:vAlign w:val="center"/>
            <w:shd w:fill="F1F6F9"/>
          </w:tcPr>
          <w:p>
            <w:pPr>
              <w:spacing w:after="20"/>
            </w:pPr>
            <w:r/>
            <w:r>
              <w:rPr>
                <w:rFonts w:ascii="Aptos" w:hAnsi="Aptos"/>
                <w:b w:val="0"/>
                <w:color w:val="263644"/>
                <w:sz w:val="16"/>
              </w:rPr>
              <w:t>Linear Regression</w:t>
            </w:r>
          </w:p>
        </w:tc>
        <w:tc>
          <w:tcPr>
            <w:tcW w:type="dxa" w:w="2232"/>
            <w:vAlign w:val="center"/>
            <w:shd w:fill="F1F6F9"/>
          </w:tcPr>
          <w:p>
            <w:pPr>
              <w:spacing w:after="20"/>
            </w:pPr>
            <w:r/>
            <w:r>
              <w:rPr>
                <w:rFonts w:ascii="Aptos" w:hAnsi="Aptos"/>
                <w:b w:val="0"/>
                <w:color w:val="263644"/>
                <w:sz w:val="16"/>
              </w:rPr>
              <w:t>146.90</w:t>
            </w:r>
          </w:p>
        </w:tc>
        <w:tc>
          <w:tcPr>
            <w:tcW w:type="dxa" w:w="2232"/>
            <w:vAlign w:val="center"/>
            <w:shd w:fill="F1F6F9"/>
          </w:tcPr>
          <w:p>
            <w:pPr>
              <w:spacing w:after="20"/>
            </w:pPr>
            <w:r/>
            <w:r>
              <w:rPr>
                <w:rFonts w:ascii="Aptos" w:hAnsi="Aptos"/>
                <w:b w:val="0"/>
                <w:color w:val="263644"/>
                <w:sz w:val="16"/>
              </w:rPr>
              <w:t>106.31</w:t>
            </w:r>
          </w:p>
        </w:tc>
        <w:tc>
          <w:tcPr>
            <w:tcW w:type="dxa" w:w="1944"/>
            <w:vAlign w:val="center"/>
            <w:shd w:fill="F1F6F9"/>
          </w:tcPr>
          <w:p>
            <w:pPr>
              <w:spacing w:after="20"/>
            </w:pPr>
            <w:r/>
            <w:r>
              <w:rPr>
                <w:rFonts w:ascii="Aptos" w:hAnsi="Aptos"/>
                <w:b w:val="0"/>
                <w:color w:val="263644"/>
                <w:sz w:val="16"/>
              </w:rPr>
              <w:t>0.3835</w:t>
            </w:r>
          </w:p>
        </w:tc>
      </w:tr>
      <w:tr>
        <w:trPr>
          <w:cantSplit/>
        </w:trPr>
        <w:tc>
          <w:tcPr>
            <w:tcW w:type="dxa" w:w="3240"/>
            <w:vAlign w:val="center"/>
          </w:tcPr>
          <w:p>
            <w:pPr>
              <w:spacing w:after="20"/>
            </w:pPr>
            <w:r/>
            <w:r>
              <w:rPr>
                <w:rFonts w:ascii="Aptos" w:hAnsi="Aptos"/>
                <w:b w:val="0"/>
                <w:color w:val="263644"/>
                <w:sz w:val="16"/>
              </w:rPr>
              <w:t>Workload-mean baseline</w:t>
            </w:r>
          </w:p>
        </w:tc>
        <w:tc>
          <w:tcPr>
            <w:tcW w:type="dxa" w:w="2232"/>
            <w:vAlign w:val="center"/>
          </w:tcPr>
          <w:p>
            <w:pPr>
              <w:spacing w:after="20"/>
            </w:pPr>
            <w:r/>
            <w:r>
              <w:rPr>
                <w:rFonts w:ascii="Aptos" w:hAnsi="Aptos"/>
                <w:b w:val="0"/>
                <w:color w:val="263644"/>
                <w:sz w:val="16"/>
              </w:rPr>
              <w:t>167.52</w:t>
            </w:r>
          </w:p>
        </w:tc>
        <w:tc>
          <w:tcPr>
            <w:tcW w:type="dxa" w:w="2232"/>
            <w:vAlign w:val="center"/>
          </w:tcPr>
          <w:p>
            <w:pPr>
              <w:spacing w:after="20"/>
            </w:pPr>
            <w:r/>
            <w:r>
              <w:rPr>
                <w:rFonts w:ascii="Aptos" w:hAnsi="Aptos"/>
                <w:b w:val="0"/>
                <w:color w:val="263644"/>
                <w:sz w:val="16"/>
              </w:rPr>
              <w:t>115.37</w:t>
            </w:r>
          </w:p>
        </w:tc>
        <w:tc>
          <w:tcPr>
            <w:tcW w:type="dxa" w:w="1944"/>
            <w:vAlign w:val="center"/>
          </w:tcPr>
          <w:p>
            <w:pPr>
              <w:spacing w:after="20"/>
            </w:pPr>
            <w:r/>
            <w:r>
              <w:rPr>
                <w:rFonts w:ascii="Aptos" w:hAnsi="Aptos"/>
                <w:b w:val="0"/>
                <w:color w:val="263644"/>
                <w:sz w:val="16"/>
              </w:rPr>
              <w:t>0.1983</w:t>
            </w:r>
          </w:p>
        </w:tc>
      </w:tr>
      <w:tr>
        <w:trPr>
          <w:cantSplit/>
        </w:trPr>
        <w:tc>
          <w:tcPr>
            <w:tcW w:type="dxa" w:w="3240"/>
            <w:vAlign w:val="center"/>
            <w:shd w:fill="F1F6F9"/>
          </w:tcPr>
          <w:p>
            <w:pPr>
              <w:spacing w:after="20"/>
            </w:pPr>
            <w:r/>
            <w:r>
              <w:rPr>
                <w:rFonts w:ascii="Aptos" w:hAnsi="Aptos"/>
                <w:b w:val="0"/>
                <w:color w:val="263644"/>
                <w:sz w:val="16"/>
              </w:rPr>
              <w:t>Global-mean baseline</w:t>
            </w:r>
          </w:p>
        </w:tc>
        <w:tc>
          <w:tcPr>
            <w:tcW w:type="dxa" w:w="2232"/>
            <w:vAlign w:val="center"/>
            <w:shd w:fill="F1F6F9"/>
          </w:tcPr>
          <w:p>
            <w:pPr>
              <w:spacing w:after="20"/>
            </w:pPr>
            <w:r/>
            <w:r>
              <w:rPr>
                <w:rFonts w:ascii="Aptos" w:hAnsi="Aptos"/>
                <w:b w:val="0"/>
                <w:color w:val="263644"/>
                <w:sz w:val="16"/>
              </w:rPr>
              <w:t>187.11</w:t>
            </w:r>
          </w:p>
        </w:tc>
        <w:tc>
          <w:tcPr>
            <w:tcW w:type="dxa" w:w="2232"/>
            <w:vAlign w:val="center"/>
            <w:shd w:fill="F1F6F9"/>
          </w:tcPr>
          <w:p>
            <w:pPr>
              <w:spacing w:after="20"/>
            </w:pPr>
            <w:r/>
            <w:r>
              <w:rPr>
                <w:rFonts w:ascii="Aptos" w:hAnsi="Aptos"/>
                <w:b w:val="0"/>
                <w:color w:val="263644"/>
                <w:sz w:val="16"/>
              </w:rPr>
              <w:t>150.29</w:t>
            </w:r>
          </w:p>
        </w:tc>
        <w:tc>
          <w:tcPr>
            <w:tcW w:type="dxa" w:w="1944"/>
            <w:vAlign w:val="center"/>
            <w:shd w:fill="F1F6F9"/>
          </w:tcPr>
          <w:p>
            <w:pPr>
              <w:spacing w:after="20"/>
            </w:pPr>
            <w:r/>
            <w:r>
              <w:rPr>
                <w:rFonts w:ascii="Aptos" w:hAnsi="Aptos"/>
                <w:b w:val="0"/>
                <w:color w:val="263644"/>
                <w:sz w:val="16"/>
              </w:rPr>
              <w:t>-0.0002</w:t>
            </w:r>
          </w:p>
        </w:tc>
      </w:tr>
    </w:tbl>
    <w:p>
      <w:pPr>
        <w:spacing w:after="20"/>
      </w:pPr>
    </w:p>
    <w:p>
      <w:r>
        <w:t>Final held-out test performance for Random Forest: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448"/>
            <w:vAlign w:val="center"/>
            <w:shd w:fill="15314B"/>
          </w:tcPr>
          <w:p>
            <w:pPr>
              <w:spacing w:after="20"/>
            </w:pPr>
            <w:r/>
            <w:r>
              <w:rPr>
                <w:rFonts w:ascii="Aptos" w:hAnsi="Aptos"/>
                <w:b/>
                <w:color w:val="FFFFFF"/>
                <w:sz w:val="16"/>
              </w:rPr>
              <w:t>Metric</w:t>
            </w:r>
          </w:p>
        </w:tc>
        <w:tc>
          <w:tcPr>
            <w:tcW w:type="dxa" w:w="2016"/>
            <w:vAlign w:val="center"/>
            <w:shd w:fill="15314B"/>
          </w:tcPr>
          <w:p>
            <w:pPr>
              <w:spacing w:after="20"/>
            </w:pPr>
            <w:r/>
            <w:r>
              <w:rPr>
                <w:rFonts w:ascii="Aptos" w:hAnsi="Aptos"/>
                <w:b/>
                <w:color w:val="FFFFFF"/>
                <w:sz w:val="16"/>
              </w:rPr>
              <w:t>Test result</w:t>
            </w:r>
          </w:p>
        </w:tc>
        <w:tc>
          <w:tcPr>
            <w:tcW w:type="dxa" w:w="5184"/>
            <w:vAlign w:val="center"/>
            <w:shd w:fill="15314B"/>
          </w:tcPr>
          <w:p>
            <w:pPr>
              <w:spacing w:after="20"/>
            </w:pPr>
            <w:r/>
            <w:r>
              <w:rPr>
                <w:rFonts w:ascii="Aptos" w:hAnsi="Aptos"/>
                <w:b/>
                <w:color w:val="FFFFFF"/>
                <w:sz w:val="16"/>
              </w:rPr>
              <w:t>Interpretation</w:t>
            </w:r>
          </w:p>
        </w:tc>
      </w:tr>
      <w:tr>
        <w:trPr>
          <w:cantSplit/>
        </w:trPr>
        <w:tc>
          <w:tcPr>
            <w:tcW w:type="dxa" w:w="2448"/>
            <w:vAlign w:val="center"/>
            <w:shd w:fill="F1F6F9"/>
          </w:tcPr>
          <w:p>
            <w:pPr>
              <w:spacing w:after="20"/>
            </w:pPr>
            <w:r/>
            <w:r>
              <w:rPr>
                <w:rFonts w:ascii="Aptos" w:hAnsi="Aptos"/>
                <w:b w:val="0"/>
                <w:color w:val="263644"/>
                <w:sz w:val="16"/>
              </w:rPr>
              <w:t>RMSE</w:t>
            </w:r>
          </w:p>
        </w:tc>
        <w:tc>
          <w:tcPr>
            <w:tcW w:type="dxa" w:w="2016"/>
            <w:vAlign w:val="center"/>
            <w:shd w:fill="F1F6F9"/>
          </w:tcPr>
          <w:p>
            <w:pPr>
              <w:spacing w:after="20"/>
            </w:pPr>
            <w:r/>
            <w:r>
              <w:rPr>
                <w:rFonts w:ascii="Aptos" w:hAnsi="Aptos"/>
                <w:b w:val="0"/>
                <w:color w:val="263644"/>
                <w:sz w:val="16"/>
              </w:rPr>
              <w:t>37.61 W</w:t>
            </w:r>
          </w:p>
        </w:tc>
        <w:tc>
          <w:tcPr>
            <w:tcW w:type="dxa" w:w="5184"/>
            <w:vAlign w:val="center"/>
            <w:shd w:fill="F1F6F9"/>
          </w:tcPr>
          <w:p>
            <w:pPr>
              <w:spacing w:after="20"/>
            </w:pPr>
            <w:r/>
            <w:r>
              <w:rPr>
                <w:rFonts w:ascii="Aptos" w:hAnsi="Aptos"/>
                <w:b w:val="0"/>
                <w:color w:val="263644"/>
                <w:sz w:val="16"/>
              </w:rPr>
              <w:t>Overall error measure that gives greater weight to larger errors.</w:t>
            </w:r>
          </w:p>
        </w:tc>
      </w:tr>
      <w:tr>
        <w:trPr>
          <w:cantSplit/>
        </w:trPr>
        <w:tc>
          <w:tcPr>
            <w:tcW w:type="dxa" w:w="2448"/>
            <w:vAlign w:val="center"/>
          </w:tcPr>
          <w:p>
            <w:pPr>
              <w:spacing w:after="20"/>
            </w:pPr>
            <w:r/>
            <w:r>
              <w:rPr>
                <w:rFonts w:ascii="Aptos" w:hAnsi="Aptos"/>
                <w:b w:val="0"/>
                <w:color w:val="263644"/>
                <w:sz w:val="16"/>
              </w:rPr>
              <w:t>MAE</w:t>
            </w:r>
          </w:p>
        </w:tc>
        <w:tc>
          <w:tcPr>
            <w:tcW w:type="dxa" w:w="2016"/>
            <w:vAlign w:val="center"/>
          </w:tcPr>
          <w:p>
            <w:pPr>
              <w:spacing w:after="20"/>
            </w:pPr>
            <w:r/>
            <w:r>
              <w:rPr>
                <w:rFonts w:ascii="Aptos" w:hAnsi="Aptos"/>
                <w:b w:val="0"/>
                <w:color w:val="263644"/>
                <w:sz w:val="16"/>
              </w:rPr>
              <w:t>25.10 W</w:t>
            </w:r>
          </w:p>
        </w:tc>
        <w:tc>
          <w:tcPr>
            <w:tcW w:type="dxa" w:w="5184"/>
            <w:vAlign w:val="center"/>
          </w:tcPr>
          <w:p>
            <w:pPr>
              <w:spacing w:after="20"/>
            </w:pPr>
            <w:r/>
            <w:r>
              <w:rPr>
                <w:rFonts w:ascii="Aptos" w:hAnsi="Aptos"/>
                <w:b w:val="0"/>
                <w:color w:val="263644"/>
                <w:sz w:val="16"/>
              </w:rPr>
              <w:t>Average absolute error of about 25 W per execution.</w:t>
            </w:r>
          </w:p>
        </w:tc>
      </w:tr>
      <w:tr>
        <w:trPr>
          <w:cantSplit/>
        </w:trPr>
        <w:tc>
          <w:tcPr>
            <w:tcW w:type="dxa" w:w="2448"/>
            <w:vAlign w:val="center"/>
            <w:shd w:fill="F1F6F9"/>
          </w:tcPr>
          <w:p>
            <w:pPr>
              <w:spacing w:after="20"/>
            </w:pPr>
            <w:r/>
            <w:r>
              <w:rPr>
                <w:rFonts w:ascii="Aptos" w:hAnsi="Aptos"/>
                <w:b w:val="0"/>
                <w:color w:val="263644"/>
                <w:sz w:val="16"/>
              </w:rPr>
              <w:t>R²</w:t>
            </w:r>
          </w:p>
        </w:tc>
        <w:tc>
          <w:tcPr>
            <w:tcW w:type="dxa" w:w="2016"/>
            <w:vAlign w:val="center"/>
            <w:shd w:fill="F1F6F9"/>
          </w:tcPr>
          <w:p>
            <w:pPr>
              <w:spacing w:after="20"/>
            </w:pPr>
            <w:r/>
            <w:r>
              <w:rPr>
                <w:rFonts w:ascii="Aptos" w:hAnsi="Aptos"/>
                <w:b w:val="0"/>
                <w:color w:val="263644"/>
                <w:sz w:val="16"/>
              </w:rPr>
              <w:t>0.9599</w:t>
            </w:r>
          </w:p>
        </w:tc>
        <w:tc>
          <w:tcPr>
            <w:tcW w:type="dxa" w:w="5184"/>
            <w:vAlign w:val="center"/>
            <w:shd w:fill="F1F6F9"/>
          </w:tcPr>
          <w:p>
            <w:pPr>
              <w:spacing w:after="20"/>
            </w:pPr>
            <w:r/>
            <w:r>
              <w:rPr>
                <w:rFonts w:ascii="Aptos" w:hAnsi="Aptos"/>
                <w:b w:val="0"/>
                <w:color w:val="263644"/>
                <w:sz w:val="16"/>
              </w:rPr>
              <w:t>Strong explanatory performance on the held-out test set.</w:t>
            </w:r>
          </w:p>
        </w:tc>
      </w:tr>
      <w:tr>
        <w:trPr>
          <w:cantSplit/>
        </w:trPr>
        <w:tc>
          <w:tcPr>
            <w:tcW w:type="dxa" w:w="2448"/>
            <w:vAlign w:val="center"/>
          </w:tcPr>
          <w:p>
            <w:pPr>
              <w:spacing w:after="20"/>
            </w:pPr>
            <w:r/>
            <w:r>
              <w:rPr>
                <w:rFonts w:ascii="Aptos" w:hAnsi="Aptos"/>
                <w:b w:val="0"/>
                <w:color w:val="263644"/>
                <w:sz w:val="16"/>
              </w:rPr>
              <w:t>MAE / mean target</w:t>
            </w:r>
          </w:p>
        </w:tc>
        <w:tc>
          <w:tcPr>
            <w:tcW w:type="dxa" w:w="2016"/>
            <w:vAlign w:val="center"/>
          </w:tcPr>
          <w:p>
            <w:pPr>
              <w:spacing w:after="20"/>
            </w:pPr>
            <w:r/>
            <w:r>
              <w:rPr>
                <w:rFonts w:ascii="Aptos" w:hAnsi="Aptos"/>
                <w:b w:val="0"/>
                <w:color w:val="263644"/>
                <w:sz w:val="16"/>
              </w:rPr>
              <w:t>0.97%</w:t>
            </w:r>
          </w:p>
        </w:tc>
        <w:tc>
          <w:tcPr>
            <w:tcW w:type="dxa" w:w="5184"/>
            <w:vAlign w:val="center"/>
          </w:tcPr>
          <w:p>
            <w:pPr>
              <w:spacing w:after="20"/>
            </w:pPr>
            <w:r/>
            <w:r>
              <w:rPr>
                <w:rFonts w:ascii="Aptos" w:hAnsi="Aptos"/>
                <w:b w:val="0"/>
                <w:color w:val="263644"/>
                <w:sz w:val="16"/>
              </w:rPr>
              <w:t>MAE relative to the mean target power.</w:t>
            </w:r>
          </w:p>
        </w:tc>
      </w:tr>
    </w:tbl>
    <w:p>
      <w:pPr>
        <w:spacing w:after="20"/>
      </w:pPr>
    </w:p>
    <w:p>
      <w:r>
        <w:t>Performance varies by workload group. In the reported test results, online-finite inference had the lowest subgroup R² (approximately 0.879), so aggregate metrics should not be interpreted as uniform accuracy across every workload type. Held-out performance is evidence of generalization within this dataset, not a production guarantee.</w:t>
      </w:r>
    </w:p>
    <w:p>
      <w:pPr>
        <w:pStyle w:val="Heading1"/>
      </w:pPr>
      <w:r>
        <w:t>7. Artifact Management and Reproducibility</w:t>
      </w:r>
    </w:p>
    <w:p>
      <w:r>
        <w:t>The workflow saves the fitted preprocessing artifact (`preprocessor.joblib`) and a model artifact (`best_model.joblib`) containing the selected Random Forest model, feature names, and validation metrics. Processed feature matrices and target partitions are persisted as Parquet files to support repeatable modeling runs.</w:t>
      </w:r>
    </w:p>
    <w:p>
      <w:pPr>
        <w:pStyle w:val="ListBullet"/>
        <w:spacing w:after="40"/>
      </w:pPr>
      <w:r>
        <w:t>The train/validation/test split uses a fixed random seed.</w:t>
      </w:r>
    </w:p>
    <w:p>
      <w:pPr>
        <w:pStyle w:val="ListBullet"/>
        <w:spacing w:after="40"/>
      </w:pPr>
      <w:r>
        <w:t>The model and preprocessor are saved as separate, reusable artifacts and packaged together for inference.</w:t>
      </w:r>
    </w:p>
    <w:p>
      <w:pPr>
        <w:pStyle w:val="ListBullet"/>
        <w:spacing w:after="40"/>
      </w:pPr>
      <w:r>
        <w:t>The deployment workflow uses a consistent scikit-learn 1.4.2 environment for artifact creation and serving to avoid cross-version serialization incompatibilities.</w:t>
      </w:r>
    </w:p>
    <w:p>
      <w:pPr>
        <w:pStyle w:val="ListBullet"/>
        <w:spacing w:after="40"/>
      </w:pPr>
      <w:r>
        <w:t>The final notebook records the environment, artifact checks, model packaging, endpoint creation, smoke test, and notebook-versus-endpoint comparison.</w:t>
      </w:r>
    </w:p>
    <w:p>
      <w:pPr>
        <w:pStyle w:val="Heading1"/>
      </w:pPr>
      <w:r>
        <w:t>8. SageMaker Deployment and Inference Validation</w:t>
      </w:r>
    </w:p>
    <w:p>
      <w:r>
        <w:t>The selected Random Forest model was operationalized as a managed AWS SageMaker inference endpoint. The deployment packages the trained model, fitted preprocessing pipeline, and an inference script that handles the request/response path.</w:t>
      </w:r>
    </w:p>
    <w:tbl>
      <w:tblPr>
        <w:tblStyle w:val="TableGrid"/>
        <w:tblW w:type="auto" w:w="0"/>
        <w:jc w:val="center"/>
        <w:tblLook w:firstColumn="1" w:firstRow="1" w:lastColumn="0" w:lastRow="0" w:noHBand="0" w:noVBand="1" w:val="04A0"/>
      </w:tblPr>
      <w:tblGrid>
        <w:gridCol w:w="4997"/>
        <w:gridCol w:w="4997"/>
      </w:tblGrid>
      <w:tr>
        <w:trPr>
          <w:cantSplit/>
        </w:trPr>
        <w:tc>
          <w:tcPr>
            <w:tcW w:type="dxa" w:w="2520"/>
            <w:vAlign w:val="center"/>
            <w:shd w:fill="15314B"/>
          </w:tcPr>
          <w:p>
            <w:pPr>
              <w:spacing w:after="20"/>
            </w:pPr>
            <w:r/>
            <w:r>
              <w:rPr>
                <w:rFonts w:ascii="Aptos" w:hAnsi="Aptos"/>
                <w:b/>
                <w:color w:val="FFFFFF"/>
                <w:sz w:val="16"/>
              </w:rPr>
              <w:t>Deployment component</w:t>
            </w:r>
          </w:p>
        </w:tc>
        <w:tc>
          <w:tcPr>
            <w:tcW w:type="dxa" w:w="7344"/>
            <w:vAlign w:val="center"/>
            <w:shd w:fill="15314B"/>
          </w:tcPr>
          <w:p>
            <w:pPr>
              <w:spacing w:after="20"/>
            </w:pPr>
            <w:r/>
            <w:r>
              <w:rPr>
                <w:rFonts w:ascii="Aptos" w:hAnsi="Aptos"/>
                <w:b/>
                <w:color w:val="FFFFFF"/>
                <w:sz w:val="16"/>
              </w:rPr>
              <w:t>Implementation</w:t>
            </w:r>
          </w:p>
        </w:tc>
      </w:tr>
      <w:tr>
        <w:trPr>
          <w:cantSplit/>
        </w:trPr>
        <w:tc>
          <w:tcPr>
            <w:tcW w:type="dxa" w:w="2520"/>
            <w:vAlign w:val="center"/>
            <w:shd w:fill="F1F6F9"/>
          </w:tcPr>
          <w:p>
            <w:pPr>
              <w:spacing w:after="20"/>
            </w:pPr>
            <w:r/>
            <w:r>
              <w:rPr>
                <w:rFonts w:ascii="Aptos" w:hAnsi="Aptos"/>
                <w:b w:val="0"/>
                <w:color w:val="263644"/>
                <w:sz w:val="16"/>
              </w:rPr>
              <w:t>Model artifacts</w:t>
            </w:r>
          </w:p>
        </w:tc>
        <w:tc>
          <w:tcPr>
            <w:tcW w:type="dxa" w:w="7344"/>
            <w:vAlign w:val="center"/>
            <w:shd w:fill="F1F6F9"/>
          </w:tcPr>
          <w:p>
            <w:pPr>
              <w:spacing w:after="20"/>
            </w:pPr>
            <w:r/>
            <w:r>
              <w:rPr>
                <w:rFonts w:ascii="Aptos" w:hAnsi="Aptos"/>
                <w:b w:val="0"/>
                <w:color w:val="263644"/>
                <w:sz w:val="16"/>
              </w:rPr>
              <w:t>Random Forest model plus fitted preprocessor.</w:t>
            </w:r>
          </w:p>
        </w:tc>
      </w:tr>
      <w:tr>
        <w:trPr>
          <w:cantSplit/>
        </w:trPr>
        <w:tc>
          <w:tcPr>
            <w:tcW w:type="dxa" w:w="2520"/>
            <w:vAlign w:val="center"/>
          </w:tcPr>
          <w:p>
            <w:pPr>
              <w:spacing w:after="20"/>
            </w:pPr>
            <w:r/>
            <w:r>
              <w:rPr>
                <w:rFonts w:ascii="Aptos" w:hAnsi="Aptos"/>
                <w:b w:val="0"/>
                <w:color w:val="263644"/>
                <w:sz w:val="16"/>
              </w:rPr>
              <w:t>Inference code</w:t>
            </w:r>
          </w:p>
        </w:tc>
        <w:tc>
          <w:tcPr>
            <w:tcW w:type="dxa" w:w="7344"/>
            <w:vAlign w:val="center"/>
          </w:tcPr>
          <w:p>
            <w:pPr>
              <w:spacing w:after="20"/>
            </w:pPr>
            <w:r/>
            <w:r>
              <w:rPr>
                <w:rFonts w:ascii="Aptos" w:hAnsi="Aptos"/>
                <w:b w:val="0"/>
                <w:color w:val="263644"/>
                <w:sz w:val="16"/>
              </w:rPr>
              <w:t>`inference.py` loads artifacts, accepts raw workload JSON, applies the saved preprocessing pipeline, predicts mean power, and returns JSON.</w:t>
            </w:r>
          </w:p>
        </w:tc>
      </w:tr>
      <w:tr>
        <w:trPr>
          <w:cantSplit/>
        </w:trPr>
        <w:tc>
          <w:tcPr>
            <w:tcW w:type="dxa" w:w="2520"/>
            <w:vAlign w:val="center"/>
            <w:shd w:fill="F1F6F9"/>
          </w:tcPr>
          <w:p>
            <w:pPr>
              <w:spacing w:after="20"/>
            </w:pPr>
            <w:r/>
            <w:r>
              <w:rPr>
                <w:rFonts w:ascii="Aptos" w:hAnsi="Aptos"/>
                <w:b w:val="0"/>
                <w:color w:val="263644"/>
                <w:sz w:val="16"/>
              </w:rPr>
              <w:t>Artifact storage</w:t>
            </w:r>
          </w:p>
        </w:tc>
        <w:tc>
          <w:tcPr>
            <w:tcW w:type="dxa" w:w="7344"/>
            <w:vAlign w:val="center"/>
            <w:shd w:fill="F1F6F9"/>
          </w:tcPr>
          <w:p>
            <w:pPr>
              <w:spacing w:after="20"/>
            </w:pPr>
            <w:r/>
            <w:r>
              <w:rPr>
                <w:rFonts w:ascii="Aptos" w:hAnsi="Aptos"/>
                <w:b w:val="0"/>
                <w:color w:val="263644"/>
                <w:sz w:val="16"/>
              </w:rPr>
              <w:t>Model package and inference source uploaded to Amazon S3.</w:t>
            </w:r>
          </w:p>
        </w:tc>
      </w:tr>
      <w:tr>
        <w:trPr>
          <w:cantSplit/>
        </w:trPr>
        <w:tc>
          <w:tcPr>
            <w:tcW w:type="dxa" w:w="2520"/>
            <w:vAlign w:val="center"/>
          </w:tcPr>
          <w:p>
            <w:pPr>
              <w:spacing w:after="20"/>
            </w:pPr>
            <w:r/>
            <w:r>
              <w:rPr>
                <w:rFonts w:ascii="Aptos" w:hAnsi="Aptos"/>
                <w:b w:val="0"/>
                <w:color w:val="263644"/>
                <w:sz w:val="16"/>
              </w:rPr>
              <w:t>Serving environment</w:t>
            </w:r>
          </w:p>
        </w:tc>
        <w:tc>
          <w:tcPr>
            <w:tcW w:type="dxa" w:w="7344"/>
            <w:vAlign w:val="center"/>
          </w:tcPr>
          <w:p>
            <w:pPr>
              <w:spacing w:after="20"/>
            </w:pPr>
            <w:r/>
            <w:r>
              <w:rPr>
                <w:rFonts w:ascii="Aptos" w:hAnsi="Aptos"/>
                <w:b w:val="0"/>
                <w:color w:val="263644"/>
                <w:sz w:val="16"/>
              </w:rPr>
              <w:t>AWS-managed SageMaker scikit-learn 1.4-2 CPU inference image.</w:t>
            </w:r>
          </w:p>
        </w:tc>
      </w:tr>
      <w:tr>
        <w:trPr>
          <w:cantSplit/>
        </w:trPr>
        <w:tc>
          <w:tcPr>
            <w:tcW w:type="dxa" w:w="2520"/>
            <w:vAlign w:val="center"/>
            <w:shd w:fill="F1F6F9"/>
          </w:tcPr>
          <w:p>
            <w:pPr>
              <w:spacing w:after="20"/>
            </w:pPr>
            <w:r/>
            <w:r>
              <w:rPr>
                <w:rFonts w:ascii="Aptos" w:hAnsi="Aptos"/>
                <w:b w:val="0"/>
                <w:color w:val="263644"/>
                <w:sz w:val="16"/>
              </w:rPr>
              <w:t>Endpoint validation</w:t>
            </w:r>
          </w:p>
        </w:tc>
        <w:tc>
          <w:tcPr>
            <w:tcW w:type="dxa" w:w="7344"/>
            <w:vAlign w:val="center"/>
            <w:shd w:fill="F1F6F9"/>
          </w:tcPr>
          <w:p>
            <w:pPr>
              <w:spacing w:after="20"/>
            </w:pPr>
            <w:r/>
            <w:r>
              <w:rPr>
                <w:rFonts w:ascii="Aptos" w:hAnsi="Aptos"/>
                <w:b w:val="0"/>
                <w:color w:val="263644"/>
                <w:sz w:val="16"/>
              </w:rPr>
              <w:t>Endpoint reached `InService`; a raw JSON request was submitted successfully.</w:t>
            </w:r>
          </w:p>
        </w:tc>
      </w:tr>
    </w:tbl>
    <w:p>
      <w:pPr>
        <w:spacing w:after="20"/>
      </w:pPr>
    </w:p>
    <w:tbl>
      <w:tblPr>
        <w:tblStyle w:val="TableGrid"/>
        <w:tblW w:type="auto" w:w="0"/>
        <w:tblLook w:firstColumn="1" w:firstRow="1" w:lastColumn="0" w:lastRow="0" w:noHBand="0" w:noVBand="1" w:val="04A0"/>
      </w:tblPr>
      <w:tblGrid>
        <w:gridCol w:w="9994"/>
      </w:tblGrid>
      <w:tr>
        <w:trPr>
          <w:cantSplit/>
        </w:trPr>
        <w:tc>
          <w:tcPr>
            <w:tcW w:type="dxa" w:w="9994"/>
            <w:shd w:fill="F1F6F9"/>
          </w:tcPr>
          <w:p>
            <w:pPr>
              <w:spacing w:after="40"/>
            </w:pPr>
            <w:r/>
            <w:r>
              <w:rPr>
                <w:b/>
                <w:color w:val="0A8B84"/>
                <w:sz w:val="19"/>
              </w:rPr>
              <w:t xml:space="preserve">Live inference check  </w:t>
            </w:r>
            <w:r>
              <w:rPr>
                <w:color w:val="263644"/>
                <w:sz w:val="18"/>
              </w:rPr>
              <w:t>For one held-out test row, the notebook predicted 2,258.6723 W and the live endpoint returned 2,258.6723 W. The absolute difference was 0.0 W.</w:t>
            </w:r>
          </w:p>
        </w:tc>
      </w:tr>
    </w:tbl>
    <w:p>
      <w:pPr>
        <w:spacing w:after="20"/>
      </w:pPr>
    </w:p>
    <w:p>
      <w:r>
        <w:t>This check verifies that the tested serving path reproduces the notebook prediction for the selected row. It does not establish production-scale throughput, endpoint reliability under load, operational availability, or long-term drift behavior.</w:t>
      </w:r>
    </w:p>
    <w:p>
      <w:pPr>
        <w:pStyle w:val="Heading1"/>
      </w:pPr>
      <w:r>
        <w:t>9. Power-Aware Scheduling Simulation</w:t>
      </w:r>
    </w:p>
    <w:p>
      <w:r>
        <w:t>The scheduler is a deterministic simulation that demonstrates how predicted power can inform workload selection under a hypothetical infrastructure power budget. The simulation uses the 364 held-out test executions as candidates, each with a model prediction and a measured power value. Predictions are used for scheduling decisions; measured power is used only afterward to evaluate the resulting schedule.</w:t>
      </w:r>
    </w:p>
    <w:p>
      <w:pPr>
        <w:pStyle w:val="Heading2"/>
      </w:pPr>
      <w:r>
        <w:t>9.1 Strategies and constraints</w:t>
      </w:r>
    </w:p>
    <w:tbl>
      <w:tblPr>
        <w:tblStyle w:val="TableGrid"/>
        <w:tblW w:type="auto" w:w="0"/>
        <w:jc w:val="center"/>
        <w:tblLook w:firstColumn="1" w:firstRow="1" w:lastColumn="0" w:lastRow="0" w:noHBand="0" w:noVBand="1" w:val="04A0"/>
      </w:tblPr>
      <w:tblGrid>
        <w:gridCol w:w="4997"/>
        <w:gridCol w:w="4997"/>
      </w:tblGrid>
      <w:tr>
        <w:trPr>
          <w:cantSplit/>
        </w:trPr>
        <w:tc>
          <w:tcPr>
            <w:tcW w:type="dxa" w:w="2520"/>
            <w:vAlign w:val="center"/>
            <w:shd w:fill="15314B"/>
          </w:tcPr>
          <w:p>
            <w:pPr>
              <w:spacing w:after="20"/>
            </w:pPr>
            <w:r/>
            <w:r>
              <w:rPr>
                <w:rFonts w:ascii="Aptos" w:hAnsi="Aptos"/>
                <w:b/>
                <w:color w:val="FFFFFF"/>
                <w:sz w:val="16"/>
              </w:rPr>
              <w:t>Element</w:t>
            </w:r>
          </w:p>
        </w:tc>
        <w:tc>
          <w:tcPr>
            <w:tcW w:type="dxa" w:w="7344"/>
            <w:vAlign w:val="center"/>
            <w:shd w:fill="15314B"/>
          </w:tcPr>
          <w:p>
            <w:pPr>
              <w:spacing w:after="20"/>
            </w:pPr>
            <w:r/>
            <w:r>
              <w:rPr>
                <w:rFonts w:ascii="Aptos" w:hAnsi="Aptos"/>
                <w:b/>
                <w:color w:val="FFFFFF"/>
                <w:sz w:val="16"/>
              </w:rPr>
              <w:t>Definition</w:t>
            </w:r>
          </w:p>
        </w:tc>
      </w:tr>
      <w:tr>
        <w:trPr>
          <w:cantSplit/>
        </w:trPr>
        <w:tc>
          <w:tcPr>
            <w:tcW w:type="dxa" w:w="2520"/>
            <w:vAlign w:val="center"/>
            <w:shd w:fill="F1F6F9"/>
          </w:tcPr>
          <w:p>
            <w:pPr>
              <w:spacing w:after="20"/>
            </w:pPr>
            <w:r/>
            <w:r>
              <w:rPr>
                <w:rFonts w:ascii="Aptos" w:hAnsi="Aptos"/>
                <w:b w:val="0"/>
                <w:color w:val="263644"/>
                <w:sz w:val="16"/>
              </w:rPr>
              <w:t>FCFS baseline</w:t>
            </w:r>
          </w:p>
        </w:tc>
        <w:tc>
          <w:tcPr>
            <w:tcW w:type="dxa" w:w="7344"/>
            <w:vAlign w:val="center"/>
            <w:shd w:fill="F1F6F9"/>
          </w:tcPr>
          <w:p>
            <w:pPr>
              <w:spacing w:after="20"/>
            </w:pPr>
            <w:r/>
            <w:r>
              <w:rPr>
                <w:rFonts w:ascii="Aptos" w:hAnsi="Aptos"/>
                <w:b w:val="0"/>
                <w:color w:val="263644"/>
                <w:sz w:val="16"/>
              </w:rPr>
              <w:t>Selects the first candidate workloads in the batch, up to the available slot limit; it does not make admission decisions based on predicted power.</w:t>
            </w:r>
          </w:p>
        </w:tc>
      </w:tr>
      <w:tr>
        <w:trPr>
          <w:cantSplit/>
        </w:trPr>
        <w:tc>
          <w:tcPr>
            <w:tcW w:type="dxa" w:w="2520"/>
            <w:vAlign w:val="center"/>
          </w:tcPr>
          <w:p>
            <w:pPr>
              <w:spacing w:after="20"/>
            </w:pPr>
            <w:r/>
            <w:r>
              <w:rPr>
                <w:rFonts w:ascii="Aptos" w:hAnsi="Aptos"/>
                <w:b w:val="0"/>
                <w:color w:val="263644"/>
                <w:sz w:val="16"/>
              </w:rPr>
              <w:t>Power-aware heuristic</w:t>
            </w:r>
          </w:p>
        </w:tc>
        <w:tc>
          <w:tcPr>
            <w:tcW w:type="dxa" w:w="7344"/>
            <w:vAlign w:val="center"/>
          </w:tcPr>
          <w:p>
            <w:pPr>
              <w:spacing w:after="20"/>
            </w:pPr>
            <w:r/>
            <w:r>
              <w:rPr>
                <w:rFonts w:ascii="Aptos" w:hAnsi="Aptos"/>
                <w:b w:val="0"/>
                <w:color w:val="263644"/>
                <w:sz w:val="16"/>
              </w:rPr>
              <w:t>Greedy lowest-predicted-power-first selection. A workload is admitted only if its predicted power fits the remaining margin-adjusted budget and a slot is available.</w:t>
            </w:r>
          </w:p>
        </w:tc>
      </w:tr>
      <w:tr>
        <w:trPr>
          <w:cantSplit/>
        </w:trPr>
        <w:tc>
          <w:tcPr>
            <w:tcW w:type="dxa" w:w="2520"/>
            <w:vAlign w:val="center"/>
            <w:shd w:fill="F1F6F9"/>
          </w:tcPr>
          <w:p>
            <w:pPr>
              <w:spacing w:after="20"/>
            </w:pPr>
            <w:r/>
            <w:r>
              <w:rPr>
                <w:rFonts w:ascii="Aptos" w:hAnsi="Aptos"/>
                <w:b w:val="0"/>
                <w:color w:val="263644"/>
                <w:sz w:val="16"/>
              </w:rPr>
              <w:t>Example constraints</w:t>
            </w:r>
          </w:p>
        </w:tc>
        <w:tc>
          <w:tcPr>
            <w:tcW w:type="dxa" w:w="7344"/>
            <w:vAlign w:val="center"/>
            <w:shd w:fill="F1F6F9"/>
          </w:tcPr>
          <w:p>
            <w:pPr>
              <w:spacing w:after="20"/>
            </w:pPr>
            <w:r/>
            <w:r>
              <w:rPr>
                <w:rFonts w:ascii="Aptos" w:hAnsi="Aptos"/>
                <w:b w:val="0"/>
                <w:color w:val="263644"/>
                <w:sz w:val="16"/>
              </w:rPr>
              <w:t>10 kW power budget, four execution slots, and a 25 W safety margin for the power-aware heuristic.</w:t>
            </w:r>
          </w:p>
        </w:tc>
      </w:tr>
      <w:tr>
        <w:trPr>
          <w:cantSplit/>
        </w:trPr>
        <w:tc>
          <w:tcPr>
            <w:tcW w:type="dxa" w:w="2520"/>
            <w:vAlign w:val="center"/>
          </w:tcPr>
          <w:p>
            <w:pPr>
              <w:spacing w:after="20"/>
            </w:pPr>
            <w:r/>
            <w:r>
              <w:rPr>
                <w:rFonts w:ascii="Aptos" w:hAnsi="Aptos"/>
                <w:b w:val="0"/>
                <w:color w:val="263644"/>
                <w:sz w:val="16"/>
              </w:rPr>
              <w:t>Evaluation</w:t>
            </w:r>
          </w:p>
        </w:tc>
        <w:tc>
          <w:tcPr>
            <w:tcW w:type="dxa" w:w="7344"/>
            <w:vAlign w:val="center"/>
          </w:tcPr>
          <w:p>
            <w:pPr>
              <w:spacing w:after="20"/>
            </w:pPr>
            <w:r/>
            <w:r>
              <w:rPr>
                <w:rFonts w:ascii="Aptos" w:hAnsi="Aptos"/>
                <w:b w:val="0"/>
                <w:color w:val="263644"/>
                <w:sz w:val="16"/>
              </w:rPr>
              <w:t>Compare scheduled workload count, actual measured aggregate power, budget compliance, utilization, and remaining headroom.</w:t>
            </w:r>
          </w:p>
        </w:tc>
      </w:tr>
    </w:tbl>
    <w:p>
      <w:pPr>
        <w:spacing w:after="20"/>
      </w:pPr>
    </w:p>
    <w:p>
      <w:pPr>
        <w:pStyle w:val="Heading2"/>
      </w:pPr>
      <w:r>
        <w:t>9.2 Results at a 10 kW budget</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12"/>
            <w:vAlign w:val="center"/>
            <w:shd w:fill="15314B"/>
          </w:tcPr>
          <w:p>
            <w:pPr>
              <w:spacing w:after="20"/>
            </w:pPr>
            <w:r/>
            <w:r>
              <w:rPr>
                <w:rFonts w:ascii="Aptos" w:hAnsi="Aptos"/>
                <w:b/>
                <w:color w:val="FFFFFF"/>
                <w:sz w:val="16"/>
              </w:rPr>
              <w:t>Measure</w:t>
            </w:r>
          </w:p>
        </w:tc>
        <w:tc>
          <w:tcPr>
            <w:tcW w:type="dxa" w:w="3024"/>
            <w:vAlign w:val="center"/>
            <w:shd w:fill="15314B"/>
          </w:tcPr>
          <w:p>
            <w:pPr>
              <w:spacing w:after="20"/>
            </w:pPr>
            <w:r/>
            <w:r>
              <w:rPr>
                <w:rFonts w:ascii="Aptos" w:hAnsi="Aptos"/>
                <w:b/>
                <w:color w:val="FFFFFF"/>
                <w:sz w:val="16"/>
              </w:rPr>
              <w:t>FCFS baseline</w:t>
            </w:r>
          </w:p>
        </w:tc>
        <w:tc>
          <w:tcPr>
            <w:tcW w:type="dxa" w:w="3024"/>
            <w:vAlign w:val="center"/>
            <w:shd w:fill="15314B"/>
          </w:tcPr>
          <w:p>
            <w:pPr>
              <w:spacing w:after="20"/>
            </w:pPr>
            <w:r/>
            <w:r>
              <w:rPr>
                <w:rFonts w:ascii="Aptos" w:hAnsi="Aptos"/>
                <w:b/>
                <w:color w:val="FFFFFF"/>
                <w:sz w:val="16"/>
              </w:rPr>
              <w:t>Power-aware</w:t>
            </w:r>
          </w:p>
        </w:tc>
      </w:tr>
      <w:tr>
        <w:trPr>
          <w:cantSplit/>
        </w:trPr>
        <w:tc>
          <w:tcPr>
            <w:tcW w:type="dxa" w:w="3312"/>
            <w:vAlign w:val="center"/>
            <w:shd w:fill="F1F6F9"/>
          </w:tcPr>
          <w:p>
            <w:pPr>
              <w:spacing w:after="20"/>
            </w:pPr>
            <w:r/>
            <w:r>
              <w:rPr>
                <w:rFonts w:ascii="Aptos" w:hAnsi="Aptos"/>
                <w:b w:val="0"/>
                <w:color w:val="263644"/>
                <w:sz w:val="16"/>
              </w:rPr>
              <w:t>Workloads scheduled</w:t>
            </w:r>
          </w:p>
        </w:tc>
        <w:tc>
          <w:tcPr>
            <w:tcW w:type="dxa" w:w="3024"/>
            <w:vAlign w:val="center"/>
            <w:shd w:fill="F1F6F9"/>
          </w:tcPr>
          <w:p>
            <w:pPr>
              <w:spacing w:after="20"/>
            </w:pPr>
            <w:r/>
            <w:r>
              <w:rPr>
                <w:rFonts w:ascii="Aptos" w:hAnsi="Aptos"/>
                <w:b w:val="0"/>
                <w:color w:val="263644"/>
                <w:sz w:val="16"/>
              </w:rPr>
              <w:t>4</w:t>
            </w:r>
          </w:p>
        </w:tc>
        <w:tc>
          <w:tcPr>
            <w:tcW w:type="dxa" w:w="3024"/>
            <w:vAlign w:val="center"/>
            <w:shd w:fill="F1F6F9"/>
          </w:tcPr>
          <w:p>
            <w:pPr>
              <w:spacing w:after="20"/>
            </w:pPr>
            <w:r/>
            <w:r>
              <w:rPr>
                <w:rFonts w:ascii="Aptos" w:hAnsi="Aptos"/>
                <w:b w:val="0"/>
                <w:color w:val="263644"/>
                <w:sz w:val="16"/>
              </w:rPr>
              <w:t>4</w:t>
            </w:r>
          </w:p>
        </w:tc>
      </w:tr>
      <w:tr>
        <w:trPr>
          <w:cantSplit/>
        </w:trPr>
        <w:tc>
          <w:tcPr>
            <w:tcW w:type="dxa" w:w="3312"/>
            <w:vAlign w:val="center"/>
          </w:tcPr>
          <w:p>
            <w:pPr>
              <w:spacing w:after="20"/>
            </w:pPr>
            <w:r/>
            <w:r>
              <w:rPr>
                <w:rFonts w:ascii="Aptos" w:hAnsi="Aptos"/>
                <w:b w:val="0"/>
                <w:color w:val="263644"/>
                <w:sz w:val="16"/>
              </w:rPr>
              <w:t>Actual aggregate power</w:t>
            </w:r>
          </w:p>
        </w:tc>
        <w:tc>
          <w:tcPr>
            <w:tcW w:type="dxa" w:w="3024"/>
            <w:vAlign w:val="center"/>
          </w:tcPr>
          <w:p>
            <w:pPr>
              <w:spacing w:after="20"/>
            </w:pPr>
            <w:r/>
            <w:r>
              <w:rPr>
                <w:rFonts w:ascii="Aptos" w:hAnsi="Aptos"/>
                <w:b w:val="0"/>
                <w:color w:val="263644"/>
                <w:sz w:val="16"/>
              </w:rPr>
              <w:t>9,976.16 W</w:t>
            </w:r>
          </w:p>
        </w:tc>
        <w:tc>
          <w:tcPr>
            <w:tcW w:type="dxa" w:w="3024"/>
            <w:vAlign w:val="center"/>
          </w:tcPr>
          <w:p>
            <w:pPr>
              <w:spacing w:after="20"/>
            </w:pPr>
            <w:r/>
            <w:r>
              <w:rPr>
                <w:rFonts w:ascii="Aptos" w:hAnsi="Aptos"/>
                <w:b w:val="0"/>
                <w:color w:val="263644"/>
                <w:sz w:val="16"/>
              </w:rPr>
              <w:t>8,089.16 W</w:t>
            </w:r>
          </w:p>
        </w:tc>
      </w:tr>
      <w:tr>
        <w:trPr>
          <w:cantSplit/>
        </w:trPr>
        <w:tc>
          <w:tcPr>
            <w:tcW w:type="dxa" w:w="3312"/>
            <w:vAlign w:val="center"/>
            <w:shd w:fill="F1F6F9"/>
          </w:tcPr>
          <w:p>
            <w:pPr>
              <w:spacing w:after="20"/>
            </w:pPr>
            <w:r/>
            <w:r>
              <w:rPr>
                <w:rFonts w:ascii="Aptos" w:hAnsi="Aptos"/>
                <w:b w:val="0"/>
                <w:color w:val="263644"/>
                <w:sz w:val="16"/>
              </w:rPr>
              <w:t>Remaining headroom</w:t>
            </w:r>
          </w:p>
        </w:tc>
        <w:tc>
          <w:tcPr>
            <w:tcW w:type="dxa" w:w="3024"/>
            <w:vAlign w:val="center"/>
            <w:shd w:fill="F1F6F9"/>
          </w:tcPr>
          <w:p>
            <w:pPr>
              <w:spacing w:after="20"/>
            </w:pPr>
            <w:r/>
            <w:r>
              <w:rPr>
                <w:rFonts w:ascii="Aptos" w:hAnsi="Aptos"/>
                <w:b w:val="0"/>
                <w:color w:val="263644"/>
                <w:sz w:val="16"/>
              </w:rPr>
              <w:t>23.84 W</w:t>
            </w:r>
          </w:p>
        </w:tc>
        <w:tc>
          <w:tcPr>
            <w:tcW w:type="dxa" w:w="3024"/>
            <w:vAlign w:val="center"/>
            <w:shd w:fill="F1F6F9"/>
          </w:tcPr>
          <w:p>
            <w:pPr>
              <w:spacing w:after="20"/>
            </w:pPr>
            <w:r/>
            <w:r>
              <w:rPr>
                <w:rFonts w:ascii="Aptos" w:hAnsi="Aptos"/>
                <w:b w:val="0"/>
                <w:color w:val="263644"/>
                <w:sz w:val="16"/>
              </w:rPr>
              <w:t>1,910.84 W</w:t>
            </w:r>
          </w:p>
        </w:tc>
      </w:tr>
      <w:tr>
        <w:trPr>
          <w:cantSplit/>
        </w:trPr>
        <w:tc>
          <w:tcPr>
            <w:tcW w:type="dxa" w:w="3312"/>
            <w:vAlign w:val="center"/>
          </w:tcPr>
          <w:p>
            <w:pPr>
              <w:spacing w:after="20"/>
            </w:pPr>
            <w:r/>
            <w:r>
              <w:rPr>
                <w:rFonts w:ascii="Aptos" w:hAnsi="Aptos"/>
                <w:b w:val="0"/>
                <w:color w:val="263644"/>
                <w:sz w:val="16"/>
              </w:rPr>
              <w:t>Budget violation</w:t>
            </w:r>
          </w:p>
        </w:tc>
        <w:tc>
          <w:tcPr>
            <w:tcW w:type="dxa" w:w="3024"/>
            <w:vAlign w:val="center"/>
          </w:tcPr>
          <w:p>
            <w:pPr>
              <w:spacing w:after="20"/>
            </w:pPr>
            <w:r/>
            <w:r>
              <w:rPr>
                <w:rFonts w:ascii="Aptos" w:hAnsi="Aptos"/>
                <w:b w:val="0"/>
                <w:color w:val="263644"/>
                <w:sz w:val="16"/>
              </w:rPr>
              <w:t>No</w:t>
            </w:r>
          </w:p>
        </w:tc>
        <w:tc>
          <w:tcPr>
            <w:tcW w:type="dxa" w:w="3024"/>
            <w:vAlign w:val="center"/>
          </w:tcPr>
          <w:p>
            <w:pPr>
              <w:spacing w:after="20"/>
            </w:pPr>
            <w:r/>
            <w:r>
              <w:rPr>
                <w:rFonts w:ascii="Aptos" w:hAnsi="Aptos"/>
                <w:b w:val="0"/>
                <w:color w:val="263644"/>
                <w:sz w:val="16"/>
              </w:rPr>
              <w:t>No</w:t>
            </w:r>
          </w:p>
        </w:tc>
      </w:tr>
    </w:tbl>
    <w:p>
      <w:pPr>
        <w:spacing w:after="20"/>
      </w:pPr>
    </w:p>
    <w:p>
      <w:r>
        <w:t>For this candidate batch at 10 kW, the power-aware heuristic used 1,887.00 W less actual power than FCFS, a relative reduction of 18.92%, while scheduling the same number of workloads. It retained approximately 1.91 kW of headroom, compared with about 24 W for FCFS.</w:t>
      </w:r>
    </w:p>
    <w:p>
      <w:pPr>
        <w:pStyle w:val="Heading2"/>
      </w:pPr>
      <w:r>
        <w:t>9.3 Results across hypothetical budgets</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1296"/>
            <w:vAlign w:val="center"/>
            <w:shd w:fill="15314B"/>
          </w:tcPr>
          <w:p>
            <w:pPr>
              <w:spacing w:after="20"/>
            </w:pPr>
            <w:r/>
            <w:r>
              <w:rPr>
                <w:rFonts w:ascii="Aptos" w:hAnsi="Aptos"/>
                <w:b/>
                <w:color w:val="FFFFFF"/>
                <w:sz w:val="15"/>
              </w:rPr>
              <w:t>Budget</w:t>
            </w:r>
          </w:p>
        </w:tc>
        <w:tc>
          <w:tcPr>
            <w:tcW w:type="dxa" w:w="2880"/>
            <w:vAlign w:val="center"/>
            <w:shd w:fill="15314B"/>
          </w:tcPr>
          <w:p>
            <w:pPr>
              <w:spacing w:after="20"/>
            </w:pPr>
            <w:r/>
            <w:r>
              <w:rPr>
                <w:rFonts w:ascii="Aptos" w:hAnsi="Aptos"/>
                <w:b/>
                <w:color w:val="FFFFFF"/>
                <w:sz w:val="15"/>
              </w:rPr>
              <w:t>FCFS result</w:t>
            </w:r>
          </w:p>
        </w:tc>
        <w:tc>
          <w:tcPr>
            <w:tcW w:type="dxa" w:w="3168"/>
            <w:vAlign w:val="center"/>
            <w:shd w:fill="15314B"/>
          </w:tcPr>
          <w:p>
            <w:pPr>
              <w:spacing w:after="20"/>
            </w:pPr>
            <w:r/>
            <w:r>
              <w:rPr>
                <w:rFonts w:ascii="Aptos" w:hAnsi="Aptos"/>
                <w:b/>
                <w:color w:val="FFFFFF"/>
                <w:sz w:val="15"/>
              </w:rPr>
              <w:t>Power-aware result</w:t>
            </w:r>
          </w:p>
        </w:tc>
        <w:tc>
          <w:tcPr>
            <w:tcW w:type="dxa" w:w="3168"/>
            <w:vAlign w:val="center"/>
            <w:shd w:fill="15314B"/>
          </w:tcPr>
          <w:p>
            <w:pPr>
              <w:spacing w:after="20"/>
            </w:pPr>
            <w:r/>
            <w:r>
              <w:rPr>
                <w:rFonts w:ascii="Aptos" w:hAnsi="Aptos"/>
                <w:b/>
                <w:color w:val="FFFFFF"/>
                <w:sz w:val="15"/>
              </w:rPr>
              <w:t>Interpretation</w:t>
            </w:r>
          </w:p>
        </w:tc>
      </w:tr>
      <w:tr>
        <w:trPr>
          <w:cantSplit/>
        </w:trPr>
        <w:tc>
          <w:tcPr>
            <w:tcW w:type="dxa" w:w="1296"/>
            <w:vAlign w:val="center"/>
            <w:shd w:fill="F1F6F9"/>
          </w:tcPr>
          <w:p>
            <w:pPr>
              <w:spacing w:after="20"/>
            </w:pPr>
            <w:r/>
            <w:r>
              <w:rPr>
                <w:rFonts w:ascii="Aptos" w:hAnsi="Aptos"/>
                <w:b w:val="0"/>
                <w:color w:val="263644"/>
                <w:sz w:val="15"/>
              </w:rPr>
              <w:t>8 kW</w:t>
            </w:r>
          </w:p>
        </w:tc>
        <w:tc>
          <w:tcPr>
            <w:tcW w:type="dxa" w:w="2880"/>
            <w:vAlign w:val="center"/>
            <w:shd w:fill="F1F6F9"/>
          </w:tcPr>
          <w:p>
            <w:pPr>
              <w:spacing w:after="20"/>
            </w:pPr>
            <w:r/>
            <w:r>
              <w:rPr>
                <w:rFonts w:ascii="Aptos" w:hAnsi="Aptos"/>
                <w:b w:val="0"/>
                <w:color w:val="263644"/>
                <w:sz w:val="15"/>
              </w:rPr>
              <w:t>4 workloads; actual power about 9,976 W, over budget</w:t>
            </w:r>
          </w:p>
        </w:tc>
        <w:tc>
          <w:tcPr>
            <w:tcW w:type="dxa" w:w="3168"/>
            <w:vAlign w:val="center"/>
            <w:shd w:fill="F1F6F9"/>
          </w:tcPr>
          <w:p>
            <w:pPr>
              <w:spacing w:after="20"/>
            </w:pPr>
            <w:r/>
            <w:r>
              <w:rPr>
                <w:rFonts w:ascii="Aptos" w:hAnsi="Aptos"/>
                <w:b w:val="0"/>
                <w:color w:val="263644"/>
                <w:sz w:val="15"/>
              </w:rPr>
              <w:t>3 workloads; actual power about 6,077 W, within budget</w:t>
            </w:r>
          </w:p>
        </w:tc>
        <w:tc>
          <w:tcPr>
            <w:tcW w:type="dxa" w:w="3168"/>
            <w:vAlign w:val="center"/>
            <w:shd w:fill="F1F6F9"/>
          </w:tcPr>
          <w:p>
            <w:pPr>
              <w:spacing w:after="20"/>
            </w:pPr>
            <w:r/>
            <w:r>
              <w:rPr>
                <w:rFonts w:ascii="Aptos" w:hAnsi="Aptos"/>
                <w:b w:val="0"/>
                <w:color w:val="263644"/>
                <w:sz w:val="15"/>
              </w:rPr>
              <w:t>Power-aware selection admits fewer workloads to stay within budget.</w:t>
            </w:r>
          </w:p>
        </w:tc>
      </w:tr>
      <w:tr>
        <w:trPr>
          <w:cantSplit/>
        </w:trPr>
        <w:tc>
          <w:tcPr>
            <w:tcW w:type="dxa" w:w="1296"/>
            <w:vAlign w:val="center"/>
          </w:tcPr>
          <w:p>
            <w:pPr>
              <w:spacing w:after="20"/>
            </w:pPr>
            <w:r/>
            <w:r>
              <w:rPr>
                <w:rFonts w:ascii="Aptos" w:hAnsi="Aptos"/>
                <w:b w:val="0"/>
                <w:color w:val="263644"/>
                <w:sz w:val="15"/>
              </w:rPr>
              <w:t>9 kW</w:t>
            </w:r>
          </w:p>
        </w:tc>
        <w:tc>
          <w:tcPr>
            <w:tcW w:type="dxa" w:w="2880"/>
            <w:vAlign w:val="center"/>
          </w:tcPr>
          <w:p>
            <w:pPr>
              <w:spacing w:after="20"/>
            </w:pPr>
            <w:r/>
            <w:r>
              <w:rPr>
                <w:rFonts w:ascii="Aptos" w:hAnsi="Aptos"/>
                <w:b w:val="0"/>
                <w:color w:val="263644"/>
                <w:sz w:val="15"/>
              </w:rPr>
              <w:t>4 workloads; actual power about 9,976 W, over budget</w:t>
            </w:r>
          </w:p>
        </w:tc>
        <w:tc>
          <w:tcPr>
            <w:tcW w:type="dxa" w:w="3168"/>
            <w:vAlign w:val="center"/>
          </w:tcPr>
          <w:p>
            <w:pPr>
              <w:spacing w:after="20"/>
            </w:pPr>
            <w:r/>
            <w:r>
              <w:rPr>
                <w:rFonts w:ascii="Aptos" w:hAnsi="Aptos"/>
                <w:b w:val="0"/>
                <w:color w:val="263644"/>
                <w:sz w:val="15"/>
              </w:rPr>
              <w:t>4 workloads; actual power about 8,089 W, within budget</w:t>
            </w:r>
          </w:p>
        </w:tc>
        <w:tc>
          <w:tcPr>
            <w:tcW w:type="dxa" w:w="3168"/>
            <w:vAlign w:val="center"/>
          </w:tcPr>
          <w:p>
            <w:pPr>
              <w:spacing w:after="20"/>
            </w:pPr>
            <w:r/>
            <w:r>
              <w:rPr>
                <w:rFonts w:ascii="Aptos" w:hAnsi="Aptos"/>
                <w:b w:val="0"/>
                <w:color w:val="263644"/>
                <w:sz w:val="15"/>
              </w:rPr>
              <w:t>Power-aware selection fits the budget in this scenario.</w:t>
            </w:r>
          </w:p>
        </w:tc>
      </w:tr>
      <w:tr>
        <w:trPr>
          <w:cantSplit/>
        </w:trPr>
        <w:tc>
          <w:tcPr>
            <w:tcW w:type="dxa" w:w="1296"/>
            <w:vAlign w:val="center"/>
            <w:shd w:fill="F1F6F9"/>
          </w:tcPr>
          <w:p>
            <w:pPr>
              <w:spacing w:after="20"/>
            </w:pPr>
            <w:r/>
            <w:r>
              <w:rPr>
                <w:rFonts w:ascii="Aptos" w:hAnsi="Aptos"/>
                <w:b w:val="0"/>
                <w:color w:val="263644"/>
                <w:sz w:val="15"/>
              </w:rPr>
              <w:t>10 kW</w:t>
            </w:r>
          </w:p>
        </w:tc>
        <w:tc>
          <w:tcPr>
            <w:tcW w:type="dxa" w:w="2880"/>
            <w:vAlign w:val="center"/>
            <w:shd w:fill="F1F6F9"/>
          </w:tcPr>
          <w:p>
            <w:pPr>
              <w:spacing w:after="20"/>
            </w:pPr>
            <w:r/>
            <w:r>
              <w:rPr>
                <w:rFonts w:ascii="Aptos" w:hAnsi="Aptos"/>
                <w:b w:val="0"/>
                <w:color w:val="263644"/>
                <w:sz w:val="15"/>
              </w:rPr>
              <w:t>4 workloads; about 24 W headroom</w:t>
            </w:r>
          </w:p>
        </w:tc>
        <w:tc>
          <w:tcPr>
            <w:tcW w:type="dxa" w:w="3168"/>
            <w:vAlign w:val="center"/>
            <w:shd w:fill="F1F6F9"/>
          </w:tcPr>
          <w:p>
            <w:pPr>
              <w:spacing w:after="20"/>
            </w:pPr>
            <w:r/>
            <w:r>
              <w:rPr>
                <w:rFonts w:ascii="Aptos" w:hAnsi="Aptos"/>
                <w:b w:val="0"/>
                <w:color w:val="263644"/>
                <w:sz w:val="15"/>
              </w:rPr>
              <w:t>4 workloads; about 1,911 W headroom</w:t>
            </w:r>
          </w:p>
        </w:tc>
        <w:tc>
          <w:tcPr>
            <w:tcW w:type="dxa" w:w="3168"/>
            <w:vAlign w:val="center"/>
            <w:shd w:fill="F1F6F9"/>
          </w:tcPr>
          <w:p>
            <w:pPr>
              <w:spacing w:after="20"/>
            </w:pPr>
            <w:r/>
            <w:r>
              <w:rPr>
                <w:rFonts w:ascii="Aptos" w:hAnsi="Aptos"/>
                <w:b w:val="0"/>
                <w:color w:val="263644"/>
                <w:sz w:val="15"/>
              </w:rPr>
              <w:t>Same workload count with substantially more headroom.</w:t>
            </w:r>
          </w:p>
        </w:tc>
      </w:tr>
    </w:tbl>
    <w:p>
      <w:pPr>
        <w:spacing w:after="20"/>
      </w:pPr>
    </w:p>
    <w:p>
      <w:r>
        <w:t>The same candidate batch and slot limit are used while the hypothetical budget changes. The results are illustrative and depend on the selected candidate set and heuristic. They are not measurements of production energy savings, and the heuristic is not claimed to be optimal. Repeated arrival batches, broader workload combinations, and operating-condition variation are needed for stronger conclusions.</w:t>
      </w:r>
    </w:p>
    <w:p>
      <w:pPr>
        <w:pStyle w:val="Heading1"/>
      </w:pPr>
      <w:r>
        <w:t>10. Future Work</w:t>
      </w:r>
    </w:p>
    <w:p>
      <w:pPr>
        <w:pStyle w:val="Heading2"/>
      </w:pPr>
      <w:r>
        <w:t>10.1 Composition-aware uncertainty reservation</w:t>
      </w:r>
    </w:p>
    <w:p>
      <w:r>
        <w:t>The current scheduler uses a safety reserve based on a fixed margin and, in the count-based extension, the number of concurrently scheduled workloads. A future extension is to estimate the required power safety margin from the specific workload combination rather than concurrency count alone.</w:t>
      </w:r>
    </w:p>
    <w:p>
      <w:r>
        <w:t>The proposed composition-aware model would consider:</w:t>
      </w:r>
    </w:p>
    <w:p>
      <w:pPr>
        <w:pStyle w:val="ListBullet"/>
        <w:spacing w:after="40"/>
      </w:pPr>
      <w:r>
        <w:t>Workload composition: which workload types are scheduled together.</w:t>
      </w:r>
    </w:p>
    <w:p>
      <w:pPr>
        <w:pStyle w:val="ListBullet"/>
        <w:spacing w:after="40"/>
      </w:pPr>
      <w:r>
        <w:t>Configuration characteristics: batch size, request rate, output length, and other relevant configuration fields.</w:t>
      </w:r>
    </w:p>
    <w:p>
      <w:pPr>
        <w:pStyle w:val="ListBullet"/>
        <w:spacing w:after="40"/>
      </w:pPr>
      <w:r>
        <w:t>Predicted power distribution: individual power estimates, prediction uncertainty, and observed residual variation.</w:t>
      </w:r>
    </w:p>
    <w:p>
      <w:pPr>
        <w:pStyle w:val="ListBullet"/>
        <w:spacing w:after="40"/>
      </w:pPr>
      <w:r>
        <w:t>Concurrency effects: how combined workload characteristics influence aggregate power prediction errors.</w:t>
      </w:r>
    </w:p>
    <w:p>
      <w:r>
        <w:t>The estimated uncertainty margin would be incorporated into admission decisions to reduce the risk of exceeding the available power budget without reserving unnecessarily large headroom. Preliminary simulation observations suggest this direction may improve protection relative to count-only pooling, but the result requires further validation across diverse workload combinations and operating conditions.</w:t>
      </w:r>
    </w:p>
    <w:p>
      <w:pPr>
        <w:pStyle w:val="Heading2"/>
      </w:pPr>
      <w:r>
        <w:t>10.2 Additional extensions</w:t>
      </w:r>
    </w:p>
    <w:p>
      <w:pPr>
        <w:pStyle w:val="ListBullet"/>
        <w:spacing w:after="40"/>
      </w:pPr>
      <w:r>
        <w:t>Evaluate model performance on additional workload executions and hardware configurations.</w:t>
      </w:r>
    </w:p>
    <w:p>
      <w:pPr>
        <w:pStyle w:val="ListBullet"/>
        <w:spacing w:after="40"/>
      </w:pPr>
      <w:r>
        <w:t>Improve feature engineering and revisit the availability of inputs at admission time.</w:t>
      </w:r>
    </w:p>
    <w:p>
      <w:pPr>
        <w:pStyle w:val="ListBullet"/>
        <w:spacing w:after="40"/>
      </w:pPr>
      <w:r>
        <w:t>Expand scheduler evaluation across repeated candidate/arrival batches, power budgets, and concurrency levels.</w:t>
      </w:r>
    </w:p>
    <w:p>
      <w:pPr>
        <w:pStyle w:val="ListBullet"/>
        <w:spacing w:after="40"/>
      </w:pPr>
      <w:r>
        <w:t>Introduce drift detection and periodic retraining when sufficient new measured executions become available.</w:t>
      </w:r>
    </w:p>
    <w:p>
      <w:pPr>
        <w:pStyle w:val="ListBullet"/>
        <w:spacing w:after="40"/>
      </w:pPr>
      <w:r>
        <w:t>Evaluate uncertainty calibration and composition-aware reserves before using them in a live scheduling system.</w:t>
      </w:r>
    </w:p>
    <w:p>
      <w:pPr>
        <w:pStyle w:val="Heading1"/>
      </w:pPr>
      <w:r>
        <w:t>11. Conclusion</w:t>
      </w:r>
    </w:p>
    <w:p>
      <w:r>
        <w:t>The completed project demonstrates an end-to-end path from curated GenAI inference traces to a trained power prediction model, a deployed SageMaker inference endpoint, and a prediction-informed scheduling simulation. The Random Forest model achieved strong held-out test performance, and the tested live endpoint reproduced the notebook prediction exactly for one held-out request. In the scheduler simulation, power-aware selection improved budget compliance under the tested tighter budgets and provided substantially more headroom than FCFS in the 10 kW scenario while scheduling the same number of workloads.</w:t>
      </w:r>
    </w:p>
    <w:p>
      <w:r>
        <w:t>The evidence supports the feasibility of using execution-level power predictions as an input to capacity-planning decisions. It does not establish production energy savings, optimal scheduling, or production readiness. The next research step is to evaluate uncertainty-aware, composition-aware power reservations across more diverse workload combinations and operating conditions.</w:t>
      </w:r>
    </w:p>
    <w:p>
      <w:pPr>
        <w:pStyle w:val="Heading1"/>
      </w:pPr>
      <w:r>
        <w:t>Appendix A. Key implementation artifacts</w:t>
      </w:r>
    </w:p>
    <w:tbl>
      <w:tblPr>
        <w:tblStyle w:val="TableGrid"/>
        <w:tblW w:type="auto" w:w="0"/>
        <w:jc w:val="center"/>
        <w:tblLook w:firstColumn="1" w:firstRow="1" w:lastColumn="0" w:lastRow="0" w:noHBand="0" w:noVBand="1" w:val="04A0"/>
      </w:tblPr>
      <w:tblGrid>
        <w:gridCol w:w="4997"/>
        <w:gridCol w:w="4997"/>
      </w:tblGrid>
      <w:tr>
        <w:trPr>
          <w:cantSplit/>
        </w:trPr>
        <w:tc>
          <w:tcPr>
            <w:tcW w:type="dxa" w:w="3600"/>
            <w:vAlign w:val="center"/>
            <w:shd w:fill="15314B"/>
          </w:tcPr>
          <w:p>
            <w:pPr>
              <w:spacing w:after="20"/>
            </w:pPr>
            <w:r/>
            <w:r>
              <w:rPr>
                <w:rFonts w:ascii="Aptos" w:hAnsi="Aptos"/>
                <w:b/>
                <w:color w:val="FFFFFF"/>
                <w:sz w:val="16"/>
              </w:rPr>
              <w:t>Artifact</w:t>
            </w:r>
          </w:p>
        </w:tc>
        <w:tc>
          <w:tcPr>
            <w:tcW w:type="dxa" w:w="6192"/>
            <w:vAlign w:val="center"/>
            <w:shd w:fill="15314B"/>
          </w:tcPr>
          <w:p>
            <w:pPr>
              <w:spacing w:after="20"/>
            </w:pPr>
            <w:r/>
            <w:r>
              <w:rPr>
                <w:rFonts w:ascii="Aptos" w:hAnsi="Aptos"/>
                <w:b/>
                <w:color w:val="FFFFFF"/>
                <w:sz w:val="16"/>
              </w:rPr>
              <w:t>Purpose</w:t>
            </w:r>
          </w:p>
        </w:tc>
      </w:tr>
      <w:tr>
        <w:trPr>
          <w:cantSplit/>
        </w:trPr>
        <w:tc>
          <w:tcPr>
            <w:tcW w:type="dxa" w:w="3600"/>
            <w:vAlign w:val="center"/>
            <w:shd w:fill="F1F6F9"/>
          </w:tcPr>
          <w:p>
            <w:pPr>
              <w:spacing w:after="20"/>
            </w:pPr>
            <w:r/>
            <w:r>
              <w:rPr>
                <w:rFonts w:ascii="Aptos" w:hAnsi="Aptos"/>
                <w:b w:val="0"/>
                <w:color w:val="263644"/>
                <w:sz w:val="16"/>
              </w:rPr>
              <w:t>`preprocessor.joblib`</w:t>
            </w:r>
          </w:p>
        </w:tc>
        <w:tc>
          <w:tcPr>
            <w:tcW w:type="dxa" w:w="6192"/>
            <w:vAlign w:val="center"/>
            <w:shd w:fill="F1F6F9"/>
          </w:tcPr>
          <w:p>
            <w:pPr>
              <w:spacing w:after="20"/>
            </w:pPr>
            <w:r/>
            <w:r>
              <w:rPr>
                <w:rFonts w:ascii="Aptos" w:hAnsi="Aptos"/>
                <w:b w:val="0"/>
                <w:color w:val="263644"/>
                <w:sz w:val="16"/>
              </w:rPr>
              <w:t>Fitted preprocessing transformations reused at inference.</w:t>
            </w:r>
          </w:p>
        </w:tc>
      </w:tr>
      <w:tr>
        <w:trPr>
          <w:cantSplit/>
        </w:trPr>
        <w:tc>
          <w:tcPr>
            <w:tcW w:type="dxa" w:w="3600"/>
            <w:vAlign w:val="center"/>
          </w:tcPr>
          <w:p>
            <w:pPr>
              <w:spacing w:after="20"/>
            </w:pPr>
            <w:r/>
            <w:r>
              <w:rPr>
                <w:rFonts w:ascii="Aptos" w:hAnsi="Aptos"/>
                <w:b w:val="0"/>
                <w:color w:val="263644"/>
                <w:sz w:val="16"/>
              </w:rPr>
              <w:t>`best_model.joblib`</w:t>
            </w:r>
          </w:p>
        </w:tc>
        <w:tc>
          <w:tcPr>
            <w:tcW w:type="dxa" w:w="6192"/>
            <w:vAlign w:val="center"/>
          </w:tcPr>
          <w:p>
            <w:pPr>
              <w:spacing w:after="20"/>
            </w:pPr>
            <w:r/>
            <w:r>
              <w:rPr>
                <w:rFonts w:ascii="Aptos" w:hAnsi="Aptos"/>
                <w:b w:val="0"/>
                <w:color w:val="263644"/>
                <w:sz w:val="16"/>
              </w:rPr>
              <w:t>Selected Random Forest model, feature names, and validation metrics.</w:t>
            </w:r>
          </w:p>
        </w:tc>
      </w:tr>
      <w:tr>
        <w:trPr>
          <w:cantSplit/>
        </w:trPr>
        <w:tc>
          <w:tcPr>
            <w:tcW w:type="dxa" w:w="3600"/>
            <w:vAlign w:val="center"/>
            <w:shd w:fill="F1F6F9"/>
          </w:tcPr>
          <w:p>
            <w:pPr>
              <w:spacing w:after="20"/>
            </w:pPr>
            <w:r/>
            <w:r>
              <w:rPr>
                <w:rFonts w:ascii="Aptos" w:hAnsi="Aptos"/>
                <w:b w:val="0"/>
                <w:color w:val="263644"/>
                <w:sz w:val="16"/>
              </w:rPr>
              <w:t>`X_train.parquet`, `X_validation.parquet`, `X_test.parquet`</w:t>
            </w:r>
          </w:p>
        </w:tc>
        <w:tc>
          <w:tcPr>
            <w:tcW w:type="dxa" w:w="6192"/>
            <w:vAlign w:val="center"/>
            <w:shd w:fill="F1F6F9"/>
          </w:tcPr>
          <w:p>
            <w:pPr>
              <w:spacing w:after="20"/>
            </w:pPr>
            <w:r/>
            <w:r>
              <w:rPr>
                <w:rFonts w:ascii="Aptos" w:hAnsi="Aptos"/>
                <w:b w:val="0"/>
                <w:color w:val="263644"/>
                <w:sz w:val="16"/>
              </w:rPr>
              <w:t>Processed feature partitions.</w:t>
            </w:r>
          </w:p>
        </w:tc>
      </w:tr>
      <w:tr>
        <w:trPr>
          <w:cantSplit/>
        </w:trPr>
        <w:tc>
          <w:tcPr>
            <w:tcW w:type="dxa" w:w="3600"/>
            <w:vAlign w:val="center"/>
          </w:tcPr>
          <w:p>
            <w:pPr>
              <w:spacing w:after="20"/>
            </w:pPr>
            <w:r/>
            <w:r>
              <w:rPr>
                <w:rFonts w:ascii="Aptos" w:hAnsi="Aptos"/>
                <w:b w:val="0"/>
                <w:color w:val="263644"/>
                <w:sz w:val="16"/>
              </w:rPr>
              <w:t>`y_train.parquet`, `y_validation.parquet`, `y_test.parquet`</w:t>
            </w:r>
          </w:p>
        </w:tc>
        <w:tc>
          <w:tcPr>
            <w:tcW w:type="dxa" w:w="6192"/>
            <w:vAlign w:val="center"/>
          </w:tcPr>
          <w:p>
            <w:pPr>
              <w:spacing w:after="20"/>
            </w:pPr>
            <w:r/>
            <w:r>
              <w:rPr>
                <w:rFonts w:ascii="Aptos" w:hAnsi="Aptos"/>
                <w:b w:val="0"/>
                <w:color w:val="263644"/>
                <w:sz w:val="16"/>
              </w:rPr>
              <w:t>Target partitions.</w:t>
            </w:r>
          </w:p>
        </w:tc>
      </w:tr>
      <w:tr>
        <w:trPr>
          <w:cantSplit/>
        </w:trPr>
        <w:tc>
          <w:tcPr>
            <w:tcW w:type="dxa" w:w="3600"/>
            <w:vAlign w:val="center"/>
            <w:shd w:fill="F1F6F9"/>
          </w:tcPr>
          <w:p>
            <w:pPr>
              <w:spacing w:after="20"/>
            </w:pPr>
            <w:r/>
            <w:r>
              <w:rPr>
                <w:rFonts w:ascii="Aptos" w:hAnsi="Aptos"/>
                <w:b w:val="0"/>
                <w:color w:val="263644"/>
                <w:sz w:val="16"/>
              </w:rPr>
              <w:t>`test_raw.parquet`</w:t>
            </w:r>
          </w:p>
        </w:tc>
        <w:tc>
          <w:tcPr>
            <w:tcW w:type="dxa" w:w="6192"/>
            <w:vAlign w:val="center"/>
            <w:shd w:fill="F1F6F9"/>
          </w:tcPr>
          <w:p>
            <w:pPr>
              <w:spacing w:after="20"/>
            </w:pPr>
            <w:r/>
            <w:r>
              <w:rPr>
                <w:rFonts w:ascii="Aptos" w:hAnsi="Aptos"/>
                <w:b w:val="0"/>
                <w:color w:val="263644"/>
                <w:sz w:val="16"/>
              </w:rPr>
              <w:t>Raw held-out rows used for test/inference validation.</w:t>
            </w:r>
          </w:p>
        </w:tc>
      </w:tr>
      <w:tr>
        <w:trPr>
          <w:cantSplit/>
        </w:trPr>
        <w:tc>
          <w:tcPr>
            <w:tcW w:type="dxa" w:w="3600"/>
            <w:vAlign w:val="center"/>
          </w:tcPr>
          <w:p>
            <w:pPr>
              <w:spacing w:after="20"/>
            </w:pPr>
            <w:r/>
            <w:r>
              <w:rPr>
                <w:rFonts w:ascii="Aptos" w:hAnsi="Aptos"/>
                <w:b w:val="0"/>
                <w:color w:val="263644"/>
                <w:sz w:val="16"/>
              </w:rPr>
              <w:t>`inference.py`</w:t>
            </w:r>
          </w:p>
        </w:tc>
        <w:tc>
          <w:tcPr>
            <w:tcW w:type="dxa" w:w="6192"/>
            <w:vAlign w:val="center"/>
          </w:tcPr>
          <w:p>
            <w:pPr>
              <w:spacing w:after="20"/>
            </w:pPr>
            <w:r/>
            <w:r>
              <w:rPr>
                <w:rFonts w:ascii="Aptos" w:hAnsi="Aptos"/>
                <w:b w:val="0"/>
                <w:color w:val="263644"/>
                <w:sz w:val="16"/>
              </w:rPr>
              <w:t>SageMaker request parsing, preprocessing, prediction, and response handlers.</w:t>
            </w:r>
          </w:p>
        </w:tc>
      </w:tr>
      <w:tr>
        <w:trPr>
          <w:cantSplit/>
        </w:trPr>
        <w:tc>
          <w:tcPr>
            <w:tcW w:type="dxa" w:w="3600"/>
            <w:vAlign w:val="center"/>
            <w:shd w:fill="F1F6F9"/>
          </w:tcPr>
          <w:p>
            <w:pPr>
              <w:spacing w:after="20"/>
            </w:pPr>
            <w:r/>
            <w:r>
              <w:rPr>
                <w:rFonts w:ascii="Aptos" w:hAnsi="Aptos"/>
                <w:b w:val="0"/>
                <w:color w:val="263644"/>
                <w:sz w:val="16"/>
              </w:rPr>
              <w:t>`model.tar.gz`</w:t>
            </w:r>
          </w:p>
        </w:tc>
        <w:tc>
          <w:tcPr>
            <w:tcW w:type="dxa" w:w="6192"/>
            <w:vAlign w:val="center"/>
            <w:shd w:fill="F1F6F9"/>
          </w:tcPr>
          <w:p>
            <w:pPr>
              <w:spacing w:after="20"/>
            </w:pPr>
            <w:r/>
            <w:r>
              <w:rPr>
                <w:rFonts w:ascii="Aptos" w:hAnsi="Aptos"/>
                <w:b w:val="0"/>
                <w:color w:val="263644"/>
                <w:sz w:val="16"/>
              </w:rPr>
              <w:t>Packaged model, fitted preprocessor, and inference code for deployment.</w:t>
            </w:r>
          </w:p>
        </w:tc>
      </w:tr>
    </w:tbl>
    <w:p>
      <w:pPr>
        <w:spacing w:after="20"/>
      </w:pPr>
    </w:p>
    <w:p>
      <w:pPr>
        <w:pStyle w:val="Heading1"/>
      </w:pPr>
      <w:r>
        <w:t>Appendix B. References</w:t>
      </w:r>
    </w:p>
    <w:p>
      <w:pPr>
        <w:pStyle w:val="ListBullet"/>
        <w:spacing w:after="40"/>
      </w:pPr>
      <w:r>
        <w:t>NLR Generative AI Workload Power Profiles Dataset. https://data.nlr.gov/submissions/312</w:t>
      </w:r>
    </w:p>
    <w:p>
      <w:pPr>
        <w:pStyle w:val="ListBullet"/>
        <w:spacing w:after="40"/>
      </w:pPr>
      <w:r>
        <w:t>Group 6 project repository: genai-power-ml/genai-workload-power-forecasting.</w:t>
      </w:r>
    </w:p>
    <w:p>
      <w:pPr>
        <w:pStyle w:val="ListBullet"/>
        <w:spacing w:after="40"/>
      </w:pPr>
      <w:r>
        <w:t>Group 6 implementation notebook: latest project notebook covering data curation, model development, SageMaker deployment, inference validation, and scheduler simulation.</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C77"/>
        <w:sz w:val="16"/>
      </w:rPr>
      <w:t>GenAI Workload Power Demand Prediction and Energy-Aware Infrastructure Optimization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E6C77"/>
        <w:sz w:val="16"/>
      </w:rPr>
      <w:t>AAI-540  |  GROUP 6  |  ML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6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1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A8B8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1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1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