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odttf" ContentType="application/vnd.openxmlformats-officedocument.obfuscatedFont"/>
  <Default Extension="txt" ContentType="text/plain"/>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after="760"/>
        <w:keepLines/>
      </w:pPr>
      <w:r>
        <w:t>GYMNASIUM THOMAEUM KEMPEN</w:t>
      </w:r>
    </w:p>
    <w:p>
      <w:pPr>
        <w:pStyle w:val="Title"/>
        <w:keepLines/>
      </w:pPr>
      <w:r>
        <w:rPr>
          <w:b w:val="1"/>
        </w:rPr>
        <w:t>Curriculum</w:t>
        <w:br/>
        <w:t>Projektkurs</w:t>
        <w:br/>
        <w:t>Wissenschafts­kommunikation</w:t>
      </w:r>
    </w:p>
    <w:p>
      <w:pPr>
        <w:pStyle w:val="Subtitle"/>
        <w:keepLines/>
      </w:pPr>
      <w:r>
        <w:t>Naturwissenschaften verständlich machen</w:t>
      </w:r>
    </w:p>
    <w:p>
      <w:pPr>
        <w:spacing w:before="300"/>
        <w:keepLines/>
      </w:pPr>
      <w:r>
        <w:t>Physik   Chemie   Biologie</w:t>
      </w:r>
    </w:p>
    <w:p>
      <w:pPr>
        <w:spacing w:before="700" w:after="560"/>
        <w:keepLines/>
      </w:pPr>
      <w:r>
        <w:t>Qualifikationsphase</w:t>
        <w:br/>
        <w:t>Kurs ab Februar 2027 · zwei Wochenstunden</w:t>
        <w:br/>
        <w:t>Dr. Claus Unterberg</w:t>
      </w:r>
    </w:p>
    <w:p>
      <w:pPr>
        <w:keepLines/>
      </w:pPr>
      <w:r>
        <w:t>Wissenschaftliche Themen fundiert erschließen,</w:t>
        <w:br/>
        <w:t>für ein bestimmtes Publikum aufbereiten</w:t>
        <w:br/>
        <w:t>und die eigene Arbeit begründet reflektieren.</w:t>
      </w:r>
    </w:p>
    <w:p>
      <w:pPr>
        <w:spacing w:before="440"/>
        <w:keepLines/>
      </w:pPr>
      <w:r>
        <w:t>Stand 27. September 2026</w:t>
      </w:r>
    </w:p>
    <w:p>
      <w:pPr>
        <w:spacing w:before="360"/>
        <w:keepLines/>
      </w:pPr>
      <w:r>
        <w:t>Vorbereitet für die neue Oberstufenordnung</w:t>
        <w:br/>
        <w:t>mit ausgewiesenen Regelungen für den Übergang.</w:t>
      </w:r>
    </w:p>
    <w:p>
      <w:pPr>
        <w:pStyle w:val="Heading1"/>
        <w:pageBreakBefore/>
        <w:spacing w:after="440"/>
        <w:keepLines/>
        <w:jc w:val="left"/>
      </w:pPr>
      <w:r>
        <w:t>Links und Onlinefassungen</w:t>
      </w:r>
    </w:p>
    <w:p>
      <w:pPr>
        <w:spacing w:before="160" w:after="240"/>
        <w:keepLines/>
      </w:pPr>
      <w:hyperlink r:id="rId17">
        <w:r>
          <w:rPr>
            <w:rFonts w:ascii="Inter" w:hAnsi="Inter" w:eastAsia="Inter" w:cs="Inter"/>
            <w:color w:val="17594E"/>
            <w:u w:val="single"/>
            <w:sz w:val="25"/>
          </w:rPr>
          <w:t>Onlinefassung des Curriculums  ↗</w:t>
        </w:r>
      </w:hyperlink>
    </w:p>
    <w:p>
      <w:pPr>
        <w:spacing w:before="160" w:after="240"/>
        <w:keepLines/>
      </w:pPr>
      <w:hyperlink r:id="rIdCourseLinks0">
        <w:r>
          <w:rPr>
            <w:rFonts w:ascii="Inter" w:hAnsi="Inter" w:eastAsia="Inter" w:cs="Inter"/>
            <w:color w:val="17594E"/>
            <w:u w:val="single"/>
            <w:sz w:val="25"/>
          </w:rPr>
          <w:t>Kurskalender 2027/28  ↗</w:t>
        </w:r>
      </w:hyperlink>
    </w:p>
    <w:p>
      <w:pPr>
        <w:spacing w:before="160" w:after="240"/>
        <w:keepLines/>
      </w:pPr>
      <w:hyperlink r:id="rIdCourseLinks1">
        <w:r>
          <w:rPr>
            <w:rFonts w:ascii="Inter" w:hAnsi="Inter" w:eastAsia="Inter" w:cs="Inter"/>
            <w:color w:val="17594E"/>
            <w:u w:val="single"/>
            <w:sz w:val="25"/>
          </w:rPr>
          <w:t>Kanban-Lernprogramm  ↗</w:t>
        </w:r>
      </w:hyperlink>
    </w:p>
    <w:p>
      <w:pPr>
        <w:spacing w:before="160" w:after="240"/>
        <w:keepLines/>
      </w:pPr>
      <w:hyperlink r:id="rIdCourseLinks2">
        <w:r>
          <w:rPr>
            <w:rFonts w:ascii="Inter" w:hAnsi="Inter" w:eastAsia="Inter" w:cs="Inter"/>
            <w:color w:val="17594E"/>
            <w:u w:val="single"/>
            <w:sz w:val="25"/>
          </w:rPr>
          <w:t>Kanban-Arbeitsboard  ↗</w:t>
        </w:r>
      </w:hyperlink>
    </w:p>
    <w:p>
      <w:pPr>
        <w:spacing w:before="160" w:after="240"/>
        <w:keepLines/>
      </w:pPr>
      <w:hyperlink r:id="rIdCourseLinks3">
        <w:r>
          <w:rPr>
            <w:rFonts w:ascii="Inter" w:hAnsi="Inter" w:eastAsia="Inter" w:cs="Inter"/>
            <w:color w:val="17594E"/>
            <w:u w:val="single"/>
            <w:sz w:val="25"/>
          </w:rPr>
          <w:t>Kanban-Auswertung für Lehrkräfte  ↗</w:t>
        </w:r>
      </w:hyperlink>
    </w:p>
    <w:p>
      <w:pPr>
        <w:pStyle w:val="Heading1"/>
        <w:pageBreakBefore/>
        <w:keepLines/>
        <w:jc w:val="left"/>
      </w:pPr>
      <w:r>
        <w:t>Inhalt</w:t>
      </w:r>
    </w:p>
    <w:p>
      <w:pPr>
        <w:keepLines/>
      </w:pPr>
      <w:r>
        <w:t>Das Curriculum beschreibt Ziele, Unterricht, Produkte und Leistungsbewertung des Projektkurses. Es enthält die konkrete Jahresplanung ab Februar 2027 und bereitet das dreistündige Modell der neuen Oberstufenordnung vor.</w:t>
      </w:r>
    </w:p>
    <w:p>
      <w:pPr>
        <w:spacing w:after="220"/>
        <w:keepLines/>
      </w:pPr>
      <w:hyperlink w:anchor="profil">
        <w:r>
          <w:rPr>
            <w:color w:val="17594E"/>
          </w:rPr>
          <w:t>1 Kursprofil</w:t>
        </w:r>
      </w:hyperlink>
    </w:p>
    <w:p>
      <w:pPr>
        <w:spacing w:after="220"/>
        <w:keepLines/>
      </w:pPr>
      <w:hyperlink w:anchor="rahmen">
        <w:r>
          <w:rPr>
            <w:color w:val="17594E"/>
          </w:rPr>
          <w:t>2 Rahmen und Geltung</w:t>
        </w:r>
      </w:hyperlink>
    </w:p>
    <w:p>
      <w:pPr>
        <w:spacing w:after="220"/>
        <w:keepLines/>
      </w:pPr>
      <w:hyperlink w:anchor="kompetenzen">
        <w:r>
          <w:rPr>
            <w:color w:val="17594E"/>
          </w:rPr>
          <w:t>3 Kompetenzen</w:t>
        </w:r>
      </w:hyperlink>
    </w:p>
    <w:p>
      <w:pPr>
        <w:spacing w:after="220"/>
        <w:keepLines/>
      </w:pPr>
      <w:hyperlink w:anchor="methoden">
        <w:r>
          <w:rPr>
            <w:color w:val="17594E"/>
          </w:rPr>
          <w:t>4 Unterrichtsgestaltung</w:t>
        </w:r>
      </w:hyperlink>
    </w:p>
    <w:p>
      <w:pPr>
        <w:spacing w:after="220"/>
        <w:keepLines/>
      </w:pPr>
      <w:hyperlink w:anchor="jahresplanung">
        <w:r>
          <w:rPr>
            <w:color w:val="17594E"/>
          </w:rPr>
          <w:t>5 Jahresplanung</w:t>
        </w:r>
      </w:hyperlink>
    </w:p>
    <w:p>
      <w:pPr>
        <w:spacing w:after="220"/>
        <w:keepLines/>
      </w:pPr>
      <w:hyperlink w:anchor="m1">
        <w:r>
          <w:rPr>
            <w:color w:val="17594E"/>
          </w:rPr>
          <w:t>6 Projektmodule</w:t>
        </w:r>
      </w:hyperlink>
    </w:p>
    <w:p>
      <w:pPr>
        <w:spacing w:after="220"/>
        <w:keepLines/>
      </w:pPr>
      <w:hyperlink w:anchor="produkte">
        <w:r>
          <w:rPr>
            <w:color w:val="17594E"/>
          </w:rPr>
          <w:t>7 Produkte</w:t>
        </w:r>
      </w:hyperlink>
    </w:p>
    <w:p>
      <w:pPr>
        <w:spacing w:after="220"/>
        <w:keepLines/>
      </w:pPr>
      <w:hyperlink w:anchor="ki">
        <w:r>
          <w:rPr>
            <w:color w:val="17594E"/>
          </w:rPr>
          <w:t>8 KI und Medienverantwortung</w:t>
        </w:r>
      </w:hyperlink>
    </w:p>
    <w:p>
      <w:pPr>
        <w:spacing w:after="220"/>
        <w:keepLines/>
      </w:pPr>
      <w:hyperlink w:anchor="bewertung">
        <w:r>
          <w:rPr>
            <w:color w:val="17594E"/>
          </w:rPr>
          <w:t>9 Leistungsbewertung</w:t>
        </w:r>
      </w:hyperlink>
    </w:p>
    <w:p>
      <w:pPr>
        <w:spacing w:after="220"/>
        <w:keepLines/>
      </w:pPr>
      <w:hyperlink w:anchor="abitur">
        <w:r>
          <w:rPr>
            <w:color w:val="17594E"/>
          </w:rPr>
          <w:t>10 Prüfungsperspektive</w:t>
        </w:r>
      </w:hyperlink>
    </w:p>
    <w:p>
      <w:pPr>
        <w:spacing w:after="220"/>
        <w:keepLines/>
      </w:pPr>
      <w:hyperlink w:anchor="beispiele">
        <w:r>
          <w:rPr>
            <w:color w:val="17594E"/>
          </w:rPr>
          <w:t>11 Projektbeispiele</w:t>
        </w:r>
      </w:hyperlink>
    </w:p>
    <w:p>
      <w:pPr>
        <w:spacing w:after="220"/>
        <w:keepLines/>
      </w:pPr>
      <w:hyperlink w:anchor="dokumentation">
        <w:r>
          <w:rPr>
            <w:color w:val="17594E"/>
          </w:rPr>
          <w:t>12 Dokumentation</w:t>
        </w:r>
      </w:hyperlink>
    </w:p>
    <w:p>
      <w:pPr>
        <w:spacing w:after="220"/>
        <w:keepLines/>
      </w:pPr>
      <w:hyperlink w:anchor="qualitaet">
        <w:r>
          <w:rPr>
            <w:color w:val="17594E"/>
          </w:rPr>
          <w:t>13 Qualität und Quellen</w:t>
        </w:r>
      </w:hyperlink>
    </w:p>
    <w:p>
      <w:bookmarkStart w:id="1" w:name="profil"/>
      <w:pPr>
        <w:pStyle w:val="Heading1"/>
        <w:pageBreakBefore/>
        <w:keepLines/>
        <w:jc w:val="left"/>
      </w:pPr>
      <w:r>
        <w:t>1 Kursprofil und Bildungsauftrag</w:t>
      </w:r>
      <w:bookmarkEnd w:id="1"/>
    </w:p>
    <w:p>
      <w:pPr>
        <w:keepLines/>
      </w:pPr>
      <w:r>
        <w:t>Der Projektkurs Wissenschaftskommunikation am Gymnasium Thomaeum Kempen verbindet die fachliche Vertiefung in Physik, Chemie und Biologie mit der Aufgabe, wissenschaftliche Erkenntnisse für ein klar bestimmtes Publikum verständlich zu machen. Die Lernenden entwickeln, erproben und überarbeiten eigene Kommunikationsprodukte. Wissenschaftliche Korrektheit, nachvollziehbare Belege und Verständlichkeit bilden dabei den gemeinsamen Qualitätsmaßstab.</w:t>
      </w:r>
    </w:p>
    <w:p>
      <w:pPr>
        <w:keepLines/>
      </w:pPr>
      <w:r>
        <w:t>Die Leitfrage lautet: Wie lässt sich ein anspruchsvolles naturwissenschaftliches Thema so durchdringen und vermitteln, dass Menschen ohne Spezialwissen es verstehen und seine Aussagegrenzen erkennen? Eine gelungene Erklärung setzt Fachverständnis voraus. Der Kurs erschließt deshalb zuerst tragfähige fachliche Grundlagen und macht anschließend deren Anwendung in einem selbst verantworteten Projekt sichtbar.</w:t>
      </w:r>
    </w:p>
    <w:p>
      <w:pPr>
        <w:pStyle w:val="Heading3"/>
        <w:spacing w:before="260" w:after="140"/>
        <w:keepLines/>
        <w:jc w:val="left"/>
      </w:pPr>
      <w:r>
        <w:t>Die vier K als Leitprinzip</w:t>
      </w:r>
    </w:p>
    <w:p>
      <w:pPr>
        <w:keepLines/>
      </w:pPr>
      <w:r>
        <w:t>Kreativität, Kollaboration, Kommunikation und kritisches Denken sind als vier K im internationalen P21 Framework for 21st Century Learning verankert. Der Kurs verbindet diese überfachlichen Ziele mit naturwissenschaftlicher Erkenntnisgewinnung. Sie ergänzen Fachwissen und werden an konkreten Handlungen erkennbar, etwa bei der Prüfung einer Quelle, dem Entwurf eines Modells und der gemeinsamen Überarbeitung eines Produkts. [5]</w:t>
      </w:r>
    </w:p>
    <w:p>
      <w:pPr>
        <w:keepLines/>
      </w:pPr>
      <w:r>
        <w:t>Die vier K bezeichnen genuin menschliche Fähigkeiten des Verstehens, Gestaltens und verantwortlichen Handelns. Sie ergänzen das klassische Bildungsideal, statt es zu ersetzen. Tragfähiges naturwissenschaftliches Wissen, Quellenkenntnis und sprachliche Mittel bilden ihre Grundlage: Ohne Kenntnis vorhandener Erkenntnisse und Darstellungsformen bleibt Kreativität beliebig; ohne sichere allgemeine und fachsprachliche Mittel gelingt keine adressatengerechte, lösungsgerichtete Kommunikation. Kritisches Denken setzt Sachkenntnis und Kriterien für belastbare Belege voraus. Kollaboration verlangt eigene fachliche Beiträge, Zuhören und gemeinsame Verantwortung. Generative KI kann Entwürfe und Visualisierungen erzeugen, übernimmt aber nicht die menschliche Verantwortung für deren Prüfung, Verständigung und Wirkung beim Publikum. Deshalb werden die vier K in der Projektarbeit und ihrer Bewertung deutlich sichtbar gemacht, stets auf der Grundlage fachlicher Bildung.</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7257"/>
      </w:tblGrid>
      <w:tr>
        <w:trPr>
          <w:cantSplit/>
          <w:tblHeader/>
        </w:trPr>
        <w:tc>
          <w:tcPr>
            <w:tcW w:type="dxa" w:w="1814"/>
            <w:vAlign w:val="center"/>
            <w:shd w:fill="DDE9EC"/>
            <w:tcMar>
              <w:top w:w="65" w:type="dxa"/>
              <w:bottom w:w="65" w:type="dxa"/>
              <w:left w:w="85" w:type="dxa"/>
              <w:right w:w="85" w:type="dxa"/>
            </w:tcMar>
          </w:tcPr>
          <w:p>
            <w:pPr>
              <w:keepNext/>
              <w:spacing w:line="264" w:lineRule="auto" w:after="20" w:before="20"/>
              <w:jc w:val="left"/>
            </w:pPr>
            <w:r>
              <w:rPr>
                <w:rFonts w:ascii="Inter" w:hAnsi="Inter"/>
                <w:b/>
                <w:color w:val="000000"/>
                <w:sz w:val="18"/>
              </w:rPr>
              <w:t>Kompetenz</w:t>
            </w:r>
          </w:p>
        </w:tc>
        <w:tc>
          <w:tcPr>
            <w:tcW w:type="dxa" w:w="7257"/>
            <w:vAlign w:val="center"/>
            <w:shd w:fill="DDE9EC"/>
            <w:tcMar>
              <w:top w:w="65" w:type="dxa"/>
              <w:bottom w:w="65" w:type="dxa"/>
              <w:left w:w="85" w:type="dxa"/>
              <w:right w:w="85" w:type="dxa"/>
            </w:tcMar>
          </w:tcPr>
          <w:p>
            <w:pPr>
              <w:keepNext/>
              <w:spacing w:line="264" w:lineRule="auto" w:after="20" w:before="20"/>
              <w:jc w:val="left"/>
            </w:pPr>
            <w:r>
              <w:rPr>
                <w:rFonts w:ascii="Inter" w:hAnsi="Inter"/>
                <w:b/>
                <w:color w:val="000000"/>
                <w:sz w:val="18"/>
              </w:rPr>
              <w:t>Beitrag des Projektkurses</w:t>
            </w:r>
          </w:p>
        </w:tc>
      </w:tr>
      <w:tr>
        <w:trPr>
          <w:cantSplit/>
        </w:trPr>
        <w:tc>
          <w:tcPr>
            <w:tcW w:type="dxa" w:w="1814"/>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Kreativität</w:t>
            </w:r>
          </w:p>
        </w:tc>
        <w:tc>
          <w:tcPr>
            <w:tcW w:type="dxa" w:w="7257"/>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Mehrere fachlich tragfähige Erklärwege entwickeln, Prototypen vergleichen und eine begründete Gestaltungslösung überarbeiten.</w:t>
            </w:r>
          </w:p>
        </w:tc>
      </w:tr>
      <w:tr>
        <w:trPr>
          <w:cantSplit/>
        </w:trPr>
        <w:tc>
          <w:tcPr>
            <w:tcW w:type="dxa" w:w="1814"/>
            <w:vAlign w:val="center"/>
            <w:shd w:fill="F5F8F9"/>
            <w:tcMar>
              <w:top w:w="65" w:type="dxa"/>
              <w:bottom w:w="65" w:type="dxa"/>
              <w:left w:w="85" w:type="dxa"/>
              <w:right w:w="85" w:type="dxa"/>
            </w:tcMar>
          </w:tcPr>
          <w:p>
            <w:pPr>
              <w:spacing w:line="264" w:lineRule="auto" w:after="20" w:before="20"/>
              <w:jc w:val="left"/>
            </w:pPr>
            <w:r>
              <w:rPr>
                <w:rFonts w:ascii="Inter" w:hAnsi="Inter"/>
                <w:b w:val="0"/>
                <w:color w:val="000000"/>
                <w:sz w:val="18"/>
              </w:rPr>
              <w:t>Kollaboration</w:t>
            </w:r>
          </w:p>
        </w:tc>
        <w:tc>
          <w:tcPr>
            <w:tcW w:type="dxa" w:w="7257"/>
            <w:vAlign w:val="center"/>
            <w:shd w:fill="F5F8F9"/>
            <w:tcMar>
              <w:top w:w="65" w:type="dxa"/>
              <w:bottom w:w="65" w:type="dxa"/>
              <w:left w:w="85" w:type="dxa"/>
              <w:right w:w="85" w:type="dxa"/>
            </w:tcMar>
          </w:tcPr>
          <w:p>
            <w:pPr>
              <w:spacing w:line="264" w:lineRule="auto" w:after="20" w:before="20"/>
              <w:jc w:val="left"/>
            </w:pPr>
            <w:r>
              <w:rPr>
                <w:rFonts w:ascii="Inter" w:hAnsi="Inter"/>
                <w:b w:val="0"/>
                <w:color w:val="000000"/>
                <w:sz w:val="18"/>
              </w:rPr>
              <w:t>Fachliche Beiträge abstimmen, Verantwortung teilen und dokumentiertes Feedback für ein gemeinsames Ergebnis nutzen.</w:t>
            </w:r>
          </w:p>
        </w:tc>
      </w:tr>
      <w:tr>
        <w:trPr>
          <w:cantSplit/>
        </w:trPr>
        <w:tc>
          <w:tcPr>
            <w:tcW w:type="dxa" w:w="1814"/>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Kommunikation</w:t>
            </w:r>
          </w:p>
        </w:tc>
        <w:tc>
          <w:tcPr>
            <w:tcW w:type="dxa" w:w="7257"/>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Zwischen Fachsprache, Alltagssprache, Daten und Modellen vermitteln und auf Verständnisfragen eingehen.</w:t>
            </w:r>
          </w:p>
        </w:tc>
      </w:tr>
      <w:tr>
        <w:trPr>
          <w:cantSplit/>
        </w:trPr>
        <w:tc>
          <w:tcPr>
            <w:tcW w:type="dxa" w:w="1814"/>
            <w:vAlign w:val="center"/>
            <w:shd w:fill="F5F8F9"/>
            <w:tcMar>
              <w:top w:w="65" w:type="dxa"/>
              <w:bottom w:w="65" w:type="dxa"/>
              <w:left w:w="85" w:type="dxa"/>
              <w:right w:w="85" w:type="dxa"/>
            </w:tcMar>
          </w:tcPr>
          <w:p>
            <w:pPr>
              <w:spacing w:line="264" w:lineRule="auto" w:after="20" w:before="20"/>
              <w:jc w:val="left"/>
            </w:pPr>
            <w:r>
              <w:rPr>
                <w:rFonts w:ascii="Inter" w:hAnsi="Inter"/>
                <w:b w:val="0"/>
                <w:color w:val="000000"/>
                <w:sz w:val="18"/>
              </w:rPr>
              <w:t>Kritisches Denken</w:t>
            </w:r>
          </w:p>
        </w:tc>
        <w:tc>
          <w:tcPr>
            <w:tcW w:type="dxa" w:w="7257"/>
            <w:vAlign w:val="center"/>
            <w:shd w:fill="F5F8F9"/>
            <w:tcMar>
              <w:top w:w="65" w:type="dxa"/>
              <w:bottom w:w="65" w:type="dxa"/>
              <w:left w:w="85" w:type="dxa"/>
              <w:right w:w="85" w:type="dxa"/>
            </w:tcMar>
          </w:tcPr>
          <w:p>
            <w:pPr>
              <w:spacing w:line="264" w:lineRule="auto" w:after="20" w:before="20"/>
              <w:jc w:val="left"/>
            </w:pPr>
            <w:r>
              <w:rPr>
                <w:rFonts w:ascii="Inter" w:hAnsi="Inter"/>
                <w:b w:val="0"/>
                <w:color w:val="000000"/>
                <w:sz w:val="18"/>
              </w:rPr>
              <w:t>Behauptungen an Belegen prüfen, Unsicherheiten benennen und zwischen empirischem Befund und Wertentscheidung unterscheiden.</w:t>
            </w:r>
          </w:p>
        </w:tc>
      </w:tr>
    </w:tbl>
    <w:p>
      <w:pPr>
        <w:spacing w:after="0" w:before="0" w:line="240" w:lineRule="auto"/>
      </w:pPr>
      <w:r>
        <w:rPr>
          <w:sz w:val="6"/>
        </w:rPr>
      </w:r>
    </w:p>
    <w:p>
      <w:pPr>
        <w:keepLines/>
      </w:pPr>
      <w:r>
        <w:t>Der Kurs bereitet auf wissenschaftspropädeutisches Arbeiten und auf Situationen in Studium, Beruf und Öffentlichkeit vor, in denen Informationen eigenständig beurteilt, Entscheidungen erläutert und Lösungen gemeinsam entwickelt werden. Deeper Learning bezeichnet hier das Ziel, fachlich vernetztes Wissen auf neue Situationen zu übertragen und den eigenen Lernweg bewusst zu steuern. [6]</w:t>
      </w:r>
    </w:p>
    <w:p>
      <w:bookmarkStart w:id="2" w:name="rahmen"/>
      <w:pPr>
        <w:pStyle w:val="Heading1"/>
        <w:spacing w:before="260" w:after="140"/>
        <w:keepLines/>
        <w:jc w:val="left"/>
      </w:pPr>
      <w:r>
        <w:t>2 Rahmenbedingungen und zeitliche Geltung</w:t>
      </w:r>
      <w:bookmarkEnd w:id="2"/>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6803"/>
      </w:tblGrid>
      <w:tr>
        <w:trPr>
          <w:cantSplit/>
          <w:tblHeader/>
        </w:trPr>
        <w:tc>
          <w:tcPr>
            <w:tcW w:type="dxa" w:w="2268"/>
            <w:vAlign w:val="center"/>
            <w:shd w:fill="DDE9EC"/>
            <w:tcMar>
              <w:top w:w="65" w:type="dxa"/>
              <w:bottom w:w="65" w:type="dxa"/>
              <w:left w:w="85" w:type="dxa"/>
              <w:right w:w="85" w:type="dxa"/>
            </w:tcMar>
          </w:tcPr>
          <w:p>
            <w:pPr>
              <w:keepNext/>
              <w:spacing w:line="264" w:lineRule="auto" w:after="20" w:before="20"/>
              <w:jc w:val="left"/>
            </w:pPr>
            <w:r>
              <w:rPr>
                <w:rFonts w:ascii="Inter" w:hAnsi="Inter"/>
                <w:b/>
                <w:color w:val="000000"/>
                <w:sz w:val="18"/>
              </w:rPr>
              <w:t>Merkmal</w:t>
            </w:r>
          </w:p>
        </w:tc>
        <w:tc>
          <w:tcPr>
            <w:tcW w:type="dxa" w:w="6803"/>
            <w:vAlign w:val="center"/>
            <w:shd w:fill="DDE9EC"/>
            <w:tcMar>
              <w:top w:w="65" w:type="dxa"/>
              <w:bottom w:w="65" w:type="dxa"/>
              <w:left w:w="85" w:type="dxa"/>
              <w:right w:w="85" w:type="dxa"/>
            </w:tcMar>
          </w:tcPr>
          <w:p>
            <w:pPr>
              <w:keepNext/>
              <w:spacing w:line="264" w:lineRule="auto" w:after="20" w:before="20"/>
              <w:jc w:val="left"/>
            </w:pPr>
            <w:r>
              <w:rPr>
                <w:rFonts w:ascii="Inter" w:hAnsi="Inter"/>
                <w:b/>
                <w:color w:val="000000"/>
                <w:sz w:val="18"/>
              </w:rPr>
              <w:t>Ausgestaltung</w:t>
            </w:r>
          </w:p>
        </w:tc>
      </w:tr>
      <w:tr>
        <w:trPr>
          <w:cantSplit/>
        </w:trPr>
        <w:tc>
          <w:tcPr>
            <w:tcW w:type="dxa" w:w="2268"/>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Kurs</w:t>
            </w:r>
          </w:p>
        </w:tc>
        <w:tc>
          <w:tcPr>
            <w:tcW w:type="dxa" w:w="6803"/>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Wissenschaftskommunikation - Naturwissenschaften verständlich machen</w:t>
            </w:r>
          </w:p>
        </w:tc>
      </w:tr>
      <w:tr>
        <w:trPr>
          <w:cantSplit/>
        </w:trPr>
        <w:tc>
          <w:tcPr>
            <w:tcW w:type="dxa" w:w="2268"/>
            <w:vAlign w:val="center"/>
            <w:shd w:fill="F5F8F9"/>
            <w:tcMar>
              <w:top w:w="65" w:type="dxa"/>
              <w:bottom w:w="65" w:type="dxa"/>
              <w:left w:w="85" w:type="dxa"/>
              <w:right w:w="85" w:type="dxa"/>
            </w:tcMar>
          </w:tcPr>
          <w:p>
            <w:pPr>
              <w:spacing w:line="264" w:lineRule="auto" w:after="20" w:before="20"/>
              <w:jc w:val="left"/>
            </w:pPr>
            <w:r>
              <w:rPr>
                <w:rFonts w:ascii="Inter" w:hAnsi="Inter"/>
                <w:b w:val="0"/>
                <w:color w:val="000000"/>
                <w:sz w:val="18"/>
              </w:rPr>
              <w:t>Schule und Kursleitung</w:t>
            </w:r>
          </w:p>
        </w:tc>
        <w:tc>
          <w:tcPr>
            <w:tcW w:type="dxa" w:w="6803"/>
            <w:vAlign w:val="center"/>
            <w:shd w:fill="F5F8F9"/>
            <w:tcMar>
              <w:top w:w="65" w:type="dxa"/>
              <w:bottom w:w="65" w:type="dxa"/>
              <w:left w:w="85" w:type="dxa"/>
              <w:right w:w="85" w:type="dxa"/>
            </w:tcMar>
          </w:tcPr>
          <w:p>
            <w:pPr>
              <w:spacing w:line="264" w:lineRule="auto" w:after="20" w:before="20"/>
              <w:jc w:val="left"/>
            </w:pPr>
            <w:r>
              <w:rPr>
                <w:rFonts w:ascii="Inter" w:hAnsi="Inter"/>
                <w:b w:val="0"/>
                <w:color w:val="000000"/>
                <w:sz w:val="18"/>
              </w:rPr>
              <w:t>Gymnasium Thomaeum Kempen; Dr. Claus Unterberg</w:t>
            </w:r>
          </w:p>
        </w:tc>
      </w:tr>
      <w:tr>
        <w:trPr>
          <w:cantSplit/>
        </w:trPr>
        <w:tc>
          <w:tcPr>
            <w:tcW w:type="dxa" w:w="2268"/>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Referenzfächer</w:t>
            </w:r>
          </w:p>
        </w:tc>
        <w:tc>
          <w:tcPr>
            <w:tcW w:type="dxa" w:w="6803"/>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Physik, Chemie und Biologie; individuelle Zuordnung des Projekts zu einem Referenzfach</w:t>
            </w:r>
          </w:p>
        </w:tc>
      </w:tr>
      <w:tr>
        <w:trPr>
          <w:cantSplit/>
        </w:trPr>
        <w:tc>
          <w:tcPr>
            <w:tcW w:type="dxa" w:w="2268"/>
            <w:vAlign w:val="center"/>
            <w:shd w:fill="F5F8F9"/>
            <w:tcMar>
              <w:top w:w="65" w:type="dxa"/>
              <w:bottom w:w="65" w:type="dxa"/>
              <w:left w:w="85" w:type="dxa"/>
              <w:right w:w="85" w:type="dxa"/>
            </w:tcMar>
          </w:tcPr>
          <w:p>
            <w:pPr>
              <w:spacing w:line="264" w:lineRule="auto" w:after="20" w:before="20"/>
              <w:jc w:val="left"/>
            </w:pPr>
            <w:r>
              <w:rPr>
                <w:rFonts w:ascii="Inter" w:hAnsi="Inter"/>
                <w:b w:val="0"/>
                <w:color w:val="000000"/>
                <w:sz w:val="18"/>
              </w:rPr>
              <w:t>Dauer und Umfang</w:t>
            </w:r>
          </w:p>
        </w:tc>
        <w:tc>
          <w:tcPr>
            <w:tcW w:type="dxa" w:w="6803"/>
            <w:vAlign w:val="center"/>
            <w:shd w:fill="F5F8F9"/>
            <w:tcMar>
              <w:top w:w="65" w:type="dxa"/>
              <w:bottom w:w="65" w:type="dxa"/>
              <w:left w:w="85" w:type="dxa"/>
              <w:right w:w="85" w:type="dxa"/>
            </w:tcMar>
          </w:tcPr>
          <w:p>
            <w:pPr>
              <w:spacing w:line="264" w:lineRule="auto" w:after="20" w:before="20"/>
              <w:jc w:val="left"/>
            </w:pPr>
            <w:r>
              <w:rPr>
                <w:rFonts w:ascii="Inter" w:hAnsi="Inter"/>
                <w:b w:val="0"/>
                <w:color w:val="000000"/>
                <w:sz w:val="18"/>
              </w:rPr>
              <w:t>Aktueller Durchgang: Q1.2 2026/27 bis Q2.1 2027/28, dienstags zwei Wochenstunden zu 45 Minuten. Neues Modell: Q2.1 und Q2.2, drei Wochenstunden, regulär ab 2029/30.</w:t>
            </w:r>
          </w:p>
        </w:tc>
      </w:tr>
      <w:tr>
        <w:trPr>
          <w:cantSplit/>
        </w:trPr>
        <w:tc>
          <w:tcPr>
            <w:tcW w:type="dxa" w:w="2268"/>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Arbeitsformen</w:t>
            </w:r>
          </w:p>
        </w:tc>
        <w:tc>
          <w:tcPr>
            <w:tcW w:type="dxa" w:w="6803"/>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Einzelarbeit oder Teams von in der Regel zwei bis drei Personen</w:t>
            </w:r>
          </w:p>
        </w:tc>
      </w:tr>
      <w:tr>
        <w:trPr>
          <w:cantSplit/>
        </w:trPr>
        <w:tc>
          <w:tcPr>
            <w:tcW w:type="dxa" w:w="2268"/>
            <w:vAlign w:val="center"/>
            <w:shd w:fill="F5F8F9"/>
            <w:tcMar>
              <w:top w:w="65" w:type="dxa"/>
              <w:bottom w:w="65" w:type="dxa"/>
              <w:left w:w="85" w:type="dxa"/>
              <w:right w:w="85" w:type="dxa"/>
            </w:tcMar>
          </w:tcPr>
          <w:p>
            <w:pPr>
              <w:spacing w:line="264" w:lineRule="auto" w:after="20" w:before="20"/>
              <w:jc w:val="left"/>
            </w:pPr>
            <w:r>
              <w:rPr>
                <w:rFonts w:ascii="Inter" w:hAnsi="Inter"/>
                <w:b w:val="0"/>
                <w:color w:val="000000"/>
                <w:sz w:val="18"/>
              </w:rPr>
              <w:t>Ergebnisse</w:t>
            </w:r>
          </w:p>
        </w:tc>
        <w:tc>
          <w:tcPr>
            <w:tcW w:type="dxa" w:w="6803"/>
            <w:vAlign w:val="center"/>
            <w:shd w:fill="F5F8F9"/>
            <w:tcMar>
              <w:top w:w="65" w:type="dxa"/>
              <w:bottom w:w="65" w:type="dxa"/>
              <w:left w:w="85" w:type="dxa"/>
              <w:right w:w="85" w:type="dxa"/>
            </w:tcMar>
          </w:tcPr>
          <w:p>
            <w:pPr>
              <w:spacing w:line="264" w:lineRule="auto" w:after="20" w:before="20"/>
              <w:jc w:val="left"/>
            </w:pPr>
            <w:r>
              <w:rPr>
                <w:rFonts w:ascii="Inter" w:hAnsi="Inter"/>
                <w:b w:val="0"/>
                <w:color w:val="000000"/>
                <w:sz w:val="18"/>
              </w:rPr>
              <w:t>Aktueller Durchgang: Produkt 1 in Q1.2, Produkt 2 in Q2.1; beide werden in der Jahresdokumentation zusammengeführt. Neues Modell: je Halbjahr ein bewertbares Produkt mit Vorstellung. Fortlaufend individuelle Prozess- und Reflexionsnachweise.</w:t>
            </w:r>
          </w:p>
        </w:tc>
      </w:tr>
    </w:tbl>
    <w:p>
      <w:pPr>
        <w:spacing w:after="0" w:before="0" w:line="240" w:lineRule="auto"/>
      </w:pPr>
      <w:r>
        <w:rPr>
          <w:sz w:val="6"/>
        </w:rPr>
      </w:r>
    </w:p>
    <w:p>
      <w:pPr>
        <w:pStyle w:val="Heading3"/>
        <w:spacing w:before="260" w:after="140"/>
        <w:keepLines/>
        <w:jc w:val="left"/>
      </w:pPr>
      <w:r>
        <w:t>Geltung der neuen Oberstufenordnung</w:t>
      </w:r>
    </w:p>
    <w:p>
      <w:pPr>
        <w:keepLines/>
      </w:pPr>
      <w:r>
        <w:t>Die APO-GOSt vom 16. Juli 2026 tritt zum 1. August 2027 aufwachsend in Kraft. Sie gilt erstmals für Lernende, die 2027/28 die Einführungsphase besuchen. Der reguläre erste Durchgang dieses Jahrgangs durch Q2 liegt 2029/30; das erste Abitur nach dieser Ordnung findet 2030 statt. Das Zukunftsmodell in Kapitel 5.2 bereitet diesen Projektkurs vor; Kapitel 5.1 konkretisiert den früher beginnenden Durchgang. [1]</w:t>
      </w:r>
    </w:p>
    <w:p>
      <w:pPr>
        <w:keepLines/>
      </w:pPr>
      <w:r>
        <w:t>Nach §§ 6 und 11 Absatz 9 wird der Projektkurs in Q2 dreistündig belegt. Das individuell gewählte Referenzfach muss in der EF als Grundkurs und in Q1 als Fach mit schriftlichen Arbeiten belegt sein. Die Laufbahnberatung prüft die Voraussetzungen und die Wahl des fünften Abiturfachs. Die Belegung des Projektkurses bedeutet nicht automatisch, dass sein Referenzfach fünftes Abiturfach wird. [1]</w:t>
      </w:r>
    </w:p>
    <w:p>
      <w:pPr>
        <w:pStyle w:val="Heading3"/>
        <w:spacing w:before="260" w:after="140"/>
        <w:keepLines/>
        <w:jc w:val="left"/>
      </w:pPr>
      <w:r>
        <w:t>Unterricht vor dem neuen Jahrgang</w:t>
      </w:r>
    </w:p>
    <w:p>
      <w:pPr>
        <w:keepLines/>
      </w:pPr>
      <w:r>
        <w:t>Für früher eingetretene Jahrgänge bleibt die bisherige APO-GOSt maßgeblich. Dort wird der Projektkurs in zwei aufeinanderfolgenden Halbjahren der Qualifikationsphase zwei- oder dreistündig eingerichtet. Die Jahresnote entsteht zu gleichen Teilen aus der zusammengefassten Sonstigen Mitarbeit beider Halbjahre und einer eigenständigen Dokumentation im Umfang eines Jahresprojekts. Ein fünftes Abiturfach nach der neuen Ordnung gibt es für diese Jahrgänge nicht. [2]</w:t>
      </w:r>
    </w:p>
    <w:p>
      <w:pPr>
        <w:keepLines/>
      </w:pPr>
      <w:r>
        <w:t>Am Ende des ersten Projektkurshalbjahres wird keine Kursnote erteilt. Die Belegung wird ausgewiesen; bei Leistungen, die den Anforderungen nur noch mit Einschränkung entsprechen, erfolgt eine dokumentierte Beratung. Die abschließende Dokumentation umfasst das gesamte Jahresprojekt und die erkennbare individuelle Leistung. Die Verpflichtung zur Facharbeit entfällt bei Belegung des Projektkurses. [2, § 14 Absätze 3 und 7; VV 14.7]</w:t>
      </w:r>
    </w:p>
    <w:p>
      <w:pPr>
        <w:keepLines/>
      </w:pPr>
      <w:r>
        <w:t>Die fachlichen Module, Methoden und Qualitätsanforderungen können bereits zuvor eingesetzt werden. Die Leistungsbewertung und Prüfungsorganisation folgen dabei der jeweils gültigen Jahrgangsregelung; das neue Modell mit zwei Halbjahresprodukten und Halbjahresnoten wird nicht vorzeitig als geltendes Prüfungsrecht angewendet.</w:t>
      </w:r>
    </w:p>
    <w:p>
      <w:bookmarkStart w:id="3" w:name="kompetenzen"/>
      <w:pPr>
        <w:pStyle w:val="Heading1"/>
        <w:spacing w:before="260" w:after="140"/>
        <w:keepLines/>
        <w:jc w:val="left"/>
      </w:pPr>
      <w:r>
        <w:t>3 Kompetenzen der fachlichen Erschließung</w:t>
      </w:r>
      <w:bookmarkEnd w:id="3"/>
    </w:p>
    <w:p>
      <w:pPr>
        <w:keepLines/>
      </w:pPr>
      <w:r>
        <w:t>Die folgenden kursspezifischen Kompetenzen konkretisieren den Bildungsauftrag. Die Kennungen dienen der Zuordnung zu Modulen und Leistungsnachweisen. Sie sind keine amtlichen Kennnummern eines Kernlehrplans. Alle Lernenden erhalten Lerngelegenheiten zu sämtlichen aufgeführten Kompetenzen; die fachliche Ausprägung richtet sich nach dem Referenzfach und der gewählten Fragestellung.</w:t>
      </w:r>
    </w:p>
    <w:p>
      <w:pPr>
        <w:pStyle w:val="Heading3"/>
        <w:spacing w:before="260" w:after="140"/>
        <w:keepLines/>
        <w:jc w:val="left"/>
      </w:pPr>
      <w:r>
        <w:t>Fachwissen und Modelle</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
        <w:gridCol w:w="5726"/>
        <w:gridCol w:w="2381"/>
      </w:tblGrid>
      <w:tr>
        <w:trPr>
          <w:cantSplit/>
          <w:tblHeader/>
        </w:trPr>
        <w:tc>
          <w:tcPr>
            <w:tcW w:type="dxa" w:w="964"/>
            <w:vAlign w:val="center"/>
            <w:shd w:fill="DDE9EC"/>
            <w:tcMar>
              <w:top w:w="65" w:type="dxa"/>
              <w:bottom w:w="65" w:type="dxa"/>
              <w:left w:w="85" w:type="dxa"/>
              <w:right w:w="85" w:type="dxa"/>
            </w:tcMar>
          </w:tcPr>
          <w:p>
            <w:pPr>
              <w:keepNext/>
              <w:spacing w:line="264" w:lineRule="auto" w:after="20" w:before="20"/>
              <w:jc w:val="center"/>
            </w:pPr>
            <w:r>
              <w:rPr>
                <w:rFonts w:ascii="Inter" w:hAnsi="Inter"/>
                <w:b/>
                <w:color w:val="000000"/>
                <w:sz w:val="18"/>
              </w:rPr>
              <w:t>Code</w:t>
            </w:r>
          </w:p>
        </w:tc>
        <w:tc>
          <w:tcPr>
            <w:tcW w:type="dxa" w:w="5726"/>
            <w:vAlign w:val="center"/>
            <w:shd w:fill="DDE9EC"/>
            <w:tcMar>
              <w:top w:w="65" w:type="dxa"/>
              <w:bottom w:w="65" w:type="dxa"/>
              <w:left w:w="85" w:type="dxa"/>
              <w:right w:w="85" w:type="dxa"/>
            </w:tcMar>
          </w:tcPr>
          <w:p>
            <w:pPr>
              <w:keepNext/>
              <w:spacing w:line="264" w:lineRule="auto" w:after="20" w:before="20"/>
              <w:jc w:val="left"/>
            </w:pPr>
            <w:r>
              <w:rPr>
                <w:rFonts w:ascii="Inter" w:hAnsi="Inter"/>
                <w:b/>
                <w:color w:val="000000"/>
                <w:sz w:val="18"/>
              </w:rPr>
              <w:t>Am Ende des Kurses können die Lernenden</w:t>
            </w:r>
          </w:p>
        </w:tc>
        <w:tc>
          <w:tcPr>
            <w:tcW w:type="dxa" w:w="2381"/>
            <w:vAlign w:val="center"/>
            <w:shd w:fill="DDE9EC"/>
            <w:tcMar>
              <w:top w:w="65" w:type="dxa"/>
              <w:bottom w:w="65" w:type="dxa"/>
              <w:left w:w="85" w:type="dxa"/>
              <w:right w:w="85" w:type="dxa"/>
            </w:tcMar>
          </w:tcPr>
          <w:p>
            <w:pPr>
              <w:keepNext/>
              <w:spacing w:line="264" w:lineRule="auto" w:after="20" w:before="20"/>
              <w:jc w:val="left"/>
            </w:pPr>
            <w:r>
              <w:rPr>
                <w:rFonts w:ascii="Inter" w:hAnsi="Inter"/>
                <w:b/>
                <w:color w:val="000000"/>
                <w:sz w:val="18"/>
              </w:rPr>
              <w:t>Nachweis</w:t>
            </w:r>
          </w:p>
        </w:tc>
      </w:tr>
      <w:tr>
        <w:trPr>
          <w:cantSplit/>
        </w:trPr>
        <w:tc>
          <w:tcPr>
            <w:tcW w:type="dxa" w:w="964"/>
            <w:vAlign w:val="center"/>
            <w:shd w:fill="FFFFFF"/>
            <w:tcMar>
              <w:top w:w="65" w:type="dxa"/>
              <w:bottom w:w="65" w:type="dxa"/>
              <w:left w:w="85" w:type="dxa"/>
              <w:right w:w="85" w:type="dxa"/>
            </w:tcMar>
          </w:tcPr>
          <w:p>
            <w:pPr>
              <w:spacing w:line="264" w:lineRule="auto" w:after="20" w:before="20"/>
              <w:jc w:val="center"/>
            </w:pPr>
            <w:r>
              <w:rPr>
                <w:rFonts w:ascii="Inter" w:hAnsi="Inter"/>
                <w:b w:val="0"/>
                <w:color w:val="000000"/>
                <w:sz w:val="18"/>
              </w:rPr>
              <w:t>F1</w:t>
            </w:r>
          </w:p>
        </w:tc>
        <w:tc>
          <w:tcPr>
            <w:tcW w:type="dxa" w:w="5726"/>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eine eingegrenzte naturwissenschaftliche Leitfrage fachlich begründet formulieren und ihrem Referenzfach zuordnen.</w:t>
            </w:r>
          </w:p>
        </w:tc>
        <w:tc>
          <w:tcPr>
            <w:tcW w:type="dxa" w:w="2381"/>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Projektantrag und Fachgespräch</w:t>
            </w:r>
          </w:p>
        </w:tc>
      </w:tr>
      <w:tr>
        <w:trPr>
          <w:cantSplit/>
        </w:trPr>
        <w:tc>
          <w:tcPr>
            <w:tcW w:type="dxa" w:w="964"/>
            <w:vAlign w:val="center"/>
            <w:shd w:fill="F5F8F9"/>
            <w:tcMar>
              <w:top w:w="65" w:type="dxa"/>
              <w:bottom w:w="65" w:type="dxa"/>
              <w:left w:w="85" w:type="dxa"/>
              <w:right w:w="85" w:type="dxa"/>
            </w:tcMar>
          </w:tcPr>
          <w:p>
            <w:pPr>
              <w:spacing w:line="264" w:lineRule="auto" w:after="20" w:before="20"/>
              <w:jc w:val="center"/>
            </w:pPr>
            <w:r>
              <w:rPr>
                <w:rFonts w:ascii="Inter" w:hAnsi="Inter"/>
                <w:b w:val="0"/>
                <w:color w:val="000000"/>
                <w:sz w:val="18"/>
              </w:rPr>
              <w:t>F2</w:t>
            </w:r>
          </w:p>
        </w:tc>
        <w:tc>
          <w:tcPr>
            <w:tcW w:type="dxa" w:w="5726"/>
            <w:vAlign w:val="center"/>
            <w:shd w:fill="F5F8F9"/>
            <w:tcMar>
              <w:top w:w="65" w:type="dxa"/>
              <w:bottom w:w="65" w:type="dxa"/>
              <w:left w:w="85" w:type="dxa"/>
              <w:right w:w="85" w:type="dxa"/>
            </w:tcMar>
          </w:tcPr>
          <w:p>
            <w:pPr>
              <w:spacing w:line="264" w:lineRule="auto" w:after="20" w:before="20"/>
              <w:jc w:val="left"/>
            </w:pPr>
            <w:r>
              <w:rPr>
                <w:rFonts w:ascii="Inter" w:hAnsi="Inter"/>
                <w:b w:val="0"/>
                <w:color w:val="000000"/>
                <w:sz w:val="18"/>
              </w:rPr>
              <w:t>zentrale Begriffe, Zusammenhänge und geeignete Modelle ihres Themas korrekt erklären und auf einen neuen Fall übertragen.</w:t>
            </w:r>
          </w:p>
        </w:tc>
        <w:tc>
          <w:tcPr>
            <w:tcW w:type="dxa" w:w="2381"/>
            <w:vAlign w:val="center"/>
            <w:shd w:fill="F5F8F9"/>
            <w:tcMar>
              <w:top w:w="65" w:type="dxa"/>
              <w:bottom w:w="65" w:type="dxa"/>
              <w:left w:w="85" w:type="dxa"/>
              <w:right w:w="85" w:type="dxa"/>
            </w:tcMar>
          </w:tcPr>
          <w:p>
            <w:pPr>
              <w:spacing w:line="264" w:lineRule="auto" w:after="20" w:before="20"/>
              <w:jc w:val="left"/>
            </w:pPr>
            <w:r>
              <w:rPr>
                <w:rFonts w:ascii="Inter" w:hAnsi="Inter"/>
                <w:b w:val="0"/>
                <w:color w:val="000000"/>
                <w:sz w:val="18"/>
              </w:rPr>
              <w:t>Fachdossier und Transferaufgabe</w:t>
            </w:r>
          </w:p>
        </w:tc>
      </w:tr>
      <w:tr>
        <w:trPr>
          <w:cantSplit/>
        </w:trPr>
        <w:tc>
          <w:tcPr>
            <w:tcW w:type="dxa" w:w="964"/>
            <w:vAlign w:val="center"/>
            <w:shd w:fill="FFFFFF"/>
            <w:tcMar>
              <w:top w:w="65" w:type="dxa"/>
              <w:bottom w:w="65" w:type="dxa"/>
              <w:left w:w="85" w:type="dxa"/>
              <w:right w:w="85" w:type="dxa"/>
            </w:tcMar>
          </w:tcPr>
          <w:p>
            <w:pPr>
              <w:spacing w:line="264" w:lineRule="auto" w:after="20" w:before="20"/>
              <w:jc w:val="center"/>
            </w:pPr>
            <w:r>
              <w:rPr>
                <w:rFonts w:ascii="Inter" w:hAnsi="Inter"/>
                <w:b w:val="0"/>
                <w:color w:val="000000"/>
                <w:sz w:val="18"/>
              </w:rPr>
              <w:t>F3</w:t>
            </w:r>
          </w:p>
        </w:tc>
        <w:tc>
          <w:tcPr>
            <w:tcW w:type="dxa" w:w="5726"/>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zwischen Beobachtung, Daten, Modell und Interpretation unterscheiden und den Geltungsbereich ihrer Erklärung begrenzen.</w:t>
            </w:r>
          </w:p>
        </w:tc>
        <w:tc>
          <w:tcPr>
            <w:tcW w:type="dxa" w:w="2381"/>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Kommentierte Darstellung</w:t>
            </w:r>
          </w:p>
        </w:tc>
      </w:tr>
      <w:tr>
        <w:trPr>
          <w:cantSplit/>
        </w:trPr>
        <w:tc>
          <w:tcPr>
            <w:tcW w:type="dxa" w:w="964"/>
            <w:vAlign w:val="center"/>
            <w:shd w:fill="F5F8F9"/>
            <w:tcMar>
              <w:top w:w="65" w:type="dxa"/>
              <w:bottom w:w="65" w:type="dxa"/>
              <w:left w:w="85" w:type="dxa"/>
              <w:right w:w="85" w:type="dxa"/>
            </w:tcMar>
          </w:tcPr>
          <w:p>
            <w:pPr>
              <w:spacing w:line="264" w:lineRule="auto" w:after="20" w:before="20"/>
              <w:jc w:val="center"/>
            </w:pPr>
            <w:r>
              <w:rPr>
                <w:rFonts w:ascii="Inter" w:hAnsi="Inter"/>
                <w:b w:val="0"/>
                <w:color w:val="000000"/>
                <w:sz w:val="18"/>
              </w:rPr>
              <w:t>F4</w:t>
            </w:r>
          </w:p>
        </w:tc>
        <w:tc>
          <w:tcPr>
            <w:tcW w:type="dxa" w:w="5726"/>
            <w:vAlign w:val="center"/>
            <w:shd w:fill="F5F8F9"/>
            <w:tcMar>
              <w:top w:w="65" w:type="dxa"/>
              <w:bottom w:w="65" w:type="dxa"/>
              <w:left w:w="85" w:type="dxa"/>
              <w:right w:w="85" w:type="dxa"/>
            </w:tcMar>
          </w:tcPr>
          <w:p>
            <w:pPr>
              <w:spacing w:line="264" w:lineRule="auto" w:after="20" w:before="20"/>
              <w:jc w:val="left"/>
            </w:pPr>
            <w:r>
              <w:rPr>
                <w:rFonts w:ascii="Inter" w:hAnsi="Inter"/>
                <w:b w:val="0"/>
                <w:color w:val="000000"/>
                <w:sz w:val="18"/>
              </w:rPr>
              <w:t>fachliche Vereinfachungen begründen und vermeiden, dass eine Analogie oder Visualisierung falsche Vorstellungen erzeugt.</w:t>
            </w:r>
          </w:p>
        </w:tc>
        <w:tc>
          <w:tcPr>
            <w:tcW w:type="dxa" w:w="2381"/>
            <w:vAlign w:val="center"/>
            <w:shd w:fill="F5F8F9"/>
            <w:tcMar>
              <w:top w:w="65" w:type="dxa"/>
              <w:bottom w:w="65" w:type="dxa"/>
              <w:left w:w="85" w:type="dxa"/>
              <w:right w:w="85" w:type="dxa"/>
            </w:tcMar>
          </w:tcPr>
          <w:p>
            <w:pPr>
              <w:spacing w:line="264" w:lineRule="auto" w:after="20" w:before="20"/>
              <w:jc w:val="left"/>
            </w:pPr>
            <w:r>
              <w:rPr>
                <w:rFonts w:ascii="Inter" w:hAnsi="Inter"/>
                <w:b w:val="0"/>
                <w:color w:val="000000"/>
                <w:sz w:val="18"/>
              </w:rPr>
              <w:t>Skript mit Modellkritik</w:t>
            </w:r>
          </w:p>
        </w:tc>
      </w:tr>
    </w:tbl>
    <w:p>
      <w:pPr>
        <w:spacing w:after="0" w:before="0" w:line="240" w:lineRule="auto"/>
      </w:pPr>
      <w:r>
        <w:rPr>
          <w:sz w:val="6"/>
        </w:rPr>
      </w:r>
    </w:p>
    <w:p>
      <w:pPr>
        <w:pStyle w:val="Heading3"/>
        <w:spacing w:before="260" w:after="140"/>
        <w:keepLines/>
        <w:jc w:val="left"/>
      </w:pPr>
      <w:r>
        <w:t>Erkenntnisgewinnung und Quellenkritik</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
        <w:gridCol w:w="5726"/>
        <w:gridCol w:w="2381"/>
      </w:tblGrid>
      <w:tr>
        <w:trPr>
          <w:cantSplit/>
          <w:tblHeader/>
        </w:trPr>
        <w:tc>
          <w:tcPr>
            <w:tcW w:type="dxa" w:w="964"/>
            <w:vAlign w:val="center"/>
            <w:shd w:fill="DDE9EC"/>
            <w:tcMar>
              <w:top w:w="65" w:type="dxa"/>
              <w:bottom w:w="65" w:type="dxa"/>
              <w:left w:w="85" w:type="dxa"/>
              <w:right w:w="85" w:type="dxa"/>
            </w:tcMar>
          </w:tcPr>
          <w:p>
            <w:pPr>
              <w:keepNext/>
              <w:spacing w:line="264" w:lineRule="auto" w:after="20" w:before="20"/>
              <w:jc w:val="center"/>
            </w:pPr>
            <w:r>
              <w:rPr>
                <w:rFonts w:ascii="Inter" w:hAnsi="Inter"/>
                <w:b/>
                <w:color w:val="000000"/>
                <w:sz w:val="18"/>
              </w:rPr>
              <w:t>Code</w:t>
            </w:r>
          </w:p>
        </w:tc>
        <w:tc>
          <w:tcPr>
            <w:tcW w:type="dxa" w:w="5726"/>
            <w:vAlign w:val="center"/>
            <w:shd w:fill="DDE9EC"/>
            <w:tcMar>
              <w:top w:w="65" w:type="dxa"/>
              <w:bottom w:w="65" w:type="dxa"/>
              <w:left w:w="85" w:type="dxa"/>
              <w:right w:w="85" w:type="dxa"/>
            </w:tcMar>
          </w:tcPr>
          <w:p>
            <w:pPr>
              <w:keepNext/>
              <w:spacing w:line="264" w:lineRule="auto" w:after="20" w:before="20"/>
              <w:jc w:val="left"/>
            </w:pPr>
            <w:r>
              <w:rPr>
                <w:rFonts w:ascii="Inter" w:hAnsi="Inter"/>
                <w:b/>
                <w:color w:val="000000"/>
                <w:sz w:val="18"/>
              </w:rPr>
              <w:t>Am Ende des Kurses können die Lernenden</w:t>
            </w:r>
          </w:p>
        </w:tc>
        <w:tc>
          <w:tcPr>
            <w:tcW w:type="dxa" w:w="2381"/>
            <w:vAlign w:val="center"/>
            <w:shd w:fill="DDE9EC"/>
            <w:tcMar>
              <w:top w:w="65" w:type="dxa"/>
              <w:bottom w:w="65" w:type="dxa"/>
              <w:left w:w="85" w:type="dxa"/>
              <w:right w:w="85" w:type="dxa"/>
            </w:tcMar>
          </w:tcPr>
          <w:p>
            <w:pPr>
              <w:keepNext/>
              <w:spacing w:line="264" w:lineRule="auto" w:after="20" w:before="20"/>
              <w:jc w:val="left"/>
            </w:pPr>
            <w:r>
              <w:rPr>
                <w:rFonts w:ascii="Inter" w:hAnsi="Inter"/>
                <w:b/>
                <w:color w:val="000000"/>
                <w:sz w:val="18"/>
              </w:rPr>
              <w:t>Nachweis</w:t>
            </w:r>
          </w:p>
        </w:tc>
      </w:tr>
      <w:tr>
        <w:trPr>
          <w:cantSplit/>
        </w:trPr>
        <w:tc>
          <w:tcPr>
            <w:tcW w:type="dxa" w:w="964"/>
            <w:vAlign w:val="center"/>
            <w:shd w:fill="FFFFFF"/>
            <w:tcMar>
              <w:top w:w="65" w:type="dxa"/>
              <w:bottom w:w="65" w:type="dxa"/>
              <w:left w:w="85" w:type="dxa"/>
              <w:right w:w="85" w:type="dxa"/>
            </w:tcMar>
          </w:tcPr>
          <w:p>
            <w:pPr>
              <w:spacing w:line="264" w:lineRule="auto" w:after="20" w:before="20"/>
              <w:jc w:val="center"/>
            </w:pPr>
            <w:r>
              <w:rPr>
                <w:rFonts w:ascii="Inter" w:hAnsi="Inter"/>
                <w:b w:val="0"/>
                <w:color w:val="000000"/>
                <w:sz w:val="18"/>
              </w:rPr>
              <w:t>E1</w:t>
            </w:r>
          </w:p>
        </w:tc>
        <w:tc>
          <w:tcPr>
            <w:tcW w:type="dxa" w:w="5726"/>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geeignete Originalquellen, Überblicksdarstellungen und Fachdaten recherchieren, erschließen und nachvollziehbar belegen.</w:t>
            </w:r>
          </w:p>
        </w:tc>
        <w:tc>
          <w:tcPr>
            <w:tcW w:type="dxa" w:w="2381"/>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Annotierte Quellenliste</w:t>
            </w:r>
          </w:p>
        </w:tc>
      </w:tr>
      <w:tr>
        <w:trPr>
          <w:cantSplit/>
        </w:trPr>
        <w:tc>
          <w:tcPr>
            <w:tcW w:type="dxa" w:w="964"/>
            <w:vAlign w:val="center"/>
            <w:shd w:fill="F5F8F9"/>
            <w:tcMar>
              <w:top w:w="65" w:type="dxa"/>
              <w:bottom w:w="65" w:type="dxa"/>
              <w:left w:w="85" w:type="dxa"/>
              <w:right w:w="85" w:type="dxa"/>
            </w:tcMar>
          </w:tcPr>
          <w:p>
            <w:pPr>
              <w:spacing w:line="264" w:lineRule="auto" w:after="20" w:before="20"/>
              <w:jc w:val="center"/>
            </w:pPr>
            <w:r>
              <w:rPr>
                <w:rFonts w:ascii="Inter" w:hAnsi="Inter"/>
                <w:b w:val="0"/>
                <w:color w:val="000000"/>
                <w:sz w:val="18"/>
              </w:rPr>
              <w:t>E2</w:t>
            </w:r>
          </w:p>
        </w:tc>
        <w:tc>
          <w:tcPr>
            <w:tcW w:type="dxa" w:w="5726"/>
            <w:vAlign w:val="center"/>
            <w:shd w:fill="F5F8F9"/>
            <w:tcMar>
              <w:top w:w="65" w:type="dxa"/>
              <w:bottom w:w="65" w:type="dxa"/>
              <w:left w:w="85" w:type="dxa"/>
              <w:right w:w="85" w:type="dxa"/>
            </w:tcMar>
          </w:tcPr>
          <w:p>
            <w:pPr>
              <w:spacing w:line="264" w:lineRule="auto" w:after="20" w:before="20"/>
              <w:jc w:val="left"/>
            </w:pPr>
            <w:r>
              <w:rPr>
                <w:rFonts w:ascii="Inter" w:hAnsi="Inter"/>
                <w:b w:val="0"/>
                <w:color w:val="000000"/>
                <w:sz w:val="18"/>
              </w:rPr>
              <w:t>Aussagen anhand von Methode, Datenbasis, Interessen und unabhängigen Belegen auf Tragfähigkeit prüfen.</w:t>
            </w:r>
          </w:p>
        </w:tc>
        <w:tc>
          <w:tcPr>
            <w:tcW w:type="dxa" w:w="2381"/>
            <w:vAlign w:val="center"/>
            <w:shd w:fill="F5F8F9"/>
            <w:tcMar>
              <w:top w:w="65" w:type="dxa"/>
              <w:bottom w:w="65" w:type="dxa"/>
              <w:left w:w="85" w:type="dxa"/>
              <w:right w:w="85" w:type="dxa"/>
            </w:tcMar>
          </w:tcPr>
          <w:p>
            <w:pPr>
              <w:spacing w:line="264" w:lineRule="auto" w:after="20" w:before="20"/>
              <w:jc w:val="left"/>
            </w:pPr>
            <w:r>
              <w:rPr>
                <w:rFonts w:ascii="Inter" w:hAnsi="Inter"/>
                <w:b w:val="0"/>
                <w:color w:val="000000"/>
                <w:sz w:val="18"/>
              </w:rPr>
              <w:t>Belegmatrix und Quellenvergleich</w:t>
            </w:r>
          </w:p>
        </w:tc>
      </w:tr>
      <w:tr>
        <w:trPr>
          <w:cantSplit/>
        </w:trPr>
        <w:tc>
          <w:tcPr>
            <w:tcW w:type="dxa" w:w="964"/>
            <w:vAlign w:val="center"/>
            <w:shd w:fill="FFFFFF"/>
            <w:tcMar>
              <w:top w:w="65" w:type="dxa"/>
              <w:bottom w:w="65" w:type="dxa"/>
              <w:left w:w="85" w:type="dxa"/>
              <w:right w:w="85" w:type="dxa"/>
            </w:tcMar>
          </w:tcPr>
          <w:p>
            <w:pPr>
              <w:spacing w:line="264" w:lineRule="auto" w:after="20" w:before="20"/>
              <w:jc w:val="center"/>
            </w:pPr>
            <w:r>
              <w:rPr>
                <w:rFonts w:ascii="Inter" w:hAnsi="Inter"/>
                <w:b w:val="0"/>
                <w:color w:val="000000"/>
                <w:sz w:val="18"/>
              </w:rPr>
              <w:t>E3</w:t>
            </w:r>
          </w:p>
        </w:tc>
        <w:tc>
          <w:tcPr>
            <w:tcW w:type="dxa" w:w="5726"/>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Hypothesen, Theorien, Korrelationen und Kausalaussagen unterscheiden sowie Unsicherheit und Effektgröße angemessen erläutern.</w:t>
            </w:r>
          </w:p>
        </w:tc>
        <w:tc>
          <w:tcPr>
            <w:tcW w:type="dxa" w:w="2381"/>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Analyse einer Wissenschaftsmeldung</w:t>
            </w:r>
          </w:p>
        </w:tc>
      </w:tr>
      <w:tr>
        <w:trPr>
          <w:cantSplit/>
        </w:trPr>
        <w:tc>
          <w:tcPr>
            <w:tcW w:type="dxa" w:w="964"/>
            <w:vAlign w:val="center"/>
            <w:shd w:fill="F5F8F9"/>
            <w:tcMar>
              <w:top w:w="65" w:type="dxa"/>
              <w:bottom w:w="65" w:type="dxa"/>
              <w:left w:w="85" w:type="dxa"/>
              <w:right w:w="85" w:type="dxa"/>
            </w:tcMar>
          </w:tcPr>
          <w:p>
            <w:pPr>
              <w:spacing w:line="264" w:lineRule="auto" w:after="20" w:before="20"/>
              <w:jc w:val="center"/>
            </w:pPr>
            <w:r>
              <w:rPr>
                <w:rFonts w:ascii="Inter" w:hAnsi="Inter"/>
                <w:b w:val="0"/>
                <w:color w:val="000000"/>
                <w:sz w:val="18"/>
              </w:rPr>
              <w:t>E4</w:t>
            </w:r>
          </w:p>
        </w:tc>
        <w:tc>
          <w:tcPr>
            <w:tcW w:type="dxa" w:w="5726"/>
            <w:vAlign w:val="center"/>
            <w:shd w:fill="F5F8F9"/>
            <w:tcMar>
              <w:top w:w="65" w:type="dxa"/>
              <w:bottom w:w="65" w:type="dxa"/>
              <w:left w:w="85" w:type="dxa"/>
              <w:right w:w="85" w:type="dxa"/>
            </w:tcMar>
          </w:tcPr>
          <w:p>
            <w:pPr>
              <w:spacing w:line="264" w:lineRule="auto" w:after="20" w:before="20"/>
              <w:jc w:val="left"/>
            </w:pPr>
            <w:r>
              <w:rPr>
                <w:rFonts w:ascii="Inter" w:hAnsi="Inter"/>
                <w:b w:val="0"/>
                <w:color w:val="000000"/>
                <w:sz w:val="18"/>
              </w:rPr>
              <w:t>ein freigegebenes Experiment, eine Modellprüfung oder eine Datenauswertung planen, dokumentieren und hinsichtlich ihrer Grenzen reflektieren.</w:t>
            </w:r>
          </w:p>
        </w:tc>
        <w:tc>
          <w:tcPr>
            <w:tcW w:type="dxa" w:w="2381"/>
            <w:vAlign w:val="center"/>
            <w:shd w:fill="F5F8F9"/>
            <w:tcMar>
              <w:top w:w="65" w:type="dxa"/>
              <w:bottom w:w="65" w:type="dxa"/>
              <w:left w:w="85" w:type="dxa"/>
              <w:right w:w="85" w:type="dxa"/>
            </w:tcMar>
          </w:tcPr>
          <w:p>
            <w:pPr>
              <w:spacing w:line="264" w:lineRule="auto" w:after="20" w:before="20"/>
              <w:jc w:val="left"/>
            </w:pPr>
            <w:r>
              <w:rPr>
                <w:rFonts w:ascii="Inter" w:hAnsi="Inter"/>
                <w:b w:val="0"/>
                <w:color w:val="000000"/>
                <w:sz w:val="18"/>
              </w:rPr>
              <w:t>Prüfprotokoll oder Datenanalyse</w:t>
            </w:r>
          </w:p>
        </w:tc>
      </w:tr>
    </w:tbl>
    <w:p>
      <w:pPr>
        <w:spacing w:after="0" w:before="0" w:line="240" w:lineRule="auto"/>
      </w:pPr>
      <w:r>
        <w:rPr>
          <w:sz w:val="6"/>
        </w:rPr>
      </w:r>
    </w:p>
    <w:p>
      <w:pPr>
        <w:keepLines/>
      </w:pPr>
      <w:r>
        <w:t>Ein anspruchsvolles Fachniveau entsteht durch Tiefe, begründete Modellwahl und Transfer. Eine Leistungskursbelegung in allen drei Referenzfächern wird nicht vorausgesetzt. Fachliche Lücken werden diagnostiziert und gezielt aufgearbeitet. Ein eigenes Laborprojekt ist möglich; bei anderen Produkten kann E4 durch die Prüfung recherchierter Daten oder einer Simulation nachgewiesen werden.</w:t>
      </w:r>
    </w:p>
    <w:p>
      <w:bookmarkStart w:id="4" w:name="kompetenzen_kommunikation"/>
      <w:pPr>
        <w:pStyle w:val="Heading2"/>
        <w:spacing w:before="260" w:after="140"/>
        <w:keepLines/>
        <w:jc w:val="left"/>
      </w:pPr>
      <w:r>
        <w:t>Kommunikation Medien und Selbststeuerung</w:t>
      </w:r>
      <w:bookmarkEnd w:id="4"/>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
        <w:gridCol w:w="5726"/>
        <w:gridCol w:w="2381"/>
      </w:tblGrid>
      <w:tr>
        <w:trPr>
          <w:cantSplit/>
          <w:tblHeader/>
        </w:trPr>
        <w:tc>
          <w:tcPr>
            <w:tcW w:type="dxa" w:w="964"/>
            <w:vAlign w:val="center"/>
            <w:shd w:fill="DDE9EC"/>
            <w:tcMar>
              <w:top w:w="65" w:type="dxa"/>
              <w:bottom w:w="65" w:type="dxa"/>
              <w:left w:w="85" w:type="dxa"/>
              <w:right w:w="85" w:type="dxa"/>
            </w:tcMar>
          </w:tcPr>
          <w:p>
            <w:pPr>
              <w:keepNext/>
              <w:spacing w:line="264" w:lineRule="auto" w:after="20" w:before="20"/>
              <w:jc w:val="center"/>
            </w:pPr>
            <w:r>
              <w:rPr>
                <w:rFonts w:ascii="Inter" w:hAnsi="Inter"/>
                <w:b/>
                <w:color w:val="000000"/>
                <w:sz w:val="18"/>
              </w:rPr>
              <w:t>Code</w:t>
            </w:r>
          </w:p>
        </w:tc>
        <w:tc>
          <w:tcPr>
            <w:tcW w:type="dxa" w:w="5726"/>
            <w:vAlign w:val="center"/>
            <w:shd w:fill="DDE9EC"/>
            <w:tcMar>
              <w:top w:w="65" w:type="dxa"/>
              <w:bottom w:w="65" w:type="dxa"/>
              <w:left w:w="85" w:type="dxa"/>
              <w:right w:w="85" w:type="dxa"/>
            </w:tcMar>
          </w:tcPr>
          <w:p>
            <w:pPr>
              <w:keepNext/>
              <w:spacing w:line="264" w:lineRule="auto" w:after="20" w:before="20"/>
              <w:jc w:val="left"/>
            </w:pPr>
            <w:r>
              <w:rPr>
                <w:rFonts w:ascii="Inter" w:hAnsi="Inter"/>
                <w:b/>
                <w:color w:val="000000"/>
                <w:sz w:val="18"/>
              </w:rPr>
              <w:t>Am Ende des Kurses können die Lernenden</w:t>
            </w:r>
          </w:p>
        </w:tc>
        <w:tc>
          <w:tcPr>
            <w:tcW w:type="dxa" w:w="2381"/>
            <w:vAlign w:val="center"/>
            <w:shd w:fill="DDE9EC"/>
            <w:tcMar>
              <w:top w:w="65" w:type="dxa"/>
              <w:bottom w:w="65" w:type="dxa"/>
              <w:left w:w="85" w:type="dxa"/>
              <w:right w:w="85" w:type="dxa"/>
            </w:tcMar>
          </w:tcPr>
          <w:p>
            <w:pPr>
              <w:keepNext/>
              <w:spacing w:line="264" w:lineRule="auto" w:after="20" w:before="20"/>
              <w:jc w:val="left"/>
            </w:pPr>
            <w:r>
              <w:rPr>
                <w:rFonts w:ascii="Inter" w:hAnsi="Inter"/>
                <w:b/>
                <w:color w:val="000000"/>
                <w:sz w:val="18"/>
              </w:rPr>
              <w:t>Nachweis</w:t>
            </w:r>
          </w:p>
        </w:tc>
      </w:tr>
      <w:tr>
        <w:trPr>
          <w:cantSplit/>
        </w:trPr>
        <w:tc>
          <w:tcPr>
            <w:tcW w:type="dxa" w:w="964"/>
            <w:vAlign w:val="center"/>
            <w:shd w:fill="FFFFFF"/>
            <w:tcMar>
              <w:top w:w="65" w:type="dxa"/>
              <w:bottom w:w="65" w:type="dxa"/>
              <w:left w:w="85" w:type="dxa"/>
              <w:right w:w="85" w:type="dxa"/>
            </w:tcMar>
          </w:tcPr>
          <w:p>
            <w:pPr>
              <w:spacing w:line="264" w:lineRule="auto" w:after="20" w:before="20"/>
              <w:jc w:val="center"/>
            </w:pPr>
            <w:r>
              <w:rPr>
                <w:rFonts w:ascii="Inter" w:hAnsi="Inter"/>
                <w:b w:val="0"/>
                <w:color w:val="000000"/>
                <w:sz w:val="18"/>
              </w:rPr>
              <w:t>K1</w:t>
            </w:r>
          </w:p>
        </w:tc>
        <w:tc>
          <w:tcPr>
            <w:tcW w:type="dxa" w:w="5726"/>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Vorwissen, Interessen und mögliche Fehlvorstellungen einer konkreten Zielgruppe ermitteln und ein überprüfbares Kommunikationsziel ableiten.</w:t>
            </w:r>
          </w:p>
        </w:tc>
        <w:tc>
          <w:tcPr>
            <w:tcW w:type="dxa" w:w="2381"/>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Zielgruppenprofil und Testfragen</w:t>
            </w:r>
          </w:p>
        </w:tc>
      </w:tr>
      <w:tr>
        <w:trPr>
          <w:cantSplit/>
        </w:trPr>
        <w:tc>
          <w:tcPr>
            <w:tcW w:type="dxa" w:w="964"/>
            <w:vAlign w:val="center"/>
            <w:shd w:fill="F5F8F9"/>
            <w:tcMar>
              <w:top w:w="65" w:type="dxa"/>
              <w:bottom w:w="65" w:type="dxa"/>
              <w:left w:w="85" w:type="dxa"/>
              <w:right w:w="85" w:type="dxa"/>
            </w:tcMar>
          </w:tcPr>
          <w:p>
            <w:pPr>
              <w:spacing w:line="264" w:lineRule="auto" w:after="20" w:before="20"/>
              <w:jc w:val="center"/>
            </w:pPr>
            <w:r>
              <w:rPr>
                <w:rFonts w:ascii="Inter" w:hAnsi="Inter"/>
                <w:b w:val="0"/>
                <w:color w:val="000000"/>
                <w:sz w:val="18"/>
              </w:rPr>
              <w:t>K2</w:t>
            </w:r>
          </w:p>
        </w:tc>
        <w:tc>
          <w:tcPr>
            <w:tcW w:type="dxa" w:w="5726"/>
            <w:vAlign w:val="center"/>
            <w:shd w:fill="F5F8F9"/>
            <w:tcMar>
              <w:top w:w="65" w:type="dxa"/>
              <w:bottom w:w="65" w:type="dxa"/>
              <w:left w:w="85" w:type="dxa"/>
              <w:right w:w="85" w:type="dxa"/>
            </w:tcMar>
          </w:tcPr>
          <w:p>
            <w:pPr>
              <w:spacing w:line="264" w:lineRule="auto" w:after="20" w:before="20"/>
              <w:jc w:val="left"/>
            </w:pPr>
            <w:r>
              <w:rPr>
                <w:rFonts w:ascii="Inter" w:hAnsi="Inter"/>
                <w:b w:val="0"/>
                <w:color w:val="000000"/>
                <w:sz w:val="18"/>
              </w:rPr>
              <w:t>wissenschaftliche Inhalte sprachlich, visuell oder auditiv strukturiert und adressatengerecht erklären.</w:t>
            </w:r>
          </w:p>
        </w:tc>
        <w:tc>
          <w:tcPr>
            <w:tcW w:type="dxa" w:w="2381"/>
            <w:vAlign w:val="center"/>
            <w:shd w:fill="F5F8F9"/>
            <w:tcMar>
              <w:top w:w="65" w:type="dxa"/>
              <w:bottom w:w="65" w:type="dxa"/>
              <w:left w:w="85" w:type="dxa"/>
              <w:right w:w="85" w:type="dxa"/>
            </w:tcMar>
          </w:tcPr>
          <w:p>
            <w:pPr>
              <w:spacing w:line="264" w:lineRule="auto" w:after="20" w:before="20"/>
              <w:jc w:val="left"/>
            </w:pPr>
            <w:r>
              <w:rPr>
                <w:rFonts w:ascii="Inter" w:hAnsi="Inter"/>
                <w:b w:val="0"/>
                <w:color w:val="000000"/>
                <w:sz w:val="18"/>
              </w:rPr>
              <w:t>Produkt und Vorstellung</w:t>
            </w:r>
          </w:p>
        </w:tc>
      </w:tr>
      <w:tr>
        <w:trPr>
          <w:cantSplit/>
        </w:trPr>
        <w:tc>
          <w:tcPr>
            <w:tcW w:type="dxa" w:w="964"/>
            <w:vAlign w:val="center"/>
            <w:shd w:fill="FFFFFF"/>
            <w:tcMar>
              <w:top w:w="65" w:type="dxa"/>
              <w:bottom w:w="65" w:type="dxa"/>
              <w:left w:w="85" w:type="dxa"/>
              <w:right w:w="85" w:type="dxa"/>
            </w:tcMar>
          </w:tcPr>
          <w:p>
            <w:pPr>
              <w:spacing w:line="264" w:lineRule="auto" w:after="20" w:before="20"/>
              <w:jc w:val="center"/>
            </w:pPr>
            <w:r>
              <w:rPr>
                <w:rFonts w:ascii="Inter" w:hAnsi="Inter"/>
                <w:b w:val="0"/>
                <w:color w:val="000000"/>
                <w:sz w:val="18"/>
              </w:rPr>
              <w:t>K3</w:t>
            </w:r>
          </w:p>
        </w:tc>
        <w:tc>
          <w:tcPr>
            <w:tcW w:type="dxa" w:w="5726"/>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Befunde, Unsicherheiten und Wertfragen angemessen gewichten, Scheinargumente erkennen und sachlich auf Einwände antworten.</w:t>
            </w:r>
          </w:p>
        </w:tc>
        <w:tc>
          <w:tcPr>
            <w:tcW w:type="dxa" w:w="2381"/>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Kontroversenanalyse und Gespräch</w:t>
            </w:r>
          </w:p>
        </w:tc>
      </w:tr>
      <w:tr>
        <w:trPr>
          <w:cantSplit/>
        </w:trPr>
        <w:tc>
          <w:tcPr>
            <w:tcW w:type="dxa" w:w="964"/>
            <w:vAlign w:val="center"/>
            <w:shd w:fill="F5F8F9"/>
            <w:tcMar>
              <w:top w:w="65" w:type="dxa"/>
              <w:bottom w:w="65" w:type="dxa"/>
              <w:left w:w="85" w:type="dxa"/>
              <w:right w:w="85" w:type="dxa"/>
            </w:tcMar>
          </w:tcPr>
          <w:p>
            <w:pPr>
              <w:spacing w:line="264" w:lineRule="auto" w:after="20" w:before="20"/>
              <w:jc w:val="center"/>
            </w:pPr>
            <w:r>
              <w:rPr>
                <w:rFonts w:ascii="Inter" w:hAnsi="Inter"/>
                <w:b w:val="0"/>
                <w:color w:val="000000"/>
                <w:sz w:val="18"/>
              </w:rPr>
              <w:t>K4</w:t>
            </w:r>
          </w:p>
        </w:tc>
        <w:tc>
          <w:tcPr>
            <w:tcW w:type="dxa" w:w="5726"/>
            <w:vAlign w:val="center"/>
            <w:shd w:fill="F5F8F9"/>
            <w:tcMar>
              <w:top w:w="65" w:type="dxa"/>
              <w:bottom w:w="65" w:type="dxa"/>
              <w:left w:w="85" w:type="dxa"/>
              <w:right w:w="85" w:type="dxa"/>
            </w:tcMar>
          </w:tcPr>
          <w:p>
            <w:pPr>
              <w:spacing w:line="264" w:lineRule="auto" w:after="20" w:before="20"/>
              <w:jc w:val="left"/>
            </w:pPr>
            <w:r>
              <w:rPr>
                <w:rFonts w:ascii="Inter" w:hAnsi="Inter"/>
                <w:b w:val="0"/>
                <w:color w:val="000000"/>
                <w:sz w:val="18"/>
              </w:rPr>
              <w:t>kriteriengeleitet Rückmeldung geben, Verständnis beim Publikum prüfen und daraus Überarbeitungen ableiten.</w:t>
            </w:r>
          </w:p>
        </w:tc>
        <w:tc>
          <w:tcPr>
            <w:tcW w:type="dxa" w:w="2381"/>
            <w:vAlign w:val="center"/>
            <w:shd w:fill="F5F8F9"/>
            <w:tcMar>
              <w:top w:w="65" w:type="dxa"/>
              <w:bottom w:w="65" w:type="dxa"/>
              <w:left w:w="85" w:type="dxa"/>
              <w:right w:w="85" w:type="dxa"/>
            </w:tcMar>
          </w:tcPr>
          <w:p>
            <w:pPr>
              <w:spacing w:line="264" w:lineRule="auto" w:after="20" w:before="20"/>
              <w:jc w:val="left"/>
            </w:pPr>
            <w:r>
              <w:rPr>
                <w:rFonts w:ascii="Inter" w:hAnsi="Inter"/>
                <w:b w:val="0"/>
                <w:color w:val="000000"/>
                <w:sz w:val="18"/>
              </w:rPr>
              <w:t>Feedbackbogen und Testbericht</w:t>
            </w:r>
          </w:p>
        </w:tc>
      </w:tr>
      <w:tr>
        <w:trPr>
          <w:cantSplit/>
        </w:trPr>
        <w:tc>
          <w:tcPr>
            <w:tcW w:type="dxa" w:w="964"/>
            <w:vAlign w:val="center"/>
            <w:shd w:fill="FFFFFF"/>
            <w:tcMar>
              <w:top w:w="65" w:type="dxa"/>
              <w:bottom w:w="65" w:type="dxa"/>
              <w:left w:w="85" w:type="dxa"/>
              <w:right w:w="85" w:type="dxa"/>
            </w:tcMar>
          </w:tcPr>
          <w:p>
            <w:pPr>
              <w:spacing w:line="264" w:lineRule="auto" w:after="20" w:before="20"/>
              <w:jc w:val="center"/>
            </w:pPr>
            <w:r>
              <w:rPr>
                <w:rFonts w:ascii="Inter" w:hAnsi="Inter"/>
                <w:b w:val="0"/>
                <w:color w:val="000000"/>
                <w:sz w:val="18"/>
              </w:rPr>
              <w:t>M1</w:t>
            </w:r>
          </w:p>
        </w:tc>
        <w:tc>
          <w:tcPr>
            <w:tcW w:type="dxa" w:w="5726"/>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Format, Umfang und Werkzeuge nach Kommunikationsziel, Zugänglichkeit und verfügbaren Ressourcen auswählen.</w:t>
            </w:r>
          </w:p>
        </w:tc>
        <w:tc>
          <w:tcPr>
            <w:tcW w:type="dxa" w:w="2381"/>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Formatentscheidung</w:t>
            </w:r>
          </w:p>
        </w:tc>
      </w:tr>
      <w:tr>
        <w:trPr>
          <w:cantSplit/>
        </w:trPr>
        <w:tc>
          <w:tcPr>
            <w:tcW w:type="dxa" w:w="964"/>
            <w:vAlign w:val="center"/>
            <w:shd w:fill="F5F8F9"/>
            <w:tcMar>
              <w:top w:w="65" w:type="dxa"/>
              <w:bottom w:w="65" w:type="dxa"/>
              <w:left w:w="85" w:type="dxa"/>
              <w:right w:w="85" w:type="dxa"/>
            </w:tcMar>
          </w:tcPr>
          <w:p>
            <w:pPr>
              <w:spacing w:line="264" w:lineRule="auto" w:after="20" w:before="20"/>
              <w:jc w:val="center"/>
            </w:pPr>
            <w:r>
              <w:rPr>
                <w:rFonts w:ascii="Inter" w:hAnsi="Inter"/>
                <w:b w:val="0"/>
                <w:color w:val="000000"/>
                <w:sz w:val="18"/>
              </w:rPr>
              <w:t>M2</w:t>
            </w:r>
          </w:p>
        </w:tc>
        <w:tc>
          <w:tcPr>
            <w:tcW w:type="dxa" w:w="5726"/>
            <w:vAlign w:val="center"/>
            <w:shd w:fill="F5F8F9"/>
            <w:tcMar>
              <w:top w:w="65" w:type="dxa"/>
              <w:bottom w:w="65" w:type="dxa"/>
              <w:left w:w="85" w:type="dxa"/>
              <w:right w:w="85" w:type="dxa"/>
            </w:tcMar>
          </w:tcPr>
          <w:p>
            <w:pPr>
              <w:spacing w:line="264" w:lineRule="auto" w:after="20" w:before="20"/>
              <w:jc w:val="left"/>
            </w:pPr>
            <w:r>
              <w:rPr>
                <w:rFonts w:ascii="Inter" w:hAnsi="Inter"/>
                <w:b w:val="0"/>
                <w:color w:val="000000"/>
                <w:sz w:val="18"/>
              </w:rPr>
              <w:t>ein funktionsfähiges Medienprodukt erstellen, technische Fehler systematisch prüfen und Quellen sowie Nutzungsrechte kenntlich machen.</w:t>
            </w:r>
          </w:p>
        </w:tc>
        <w:tc>
          <w:tcPr>
            <w:tcW w:type="dxa" w:w="2381"/>
            <w:vAlign w:val="center"/>
            <w:shd w:fill="F5F8F9"/>
            <w:tcMar>
              <w:top w:w="65" w:type="dxa"/>
              <w:bottom w:w="65" w:type="dxa"/>
              <w:left w:w="85" w:type="dxa"/>
              <w:right w:w="85" w:type="dxa"/>
            </w:tcMar>
          </w:tcPr>
          <w:p>
            <w:pPr>
              <w:spacing w:line="264" w:lineRule="auto" w:after="20" w:before="20"/>
              <w:jc w:val="left"/>
            </w:pPr>
            <w:r>
              <w:rPr>
                <w:rFonts w:ascii="Inter" w:hAnsi="Inter"/>
                <w:b w:val="0"/>
                <w:color w:val="000000"/>
                <w:sz w:val="18"/>
              </w:rPr>
              <w:t>Produktprüfung und Mediennachweis</w:t>
            </w:r>
          </w:p>
        </w:tc>
      </w:tr>
      <w:tr>
        <w:trPr>
          <w:cantSplit/>
        </w:trPr>
        <w:tc>
          <w:tcPr>
            <w:tcW w:type="dxa" w:w="964"/>
            <w:vAlign w:val="center"/>
            <w:shd w:fill="FFFFFF"/>
            <w:tcMar>
              <w:top w:w="65" w:type="dxa"/>
              <w:bottom w:w="65" w:type="dxa"/>
              <w:left w:w="85" w:type="dxa"/>
              <w:right w:w="85" w:type="dxa"/>
            </w:tcMar>
          </w:tcPr>
          <w:p>
            <w:pPr>
              <w:spacing w:line="264" w:lineRule="auto" w:after="20" w:before="20"/>
              <w:jc w:val="center"/>
            </w:pPr>
            <w:r>
              <w:rPr>
                <w:rFonts w:ascii="Inter" w:hAnsi="Inter"/>
                <w:b w:val="0"/>
                <w:color w:val="000000"/>
                <w:sz w:val="18"/>
              </w:rPr>
              <w:t>M3</w:t>
            </w:r>
          </w:p>
        </w:tc>
        <w:tc>
          <w:tcPr>
            <w:tcW w:type="dxa" w:w="5726"/>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KI für klar umrissene Teilaufgaben einsetzen, Ergebnisse fachlich prüfen und den eigenen Anteil dokumentieren.</w:t>
            </w:r>
          </w:p>
        </w:tc>
        <w:tc>
          <w:tcPr>
            <w:tcW w:type="dxa" w:w="2381"/>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KI-Protokoll und eigene Erläuterung</w:t>
            </w:r>
          </w:p>
        </w:tc>
      </w:tr>
      <w:tr>
        <w:trPr>
          <w:cantSplit/>
        </w:trPr>
        <w:tc>
          <w:tcPr>
            <w:tcW w:type="dxa" w:w="964"/>
            <w:vAlign w:val="center"/>
            <w:shd w:fill="F5F8F9"/>
            <w:tcMar>
              <w:top w:w="65" w:type="dxa"/>
              <w:bottom w:w="65" w:type="dxa"/>
              <w:left w:w="85" w:type="dxa"/>
              <w:right w:w="85" w:type="dxa"/>
            </w:tcMar>
          </w:tcPr>
          <w:p>
            <w:pPr>
              <w:spacing w:line="264" w:lineRule="auto" w:after="20" w:before="20"/>
              <w:jc w:val="center"/>
            </w:pPr>
            <w:r>
              <w:rPr>
                <w:rFonts w:ascii="Inter" w:hAnsi="Inter"/>
                <w:b w:val="0"/>
                <w:color w:val="000000"/>
                <w:sz w:val="18"/>
              </w:rPr>
              <w:t>M4</w:t>
            </w:r>
          </w:p>
        </w:tc>
        <w:tc>
          <w:tcPr>
            <w:tcW w:type="dxa" w:w="5726"/>
            <w:vAlign w:val="center"/>
            <w:shd w:fill="F5F8F9"/>
            <w:tcMar>
              <w:top w:w="65" w:type="dxa"/>
              <w:bottom w:w="65" w:type="dxa"/>
              <w:left w:w="85" w:type="dxa"/>
              <w:right w:w="85" w:type="dxa"/>
            </w:tcMar>
          </w:tcPr>
          <w:p>
            <w:pPr>
              <w:spacing w:line="264" w:lineRule="auto" w:after="20" w:before="20"/>
              <w:jc w:val="left"/>
            </w:pPr>
            <w:r>
              <w:rPr>
                <w:rFonts w:ascii="Inter" w:hAnsi="Inter"/>
                <w:b w:val="0"/>
                <w:color w:val="000000"/>
                <w:sz w:val="18"/>
              </w:rPr>
              <w:t>synthetische Darstellungen, irreführende Diagramme und unbelegte Behauptungen kritisch untersuchen und die Ergebnisse verständlich mitteilen.</w:t>
            </w:r>
          </w:p>
        </w:tc>
        <w:tc>
          <w:tcPr>
            <w:tcW w:type="dxa" w:w="2381"/>
            <w:vAlign w:val="center"/>
            <w:shd w:fill="F5F8F9"/>
            <w:tcMar>
              <w:top w:w="65" w:type="dxa"/>
              <w:bottom w:w="65" w:type="dxa"/>
              <w:left w:w="85" w:type="dxa"/>
              <w:right w:w="85" w:type="dxa"/>
            </w:tcMar>
          </w:tcPr>
          <w:p>
            <w:pPr>
              <w:spacing w:line="264" w:lineRule="auto" w:after="20" w:before="20"/>
              <w:jc w:val="left"/>
            </w:pPr>
            <w:r>
              <w:rPr>
                <w:rFonts w:ascii="Inter" w:hAnsi="Inter"/>
                <w:b w:val="0"/>
                <w:color w:val="000000"/>
                <w:sz w:val="18"/>
              </w:rPr>
              <w:t>Faktencheck</w:t>
            </w:r>
          </w:p>
        </w:tc>
      </w:tr>
      <w:tr>
        <w:trPr>
          <w:cantSplit/>
        </w:trPr>
        <w:tc>
          <w:tcPr>
            <w:tcW w:type="dxa" w:w="964"/>
            <w:vAlign w:val="center"/>
            <w:shd w:fill="FFFFFF"/>
            <w:tcMar>
              <w:top w:w="65" w:type="dxa"/>
              <w:bottom w:w="65" w:type="dxa"/>
              <w:left w:w="85" w:type="dxa"/>
              <w:right w:w="85" w:type="dxa"/>
            </w:tcMar>
          </w:tcPr>
          <w:p>
            <w:pPr>
              <w:spacing w:line="264" w:lineRule="auto" w:after="20" w:before="20"/>
              <w:jc w:val="center"/>
            </w:pPr>
            <w:r>
              <w:rPr>
                <w:rFonts w:ascii="Inter" w:hAnsi="Inter"/>
                <w:b w:val="0"/>
                <w:color w:val="000000"/>
                <w:sz w:val="18"/>
              </w:rPr>
              <w:t>R1</w:t>
            </w:r>
          </w:p>
        </w:tc>
        <w:tc>
          <w:tcPr>
            <w:tcW w:type="dxa" w:w="5726"/>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ein Projekt in realistische Arbeitsschritte und Meilensteine gliedern und Prioritäten bei Veränderungen begründet anpassen.</w:t>
            </w:r>
          </w:p>
        </w:tc>
        <w:tc>
          <w:tcPr>
            <w:tcW w:type="dxa" w:w="2381"/>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Projektplan und Sprint-Protokolle</w:t>
            </w:r>
          </w:p>
        </w:tc>
      </w:tr>
      <w:tr>
        <w:trPr>
          <w:cantSplit/>
        </w:trPr>
        <w:tc>
          <w:tcPr>
            <w:tcW w:type="dxa" w:w="964"/>
            <w:vAlign w:val="center"/>
            <w:shd w:fill="F5F8F9"/>
            <w:tcMar>
              <w:top w:w="65" w:type="dxa"/>
              <w:bottom w:w="65" w:type="dxa"/>
              <w:left w:w="85" w:type="dxa"/>
              <w:right w:w="85" w:type="dxa"/>
            </w:tcMar>
          </w:tcPr>
          <w:p>
            <w:pPr>
              <w:spacing w:line="264" w:lineRule="auto" w:after="20" w:before="20"/>
              <w:jc w:val="center"/>
            </w:pPr>
            <w:r>
              <w:rPr>
                <w:rFonts w:ascii="Inter" w:hAnsi="Inter"/>
                <w:b w:val="0"/>
                <w:color w:val="000000"/>
                <w:sz w:val="18"/>
              </w:rPr>
              <w:t>R2</w:t>
            </w:r>
          </w:p>
        </w:tc>
        <w:tc>
          <w:tcPr>
            <w:tcW w:type="dxa" w:w="5726"/>
            <w:vAlign w:val="center"/>
            <w:shd w:fill="F5F8F9"/>
            <w:tcMar>
              <w:top w:w="65" w:type="dxa"/>
              <w:bottom w:w="65" w:type="dxa"/>
              <w:left w:w="85" w:type="dxa"/>
              <w:right w:w="85" w:type="dxa"/>
            </w:tcMar>
          </w:tcPr>
          <w:p>
            <w:pPr>
              <w:spacing w:line="264" w:lineRule="auto" w:after="20" w:before="20"/>
              <w:jc w:val="left"/>
            </w:pPr>
            <w:r>
              <w:rPr>
                <w:rFonts w:ascii="Inter" w:hAnsi="Inter"/>
                <w:b w:val="0"/>
                <w:color w:val="000000"/>
                <w:sz w:val="18"/>
              </w:rPr>
              <w:t>Rollen und Übergaben zuverlässig abstimmen und einen eindeutig erkennbaren individuellen Beitrag leisten.</w:t>
            </w:r>
          </w:p>
        </w:tc>
        <w:tc>
          <w:tcPr>
            <w:tcW w:type="dxa" w:w="2381"/>
            <w:vAlign w:val="center"/>
            <w:shd w:fill="F5F8F9"/>
            <w:tcMar>
              <w:top w:w="65" w:type="dxa"/>
              <w:bottom w:w="65" w:type="dxa"/>
              <w:left w:w="85" w:type="dxa"/>
              <w:right w:w="85" w:type="dxa"/>
            </w:tcMar>
          </w:tcPr>
          <w:p>
            <w:pPr>
              <w:spacing w:line="264" w:lineRule="auto" w:after="20" w:before="20"/>
              <w:jc w:val="left"/>
            </w:pPr>
            <w:r>
              <w:rPr>
                <w:rFonts w:ascii="Inter" w:hAnsi="Inter"/>
                <w:b w:val="0"/>
                <w:color w:val="000000"/>
                <w:sz w:val="18"/>
              </w:rPr>
              <w:t>Beitragsnachweis und Beobachtung</w:t>
            </w:r>
          </w:p>
        </w:tc>
      </w:tr>
      <w:tr>
        <w:trPr>
          <w:cantSplit/>
        </w:trPr>
        <w:tc>
          <w:tcPr>
            <w:tcW w:type="dxa" w:w="964"/>
            <w:vAlign w:val="center"/>
            <w:shd w:fill="FFFFFF"/>
            <w:tcMar>
              <w:top w:w="65" w:type="dxa"/>
              <w:bottom w:w="65" w:type="dxa"/>
              <w:left w:w="85" w:type="dxa"/>
              <w:right w:w="85" w:type="dxa"/>
            </w:tcMar>
          </w:tcPr>
          <w:p>
            <w:pPr>
              <w:spacing w:line="264" w:lineRule="auto" w:after="20" w:before="20"/>
              <w:jc w:val="center"/>
            </w:pPr>
            <w:r>
              <w:rPr>
                <w:rFonts w:ascii="Inter" w:hAnsi="Inter"/>
                <w:b w:val="0"/>
                <w:color w:val="000000"/>
                <w:sz w:val="18"/>
              </w:rPr>
              <w:t>R3</w:t>
            </w:r>
          </w:p>
        </w:tc>
        <w:tc>
          <w:tcPr>
            <w:tcW w:type="dxa" w:w="5726"/>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den eigenen Lernprozess anhand konkreter Belege reflektieren und aus Rückmeldungen begründete Verbesserungen entwickeln.</w:t>
            </w:r>
          </w:p>
        </w:tc>
        <w:tc>
          <w:tcPr>
            <w:tcW w:type="dxa" w:w="2381"/>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Reflexionsbericht</w:t>
            </w:r>
          </w:p>
        </w:tc>
      </w:tr>
      <w:tr>
        <w:trPr>
          <w:cantSplit/>
        </w:trPr>
        <w:tc>
          <w:tcPr>
            <w:tcW w:type="dxa" w:w="964"/>
            <w:vAlign w:val="center"/>
            <w:shd w:fill="F5F8F9"/>
            <w:tcMar>
              <w:top w:w="65" w:type="dxa"/>
              <w:bottom w:w="65" w:type="dxa"/>
              <w:left w:w="85" w:type="dxa"/>
              <w:right w:w="85" w:type="dxa"/>
            </w:tcMar>
          </w:tcPr>
          <w:p>
            <w:pPr>
              <w:spacing w:line="264" w:lineRule="auto" w:after="20" w:before="20"/>
              <w:jc w:val="center"/>
            </w:pPr>
            <w:r>
              <w:rPr>
                <w:rFonts w:ascii="Inter" w:hAnsi="Inter"/>
                <w:b w:val="0"/>
                <w:color w:val="000000"/>
                <w:sz w:val="18"/>
              </w:rPr>
              <w:t>R4</w:t>
            </w:r>
          </w:p>
        </w:tc>
        <w:tc>
          <w:tcPr>
            <w:tcW w:type="dxa" w:w="5726"/>
            <w:vAlign w:val="center"/>
            <w:shd w:fill="F5F8F9"/>
            <w:tcMar>
              <w:top w:w="65" w:type="dxa"/>
              <w:bottom w:w="65" w:type="dxa"/>
              <w:left w:w="85" w:type="dxa"/>
              <w:right w:w="85" w:type="dxa"/>
            </w:tcMar>
          </w:tcPr>
          <w:p>
            <w:pPr>
              <w:spacing w:line="264" w:lineRule="auto" w:after="20" w:before="20"/>
              <w:jc w:val="left"/>
            </w:pPr>
            <w:r>
              <w:rPr>
                <w:rFonts w:ascii="Inter" w:hAnsi="Inter"/>
                <w:b w:val="0"/>
                <w:color w:val="000000"/>
                <w:sz w:val="18"/>
              </w:rPr>
              <w:t>ein neues Problem auf Grundlage des Projekts bearbeiten und fachliche sowie mediale Entscheidungen eigenständig verteidigen.</w:t>
            </w:r>
          </w:p>
        </w:tc>
        <w:tc>
          <w:tcPr>
            <w:tcW w:type="dxa" w:w="2381"/>
            <w:vAlign w:val="center"/>
            <w:shd w:fill="F5F8F9"/>
            <w:tcMar>
              <w:top w:w="65" w:type="dxa"/>
              <w:bottom w:w="65" w:type="dxa"/>
              <w:left w:w="85" w:type="dxa"/>
              <w:right w:w="85" w:type="dxa"/>
            </w:tcMar>
          </w:tcPr>
          <w:p>
            <w:pPr>
              <w:spacing w:line="264" w:lineRule="auto" w:after="20" w:before="20"/>
              <w:jc w:val="left"/>
            </w:pPr>
            <w:r>
              <w:rPr>
                <w:rFonts w:ascii="Inter" w:hAnsi="Inter"/>
                <w:b w:val="0"/>
                <w:color w:val="000000"/>
                <w:sz w:val="18"/>
              </w:rPr>
              <w:t>Transfergespräch</w:t>
            </w:r>
          </w:p>
        </w:tc>
      </w:tr>
    </w:tbl>
    <w:p>
      <w:pPr>
        <w:spacing w:after="0" w:before="0" w:line="240" w:lineRule="auto"/>
      </w:pPr>
      <w:r>
        <w:rPr>
          <w:sz w:val="6"/>
        </w:rPr>
      </w:r>
    </w:p>
    <w:p>
      <w:bookmarkStart w:id="5" w:name="methoden"/>
      <w:pPr>
        <w:pStyle w:val="Heading1"/>
        <w:spacing w:before="260" w:after="140"/>
        <w:keepLines/>
        <w:jc w:val="left"/>
      </w:pPr>
      <w:r>
        <w:t>4 Fachlicher Aufbau und methodische Gestaltung</w:t>
      </w:r>
      <w:bookmarkEnd w:id="5"/>
    </w:p>
    <w:p>
      <w:pPr>
        <w:keepLines/>
      </w:pPr>
      <w:r>
        <w:t>Der Unterricht verbindet angeleitete Erschließung mit zunehmend selbstständiger Projektarbeit. Die Lehrkraft klärt Lernziele, fachliche Standards und Bewertungskriterien, führt neue Verfahren modellierend ein und begleitet individuelle Lernwege. Offenheit des Produkts bedeutet keine Offenheit gegenüber fachlichen Fehlern. Selbstorganisation wird schrittweise aufgebaut und nicht als bereits vorhandene Fähigkeit vorausgesetzt.</w:t>
      </w:r>
    </w:p>
    <w:p>
      <w:pPr>
        <w:pStyle w:val="Heading3"/>
        <w:spacing w:before="260" w:after="140"/>
        <w:keepLines/>
        <w:jc w:val="left"/>
      </w:pPr>
      <w:r>
        <w:t>Methoden nach Lernbedarf auswählen</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4"/>
        <w:gridCol w:w="2494"/>
        <w:gridCol w:w="4592"/>
      </w:tblGrid>
      <w:tr>
        <w:trPr>
          <w:cantSplit/>
          <w:tblHeader/>
        </w:trPr>
        <w:tc>
          <w:tcPr>
            <w:tcW w:type="dxa" w:w="1984"/>
            <w:vAlign w:val="center"/>
            <w:shd w:fill="DDE9EC"/>
            <w:tcMar>
              <w:top w:w="65" w:type="dxa"/>
              <w:bottom w:w="65" w:type="dxa"/>
              <w:left w:w="85" w:type="dxa"/>
              <w:right w:w="85" w:type="dxa"/>
            </w:tcMar>
          </w:tcPr>
          <w:p>
            <w:pPr>
              <w:keepNext/>
              <w:spacing w:line="264" w:lineRule="auto" w:after="20" w:before="20"/>
              <w:jc w:val="left"/>
            </w:pPr>
            <w:r>
              <w:rPr>
                <w:rFonts w:ascii="Inter" w:hAnsi="Inter"/>
                <w:b/>
                <w:color w:val="000000"/>
                <w:sz w:val="18"/>
              </w:rPr>
              <w:t>Verfahren</w:t>
            </w:r>
          </w:p>
        </w:tc>
        <w:tc>
          <w:tcPr>
            <w:tcW w:type="dxa" w:w="2494"/>
            <w:vAlign w:val="center"/>
            <w:shd w:fill="DDE9EC"/>
            <w:tcMar>
              <w:top w:w="65" w:type="dxa"/>
              <w:bottom w:w="65" w:type="dxa"/>
              <w:left w:w="85" w:type="dxa"/>
              <w:right w:w="85" w:type="dxa"/>
            </w:tcMar>
          </w:tcPr>
          <w:p>
            <w:pPr>
              <w:keepNext/>
              <w:spacing w:line="264" w:lineRule="auto" w:after="20" w:before="20"/>
              <w:jc w:val="left"/>
            </w:pPr>
            <w:r>
              <w:rPr>
                <w:rFonts w:ascii="Inter" w:hAnsi="Inter"/>
                <w:b/>
                <w:color w:val="000000"/>
                <w:sz w:val="18"/>
              </w:rPr>
              <w:t>Funktion im Kurs</w:t>
            </w:r>
          </w:p>
        </w:tc>
        <w:tc>
          <w:tcPr>
            <w:tcW w:type="dxa" w:w="4592"/>
            <w:vAlign w:val="center"/>
            <w:shd w:fill="DDE9EC"/>
            <w:tcMar>
              <w:top w:w="65" w:type="dxa"/>
              <w:bottom w:w="65" w:type="dxa"/>
              <w:left w:w="85" w:type="dxa"/>
              <w:right w:w="85" w:type="dxa"/>
            </w:tcMar>
          </w:tcPr>
          <w:p>
            <w:pPr>
              <w:keepNext/>
              <w:spacing w:line="264" w:lineRule="auto" w:after="20" w:before="20"/>
              <w:jc w:val="left"/>
            </w:pPr>
            <w:r>
              <w:rPr>
                <w:rFonts w:ascii="Inter" w:hAnsi="Inter"/>
                <w:b/>
                <w:color w:val="000000"/>
                <w:sz w:val="18"/>
              </w:rPr>
              <w:t>Konkrete Umsetzung</w:t>
            </w:r>
          </w:p>
        </w:tc>
      </w:tr>
      <w:tr>
        <w:trPr>
          <w:cantSplit/>
        </w:trPr>
        <w:tc>
          <w:tcPr>
            <w:tcW w:type="dxa" w:w="1984"/>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Direkte Instruktion</w:t>
            </w:r>
          </w:p>
        </w:tc>
        <w:tc>
          <w:tcPr>
            <w:tcW w:type="dxa" w:w="2494"/>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Neue Begriffe und Verfahren zugänglich machen</w:t>
            </w:r>
          </w:p>
        </w:tc>
        <w:tc>
          <w:tcPr>
            <w:tcW w:type="dxa" w:w="4592"/>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Kurzer Input mit laut gedachtem Lösungsweg, Gegenbeispiel, angeleiteter Anwendung und Verständnisprüfung.</w:t>
            </w:r>
          </w:p>
        </w:tc>
      </w:tr>
      <w:tr>
        <w:trPr>
          <w:cantSplit/>
        </w:trPr>
        <w:tc>
          <w:tcPr>
            <w:tcW w:type="dxa" w:w="1984"/>
            <w:vAlign w:val="center"/>
            <w:shd w:fill="F5F8F9"/>
            <w:tcMar>
              <w:top w:w="65" w:type="dxa"/>
              <w:bottom w:w="65" w:type="dxa"/>
              <w:left w:w="85" w:type="dxa"/>
              <w:right w:w="85" w:type="dxa"/>
            </w:tcMar>
          </w:tcPr>
          <w:p>
            <w:pPr>
              <w:spacing w:line="264" w:lineRule="auto" w:after="20" w:before="20"/>
              <w:jc w:val="left"/>
            </w:pPr>
            <w:r>
              <w:rPr>
                <w:rFonts w:ascii="Inter" w:hAnsi="Inter"/>
                <w:b w:val="0"/>
                <w:color w:val="000000"/>
                <w:sz w:val="18"/>
              </w:rPr>
              <w:t>SOL und WELL</w:t>
            </w:r>
          </w:p>
        </w:tc>
        <w:tc>
          <w:tcPr>
            <w:tcW w:type="dxa" w:w="2494"/>
            <w:vAlign w:val="center"/>
            <w:shd w:fill="F5F8F9"/>
            <w:tcMar>
              <w:top w:w="65" w:type="dxa"/>
              <w:bottom w:w="65" w:type="dxa"/>
              <w:left w:w="85" w:type="dxa"/>
              <w:right w:w="85" w:type="dxa"/>
            </w:tcMar>
          </w:tcPr>
          <w:p>
            <w:pPr>
              <w:spacing w:line="264" w:lineRule="auto" w:after="20" w:before="20"/>
              <w:jc w:val="left"/>
            </w:pPr>
            <w:r>
              <w:rPr>
                <w:rFonts w:ascii="Inter" w:hAnsi="Inter"/>
                <w:b w:val="0"/>
                <w:color w:val="000000"/>
                <w:sz w:val="18"/>
              </w:rPr>
              <w:t>Wissen kooperativ verarbeiten</w:t>
            </w:r>
          </w:p>
        </w:tc>
        <w:tc>
          <w:tcPr>
            <w:tcW w:type="dxa" w:w="4592"/>
            <w:vAlign w:val="center"/>
            <w:shd w:fill="F5F8F9"/>
            <w:tcMar>
              <w:top w:w="65" w:type="dxa"/>
              <w:bottom w:w="65" w:type="dxa"/>
              <w:left w:w="85" w:type="dxa"/>
              <w:right w:w="85" w:type="dxa"/>
            </w:tcMar>
          </w:tcPr>
          <w:p>
            <w:pPr>
              <w:spacing w:line="264" w:lineRule="auto" w:after="20" w:before="20"/>
              <w:jc w:val="left"/>
            </w:pPr>
            <w:r>
              <w:rPr>
                <w:rFonts w:ascii="Inter" w:hAnsi="Inter"/>
                <w:b w:val="0"/>
                <w:color w:val="000000"/>
                <w:sz w:val="18"/>
              </w:rPr>
              <w:t>Wechsel von Einführung, eigenständiger Erarbeitung, wechselseitigem Erklären und gemeinsamer Sicherung.</w:t>
            </w:r>
          </w:p>
        </w:tc>
      </w:tr>
      <w:tr>
        <w:trPr>
          <w:cantSplit/>
        </w:trPr>
        <w:tc>
          <w:tcPr>
            <w:tcW w:type="dxa" w:w="1984"/>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Kanban</w:t>
            </w:r>
          </w:p>
        </w:tc>
        <w:tc>
          <w:tcPr>
            <w:tcW w:type="dxa" w:w="2494"/>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Aufgaben und Engpässe sichtbar machen</w:t>
            </w:r>
          </w:p>
        </w:tc>
        <w:tc>
          <w:tcPr>
            <w:tcW w:type="dxa" w:w="4592"/>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Verbindlicher Einsatz der Kanban-Apps: Lernprogramm zur Einführung, Arbeitsboard für das Jahresprojekt und Lehrkraft-Ansicht für Beratung und Prozesssicht. Karten halten Zuständigkeit, Termin und überprüfbare Fertig-Kriterien fest.</w:t>
            </w:r>
          </w:p>
        </w:tc>
      </w:tr>
      <w:tr>
        <w:trPr>
          <w:cantSplit/>
        </w:trPr>
        <w:tc>
          <w:tcPr>
            <w:tcW w:type="dxa" w:w="1984"/>
            <w:vAlign w:val="center"/>
            <w:shd w:fill="F5F8F9"/>
            <w:tcMar>
              <w:top w:w="65" w:type="dxa"/>
              <w:bottom w:w="65" w:type="dxa"/>
              <w:left w:w="85" w:type="dxa"/>
              <w:right w:w="85" w:type="dxa"/>
            </w:tcMar>
          </w:tcPr>
          <w:p>
            <w:pPr>
              <w:spacing w:line="264" w:lineRule="auto" w:after="20" w:before="20"/>
              <w:jc w:val="left"/>
            </w:pPr>
            <w:r>
              <w:rPr>
                <w:rFonts w:ascii="Inter" w:hAnsi="Inter"/>
                <w:b w:val="0"/>
                <w:color w:val="000000"/>
                <w:sz w:val="18"/>
              </w:rPr>
              <w:t>Sprints nach agilen Prinzipien</w:t>
            </w:r>
          </w:p>
        </w:tc>
        <w:tc>
          <w:tcPr>
            <w:tcW w:type="dxa" w:w="2494"/>
            <w:vAlign w:val="center"/>
            <w:shd w:fill="F5F8F9"/>
            <w:tcMar>
              <w:top w:w="65" w:type="dxa"/>
              <w:bottom w:w="65" w:type="dxa"/>
              <w:left w:w="85" w:type="dxa"/>
              <w:right w:w="85" w:type="dxa"/>
            </w:tcMar>
          </w:tcPr>
          <w:p>
            <w:pPr>
              <w:spacing w:line="264" w:lineRule="auto" w:after="20" w:before="20"/>
              <w:jc w:val="left"/>
            </w:pPr>
            <w:r>
              <w:rPr>
                <w:rFonts w:ascii="Inter" w:hAnsi="Inter"/>
                <w:b w:val="0"/>
                <w:color w:val="000000"/>
                <w:sz w:val="18"/>
              </w:rPr>
              <w:t>Ein längeres Vorhaben in überprüfbare Schritte gliedern</w:t>
            </w:r>
          </w:p>
        </w:tc>
        <w:tc>
          <w:tcPr>
            <w:tcW w:type="dxa" w:w="4592"/>
            <w:vAlign w:val="center"/>
            <w:shd w:fill="F5F8F9"/>
            <w:tcMar>
              <w:top w:w="65" w:type="dxa"/>
              <w:bottom w:w="65" w:type="dxa"/>
              <w:left w:w="85" w:type="dxa"/>
              <w:right w:w="85" w:type="dxa"/>
            </w:tcMar>
          </w:tcPr>
          <w:p>
            <w:pPr>
              <w:spacing w:line="264" w:lineRule="auto" w:after="20" w:before="20"/>
              <w:jc w:val="left"/>
            </w:pPr>
            <w:r>
              <w:rPr>
                <w:rFonts w:ascii="Inter" w:hAnsi="Inter"/>
                <w:b w:val="0"/>
                <w:color w:val="000000"/>
                <w:sz w:val="18"/>
              </w:rPr>
              <w:t>Planung, Arbeitsphase, Vorstellung des Zwischenstands und Rückblick in Zyklen von meist zwei bis drei Wochen.</w:t>
            </w:r>
          </w:p>
        </w:tc>
      </w:tr>
      <w:tr>
        <w:trPr>
          <w:cantSplit/>
        </w:trPr>
        <w:tc>
          <w:tcPr>
            <w:tcW w:type="dxa" w:w="1984"/>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Design Thinking</w:t>
            </w:r>
          </w:p>
        </w:tc>
        <w:tc>
          <w:tcPr>
            <w:tcW w:type="dxa" w:w="2494"/>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Zielgruppenbedarf untersuchen und Lösungen erproben</w:t>
            </w:r>
          </w:p>
        </w:tc>
        <w:tc>
          <w:tcPr>
            <w:tcW w:type="dxa" w:w="4592"/>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Verstehen, Beobachten, Fragestellung zuspitzen, Varianten entwickeln, Prototypen testen und gezielt überarbeiten.</w:t>
            </w:r>
          </w:p>
        </w:tc>
      </w:tr>
    </w:tbl>
    <w:p>
      <w:pPr>
        <w:spacing w:after="0" w:before="0" w:line="240" w:lineRule="auto"/>
      </w:pPr>
      <w:r>
        <w:rPr>
          <w:sz w:val="6"/>
        </w:rPr>
      </w:r>
    </w:p>
    <w:p>
      <w:pPr>
        <w:keepLines/>
      </w:pPr>
      <w:r>
        <w:t>Die Methoden bilden ein begründetes Arbeitsarrangement. Ein Kanban-Board allein garantiert weder Kooperation noch fachlichen Lernerfolg; ein attraktiver Prototyp belegt noch kein Verständnis. Entscheidend sind beobachtbare Fortschritte, geeignete Unterstützung und wiederholte fachliche Überprüfung. Allgemeine Wirksamkeitszahlen werden nicht als Erfolgsgarantie für diesen Kurs verwendet.</w:t>
      </w:r>
    </w:p>
    <w:p>
      <w:pPr>
        <w:pStyle w:val="Heading3"/>
        <w:spacing w:before="260" w:after="140"/>
        <w:keepLines/>
        <w:jc w:val="left"/>
      </w:pPr>
      <w:r>
        <w:t>Verbindlicher Einsatz der Kanban Apps</w:t>
      </w:r>
    </w:p>
    <w:p>
      <w:pPr>
        <w:keepLines/>
      </w:pPr>
      <w:r>
        <w:t>Zum Kursauftakt am 16. Februar 2027 bearbeiten die Lernenden die 45-minütige Kurzform des Kanban-Lernprogramms. Sie erproben den Zuschnitt überschaubarer Aufgaben, Verantwortung, die Begrenzung gleichzeitig laufender Arbeit und die Prüfung von Ergebnissen. Anschließend richtet jedes Team sein Jahresprojekt im eigenständigen Arbeitsboard ein. Auch bei Einzelprojekten wird der Arbeitsstand im Board dokumentiert.</w:t>
      </w:r>
    </w:p>
    <w:p>
      <w:pPr>
        <w:keepLines/>
      </w:pPr>
      <w:r>
        <w:t>Das Board begleitet alle Projektwerkstätten. Die Gruppen führen Karten durch Ideenspeicher, Zu erledigen, Bereit, In Arbeit, Überprüfung und Fertig. Jede Aufgabe erhält eine verantwortliche Person, einen passenden Termin und fachliche Fertig-Kriterien. Blockaden werden begründet markiert. Die Rolle des Boardmasters wechselt nach Vereinbarung; sie umfasst die Pflege des Arbeitsflusses und die Moderation von Hindernissen. Kurze Boardbesprechungen bleiben Teil der geschützten Projektzeit.</w:t>
      </w:r>
    </w:p>
    <w:p>
      <w:pPr>
        <w:keepLines/>
      </w:pPr>
      <w:r>
        <w:t>Am Ende jeder Doppelstunde wird der aktuelle Boardstand als JSON-Datei gesichert. Das Board speichert lokal und synchronisiert nicht live zwischen Geräten; deshalb vereinbart jedes Team ein führendes Board und überträgt es bei einem Gerätewechsel per Export und Import. Zu Beratungen, Zwischenvorstellung und Abgabe wird der aktuelle Stand über den schulisch vereinbarten Weg bereitgestellt. Die Lehrkraft-Ansicht erschließt diese Dateien für Rückmeldung und die Klärung individueller Beiträge.</w:t>
      </w:r>
    </w:p>
    <w:p>
      <w:pPr>
        <w:keepLines/>
      </w:pPr>
      <w:r>
        <w:t>Die Boarddokumentation ergänzt Arbeitsprotokoll, fachliche Ergebnisse und individuelle Erläuterungen. Kartenzahl, Klicks oder angezeigte Projektzeit ergeben keine Note. Für den Durchgang 2027/28 bleibt die Jahresbewertung dieses Curriculums maßgeblich; die Lehrkraft-App wird hier zur Prozesssicht genutzt, nicht zur Übernahme ihres auf die neue Ordnung ausgerichteten Halbjahresbogens.</w:t>
      </w:r>
    </w:p>
    <w:p>
      <w:pPr>
        <w:keepLines/>
      </w:pPr>
      <w:hyperlink r:id="rIdKanban23">
        <w:r>
          <w:rPr>
            <w:rStyle w:val="Hyperlink"/>
          </w:rPr>
          <w:t>Kanban-Lernprogramm öffnen</w:t>
        </w:r>
      </w:hyperlink>
    </w:p>
    <w:p>
      <w:pPr>
        <w:keepLines/>
      </w:pPr>
      <w:hyperlink r:id="rIdKanban24">
        <w:r>
          <w:rPr>
            <w:rStyle w:val="Hyperlink"/>
          </w:rPr>
          <w:t>Kanban-Arbeitsboard öffnen</w:t>
        </w:r>
      </w:hyperlink>
    </w:p>
    <w:p>
      <w:pPr>
        <w:keepLines/>
      </w:pPr>
      <w:hyperlink r:id="rIdKanban25">
        <w:r>
          <w:rPr>
            <w:rStyle w:val="Hyperlink"/>
          </w:rPr>
          <w:t>Kanban-Lehrkraft-Ansicht öffnen</w:t>
        </w:r>
      </w:hyperlink>
    </w:p>
    <w:p>
      <w:pPr>
        <w:pStyle w:val="Heading3"/>
        <w:spacing w:before="260" w:after="140"/>
        <w:keepLines/>
        <w:jc w:val="left"/>
      </w:pPr>
      <w:r>
        <w:t>Wissenschaftliches Denken einüben</w:t>
      </w:r>
    </w:p>
    <w:p>
      <w:pPr>
        <w:keepLines/>
      </w:pPr>
      <w:r>
        <w:t>An ausgewählten Fällen prüfen die Lernenden eine Behauptung gegen die zugrunde liegenden Daten. Sie erklären den Unterschied zwischen einer einzelnen Studie und einem breiteren Forschungsstand, zwischen statistischer Signifikanz und praktischer Bedeutung sowie zwischen Unsicherheit und Beliebigkeit. Wissenschaftliche, gesellschaftliche und gezielt erzeugte Kontroversen werden unterschieden. Gute Kommunikation legt die Qualität der Evidenz offen und erzeugt keine künstliche Gleichwertigkeit ungleich belegter Positionen.</w:t>
      </w:r>
    </w:p>
    <w:p>
      <w:bookmarkStart w:id="6" w:name="arbeitsrhythmus"/>
      <w:pPr>
        <w:pStyle w:val="Heading2"/>
        <w:spacing w:before="260" w:after="140"/>
        <w:keepLines/>
        <w:jc w:val="left"/>
      </w:pPr>
      <w:r>
        <w:t>Arbeitsrhythmus Unterstützung und Zusammenarbeit</w:t>
      </w:r>
      <w:bookmarkEnd w:id="6"/>
    </w:p>
    <w:p>
      <w:pPr>
        <w:pStyle w:val="Heading3"/>
        <w:spacing w:before="260" w:after="140"/>
        <w:keepLines/>
        <w:jc w:val="left"/>
      </w:pPr>
      <w:r>
        <w:t>Ein überschaubarer Wochenrhythmus</w:t>
      </w:r>
    </w:p>
    <w:p>
      <w:pPr>
        <w:keepLines/>
      </w:pPr>
      <w:r>
        <w:t>Im Durchgang ab Februar 2027 stehen dienstags 90 Minuten zur Verfügung. Die Projektwerkstätten reservieren davon mindestens 70 Minuten für selbstständige Arbeit; Einstieg, kurze Beratung und Sicherung teilen sich die übrige Zeit. Neue Grundlagen werden vorrangig vor den Werkstattblöcken erarbeitet. Im künftigen dreistündigen Modell kann eine 135-minütige Einheit etwa 10 Minuten Einstieg, 15 Minuten bedarfsbezogenen Impuls, 95 Minuten Projektarbeit und 15 Minuten Sicherung umfassen.</w:t>
      </w:r>
    </w:p>
    <w:p>
      <w:pPr>
        <w:pStyle w:val="Heading3"/>
        <w:spacing w:before="260" w:after="140"/>
        <w:keepLines/>
        <w:jc w:val="left"/>
      </w:pPr>
      <w:r>
        <w:t>Verbindlicher Ablauf eines Sprints</w:t>
      </w:r>
    </w:p>
    <w:p>
      <w:pPr>
        <w:pStyle w:val="ListBullet"/>
        <w:keepLines/>
      </w:pPr>
      <w:r>
        <w:t>Planung: Ein erreichbares Ergebnis, Zuständigkeiten, benötigte Quellen und ein überprüfbares Qualitätskriterium festlegen.</w:t>
      </w:r>
    </w:p>
    <w:p>
      <w:pPr>
        <w:pStyle w:val="ListBullet"/>
        <w:keepLines/>
      </w:pPr>
      <w:r>
        <w:t>Arbeit: Aufgaben am Board aktualisieren, Blockaden früh melden und fachliche Beratung nutzen. Die Zahl gleichzeitig bearbeiteter Aufgaben begrenzen.</w:t>
      </w:r>
    </w:p>
    <w:p>
      <w:pPr>
        <w:pStyle w:val="ListBullet"/>
        <w:keepLines/>
      </w:pPr>
      <w:r>
        <w:t>Review: Ein konkretes Zwischenprodukt vorlegen und anhand der vereinbarten Kriterien Rückmeldung einholen.</w:t>
      </w:r>
    </w:p>
    <w:p>
      <w:pPr>
        <w:pStyle w:val="ListBullet"/>
        <w:keepLines/>
      </w:pPr>
      <w:r>
        <w:t>Retrospektive: Eine wirksame Arbeitsweise, ein Hindernis und eine konkrete Änderung für den nächsten Zyklus festhalten.</w:t>
      </w:r>
    </w:p>
    <w:p>
      <w:pPr>
        <w:keepLines/>
      </w:pPr>
      <w:r>
        <w:t>Die erste Erprobung in M1 ist eine Lernphase ohne Produktnote. Persönliche Selbsteinschätzungen und offene Teamretrospektiven sind geschützte Lerninstrumente. Bewertet werden angekündigte Leistungsnachweise und nachweisbare professionelle Schlussfolgerungen, nicht das Eingeständnis einer Schwierigkeit oder die Bereitschaft, private Empfindungen offenzulegen.</w:t>
      </w:r>
    </w:p>
    <w:p>
      <w:pPr>
        <w:pStyle w:val="Heading3"/>
        <w:spacing w:before="260" w:after="140"/>
        <w:keepLines/>
        <w:jc w:val="left"/>
      </w:pPr>
      <w:r>
        <w:t>Individuelle Förderung und faire Teilhabe</w:t>
      </w:r>
    </w:p>
    <w:p>
      <w:pPr>
        <w:keepLines/>
      </w:pPr>
      <w:r>
        <w:t>Diagnosegespräche und kurze fachliche Erklärungen zeigen Unterstützungsbedarf früh. Hilfen umfassen erschlossene Startquellen, Begriffslisten, kommentierte Beispiele, technische Kurzworkshops und kleinere Zwischenziele. Fortgeschrittene bearbeiten vertiefende Daten- oder Modellfragen. Umfang und Medium werden so vereinbart, dass die Leistung nicht von privat finanzierter Technik, kostenpflichtiger Software oder einem persönlichen KI-Abonnement abhängt.</w:t>
      </w:r>
    </w:p>
    <w:p>
      <w:pPr>
        <w:keepLines/>
      </w:pPr>
      <w:r>
        <w:t>In Teams übernimmt jede Person sowohl fachliche Erschließung als auch eine erklärende oder reflektierende Aufgabe. Rollen wie Recherche, Modellierung, Gestaltung und Moderation unterstützen die Organisation, begrenzen aber nicht das erforderliche Verständnis des gemeinsamen Themas. Bei Konflikten werden Aufgaben und Übergaben neu vereinbart; Beobachtungen und Versionen sichern die individuelle Leistungszuordnung. Nachteilsausgleiche werden nach den schulischen Verfahren gewährt, ohne fachliche Anforderungen abzusenken.</w:t>
      </w:r>
    </w:p>
    <w:p>
      <w:bookmarkStart w:id="7" w:name="jahresplanung"/>
      <w:pPr>
        <w:pStyle w:val="Heading1"/>
        <w:spacing w:before="260" w:after="140"/>
        <w:keepLines/>
        <w:jc w:val="left"/>
        <w:pageBreakBefore/>
      </w:pPr>
      <w:r>
        <w:t>5 Jahresplanung und Meilensteine</w:t>
      </w:r>
      <w:bookmarkEnd w:id="7"/>
    </w:p>
    <w:p>
      <w:pPr>
        <w:pStyle w:val="Heading3"/>
        <w:spacing w:before="260" w:after="140"/>
        <w:keepLines/>
        <w:jc w:val="left"/>
      </w:pPr>
      <w:r>
        <w:t>5.1 Kursplanung Februar 2027 bis Februar 2028</w:t>
      </w:r>
    </w:p>
    <w:p>
      <w:pPr>
        <w:keepLines/>
      </w:pPr>
      <w:r>
        <w:t>Der zweistündige Durchgang beginnt am Dienstag, 16. Februar 2027, in Q1.2 und endet mit Q2.1 am 4. Februar 2028. Die letzte reguläre Doppelstunde ist am 1. Februar 2028. Nach Abzug der amtlichen Ferien stehen 37 Dienstage mit 74 Unterrichtsstunden zur Verfügung: 38 UE vor und 36 UE nach den Sommerferien. Weitere schulische Ausfälle sind noch nicht eingerechnet.</w:t>
      </w:r>
    </w:p>
    <w:p>
      <w:pPr>
        <w:keepLines/>
      </w:pPr>
      <w:hyperlink r:id="rIdCalendar19">
        <w:r>
          <w:rPr>
            <w:rStyle w:val="Hyperlink"/>
          </w:rPr>
          <w:t>Interaktiver Kurskalender mit Vollbild und verlinkten Formularen</w:t>
        </w:r>
      </w:hyperlink>
    </w:p>
    <w:p>
      <w:pPr>
        <w:keepLines/>
      </w:pPr>
      <w:hyperlink r:id="rIdCalendar20">
        <w:r>
          <w:rPr>
            <w:rStyle w:val="Hyperlink"/>
          </w:rPr>
          <w:t>Kurskalender als ausfüllbare und druckbare PDF</w:t>
        </w:r>
      </w:hyperlink>
    </w:p>
    <w:p>
      <w:pPr>
        <w:keepLines/>
      </w:pPr>
      <w:r>
        <w:t>Für diesen Kurs gilt die bisherige APO-GOSt: keine Kursnote nach dem ersten Kurshalbjahr; eine Jahresnote am Kursende zu gleichen Teilen aus der Sonstigen Mitarbeit beider Halbjahre und der Jahresdokumentation. Produkt 1 und Produkt 2 sind eigenständige Arbeitsergebnisse und werden mit fachlicher Begleitung und individuellen Nachweisen in der Jahresdokumentation zusammengeführt.</w:t>
      </w:r>
    </w:p>
    <w:p>
      <w:pPr>
        <w:keepLines/>
      </w:pPr>
      <w:r>
        <w:t>Vier zusammenhängende Projektwerkstätten reservieren 20 Doppelstunden (40 UE): Werkstatt I und II für Produkt 1, Werkstatt III und IV für Produkt 2. Jede Doppelstunde in der Werkstatt bietet mindestens 70 Minuten eigenständige Projektarbeit; Beratung erfolgt bedarfsgerecht innerhalb der Arbeit.</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00"/>
        <w:gridCol w:w="2800"/>
        <w:gridCol w:w="4371"/>
      </w:tblGrid>
      <w:tr>
        <w:trPr>
          <w:cantSplit/>
          <w:tblHeader/>
        </w:trPr>
        <w:tc>
          <w:tcPr>
            <w:tcW w:type="dxa" w:w="1900"/>
            <w:vAlign w:val="center"/>
            <w:shd w:fill="DDE9EC"/>
            <w:tcMar>
              <w:top w:w="65" w:type="dxa"/>
              <w:bottom w:w="65" w:type="dxa"/>
              <w:left w:w="85" w:type="dxa"/>
              <w:right w:w="85" w:type="dxa"/>
            </w:tcMar>
          </w:tcPr>
          <w:p>
            <w:pPr>
              <w:keepNext/>
              <w:spacing w:line="264" w:lineRule="auto" w:after="20" w:before="20"/>
              <w:jc w:val="center"/>
            </w:pPr>
            <w:r>
              <w:rPr>
                <w:rFonts w:ascii="Inter" w:hAnsi="Inter"/>
                <w:b/>
                <w:color w:val="000000"/>
                <w:sz w:val="18"/>
              </w:rPr>
              <w:t>Zeitraum</w:t>
            </w:r>
          </w:p>
        </w:tc>
        <w:tc>
          <w:tcPr>
            <w:tcW w:type="dxa" w:w="2800"/>
            <w:vAlign w:val="center"/>
            <w:shd w:fill="DDE9EC"/>
            <w:tcMar>
              <w:top w:w="65" w:type="dxa"/>
              <w:bottom w:w="65" w:type="dxa"/>
              <w:left w:w="85" w:type="dxa"/>
              <w:right w:w="85" w:type="dxa"/>
            </w:tcMar>
          </w:tcPr>
          <w:p>
            <w:pPr>
              <w:keepNext/>
              <w:spacing w:line="264" w:lineRule="auto" w:after="20" w:before="20"/>
              <w:jc w:val="left"/>
            </w:pPr>
            <w:r>
              <w:rPr>
                <w:rFonts w:ascii="Inter" w:hAnsi="Inter"/>
                <w:b/>
                <w:color w:val="000000"/>
                <w:sz w:val="18"/>
              </w:rPr>
              <w:t>Phase und Umfang</w:t>
            </w:r>
          </w:p>
        </w:tc>
        <w:tc>
          <w:tcPr>
            <w:tcW w:type="dxa" w:w="4371"/>
            <w:vAlign w:val="center"/>
            <w:shd w:fill="DDE9EC"/>
            <w:tcMar>
              <w:top w:w="65" w:type="dxa"/>
              <w:bottom w:w="65" w:type="dxa"/>
              <w:left w:w="85" w:type="dxa"/>
              <w:right w:w="85" w:type="dxa"/>
            </w:tcMar>
          </w:tcPr>
          <w:p>
            <w:pPr>
              <w:keepNext/>
              <w:spacing w:line="264" w:lineRule="auto" w:after="20" w:before="20"/>
              <w:jc w:val="left"/>
            </w:pPr>
            <w:r>
              <w:rPr>
                <w:rFonts w:ascii="Inter" w:hAnsi="Inter"/>
                <w:b/>
                <w:color w:val="000000"/>
                <w:sz w:val="18"/>
              </w:rPr>
              <w:t>Verbindlicher Zwischenstand</w:t>
            </w:r>
          </w:p>
        </w:tc>
      </w:tr>
      <w:tr>
        <w:trPr>
          <w:cantSplit/>
        </w:trPr>
        <w:tc>
          <w:tcPr>
            <w:tcW w:type="dxa" w:w="1900"/>
            <w:vAlign w:val="center"/>
            <w:shd w:fill="FFFFFF"/>
            <w:tcMar>
              <w:top w:w="65" w:type="dxa"/>
              <w:bottom w:w="65" w:type="dxa"/>
              <w:left w:w="85" w:type="dxa"/>
              <w:right w:w="85" w:type="dxa"/>
            </w:tcMar>
          </w:tcPr>
          <w:p>
            <w:pPr>
              <w:spacing w:line="264" w:lineRule="auto" w:after="20" w:before="20"/>
              <w:jc w:val="center"/>
            </w:pPr>
            <w:r>
              <w:rPr>
                <w:rFonts w:ascii="Inter" w:hAnsi="Inter"/>
                <w:b w:val="0"/>
                <w:color w:val="000000"/>
                <w:sz w:val="18"/>
              </w:rPr>
              <w:t>16.02.2027 bis 16.03.2027</w:t>
            </w:r>
          </w:p>
        </w:tc>
        <w:tc>
          <w:tcPr>
            <w:tcW w:type="dxa" w:w="2800"/>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Grundlagen und Vereinbarung für Produkt 1 · 10 UE</w:t>
            </w:r>
          </w:p>
        </w:tc>
        <w:tc>
          <w:tcPr>
            <w:tcW w:type="dxa" w:w="4371"/>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Kanban-Einstieg, fachliche Basis und Projektvereinbarung (M1–M4)</w:t>
            </w:r>
          </w:p>
        </w:tc>
      </w:tr>
      <w:tr>
        <w:trPr>
          <w:cantSplit/>
        </w:trPr>
        <w:tc>
          <w:tcPr>
            <w:tcW w:type="dxa" w:w="1900"/>
            <w:vAlign w:val="center"/>
            <w:shd w:fill="F1F5F4"/>
            <w:tcMar>
              <w:top w:w="65" w:type="dxa"/>
              <w:bottom w:w="65" w:type="dxa"/>
              <w:left w:w="85" w:type="dxa"/>
              <w:right w:w="85" w:type="dxa"/>
            </w:tcMar>
          </w:tcPr>
          <w:p>
            <w:pPr>
              <w:spacing w:line="264" w:lineRule="auto" w:after="20" w:before="20"/>
              <w:jc w:val="center"/>
            </w:pPr>
            <w:r>
              <w:rPr>
                <w:rFonts w:ascii="Inter" w:hAnsi="Inter"/>
                <w:b w:val="0"/>
                <w:color w:val="000000"/>
                <w:sz w:val="18"/>
              </w:rPr>
              <w:t>06.04.2027 bis 11.05.2027</w:t>
            </w:r>
          </w:p>
        </w:tc>
        <w:tc>
          <w:tcPr>
            <w:tcW w:type="dxa" w:w="2800"/>
            <w:vAlign w:val="center"/>
            <w:shd w:fill="F1F5F4"/>
            <w:tcMar>
              <w:top w:w="65" w:type="dxa"/>
              <w:bottom w:w="65" w:type="dxa"/>
              <w:left w:w="85" w:type="dxa"/>
              <w:right w:w="85" w:type="dxa"/>
            </w:tcMar>
          </w:tcPr>
          <w:p>
            <w:pPr>
              <w:spacing w:line="264" w:lineRule="auto" w:after="20" w:before="20"/>
              <w:jc w:val="left"/>
            </w:pPr>
            <w:r>
              <w:rPr>
                <w:rFonts w:ascii="Inter" w:hAnsi="Inter"/>
                <w:b w:val="0"/>
                <w:color w:val="000000"/>
                <w:sz w:val="18"/>
              </w:rPr>
              <w:t>Projektwerkstatt I · Produkt 1 · 12 UE</w:t>
            </w:r>
          </w:p>
        </w:tc>
        <w:tc>
          <w:tcPr>
            <w:tcW w:type="dxa" w:w="4371"/>
            <w:vAlign w:val="center"/>
            <w:shd w:fill="F1F5F4"/>
            <w:tcMar>
              <w:top w:w="65" w:type="dxa"/>
              <w:bottom w:w="65" w:type="dxa"/>
              <w:left w:w="85" w:type="dxa"/>
              <w:right w:w="85" w:type="dxa"/>
            </w:tcMar>
          </w:tcPr>
          <w:p>
            <w:pPr>
              <w:spacing w:line="264" w:lineRule="auto" w:after="20" w:before="20"/>
              <w:jc w:val="left"/>
            </w:pPr>
            <w:r>
              <w:rPr>
                <w:rFonts w:ascii="Inter" w:hAnsi="Inter"/>
                <w:b w:val="0"/>
                <w:color w:val="000000"/>
                <w:sz w:val="18"/>
              </w:rPr>
              <w:t>Recherche, Konzept und Testfassung von Produkt 1 (M3–M5)</w:t>
            </w:r>
          </w:p>
        </w:tc>
      </w:tr>
      <w:tr>
        <w:trPr>
          <w:cantSplit/>
        </w:trPr>
        <w:tc>
          <w:tcPr>
            <w:tcW w:type="dxa" w:w="1900"/>
            <w:vAlign w:val="center"/>
            <w:shd w:fill="FFFFFF"/>
            <w:tcMar>
              <w:top w:w="65" w:type="dxa"/>
              <w:bottom w:w="65" w:type="dxa"/>
              <w:left w:w="85" w:type="dxa"/>
              <w:right w:w="85" w:type="dxa"/>
            </w:tcMar>
          </w:tcPr>
          <w:p>
            <w:pPr>
              <w:spacing w:line="264" w:lineRule="auto" w:after="20" w:before="20"/>
              <w:jc w:val="center"/>
            </w:pPr>
            <w:r>
              <w:rPr>
                <w:rFonts w:ascii="Inter" w:hAnsi="Inter"/>
                <w:b w:val="0"/>
                <w:color w:val="000000"/>
                <w:sz w:val="18"/>
              </w:rPr>
              <w:t>25.05.2027 bis 22.06.2027</w:t>
            </w:r>
          </w:p>
        </w:tc>
        <w:tc>
          <w:tcPr>
            <w:tcW w:type="dxa" w:w="2800"/>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Test und Projektwerkstatt II · Produkt 1 · 10 UE</w:t>
            </w:r>
          </w:p>
        </w:tc>
        <w:tc>
          <w:tcPr>
            <w:tcW w:type="dxa" w:w="4371"/>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Zielgruppentest, Überarbeitung und Abgabefassung (M4–M5)</w:t>
            </w:r>
          </w:p>
        </w:tc>
      </w:tr>
      <w:tr>
        <w:trPr>
          <w:cantSplit/>
        </w:trPr>
        <w:tc>
          <w:tcPr>
            <w:tcW w:type="dxa" w:w="1900"/>
            <w:vAlign w:val="center"/>
            <w:shd w:fill="F1F5F4"/>
            <w:tcMar>
              <w:top w:w="65" w:type="dxa"/>
              <w:bottom w:w="65" w:type="dxa"/>
              <w:left w:w="85" w:type="dxa"/>
              <w:right w:w="85" w:type="dxa"/>
            </w:tcMar>
          </w:tcPr>
          <w:p>
            <w:pPr>
              <w:spacing w:line="264" w:lineRule="auto" w:after="20" w:before="20"/>
              <w:jc w:val="center"/>
            </w:pPr>
            <w:r>
              <w:rPr>
                <w:rFonts w:ascii="Inter" w:hAnsi="Inter"/>
                <w:b w:val="0"/>
                <w:color w:val="000000"/>
                <w:sz w:val="18"/>
              </w:rPr>
              <w:t>29.06.2027 bis 13.07.2027</w:t>
            </w:r>
          </w:p>
        </w:tc>
        <w:tc>
          <w:tcPr>
            <w:tcW w:type="dxa" w:w="2800"/>
            <w:vAlign w:val="center"/>
            <w:shd w:fill="F1F5F4"/>
            <w:tcMar>
              <w:top w:w="65" w:type="dxa"/>
              <w:bottom w:w="65" w:type="dxa"/>
              <w:left w:w="85" w:type="dxa"/>
              <w:right w:w="85" w:type="dxa"/>
            </w:tcMar>
          </w:tcPr>
          <w:p>
            <w:pPr>
              <w:spacing w:line="264" w:lineRule="auto" w:after="20" w:before="20"/>
              <w:jc w:val="left"/>
            </w:pPr>
            <w:r>
              <w:rPr>
                <w:rFonts w:ascii="Inter" w:hAnsi="Inter"/>
                <w:b w:val="0"/>
                <w:color w:val="000000"/>
                <w:sz w:val="18"/>
              </w:rPr>
              <w:t>Abgabe von Produkt 1 und Rückmeldung · 6 UE</w:t>
            </w:r>
          </w:p>
        </w:tc>
        <w:tc>
          <w:tcPr>
            <w:tcW w:type="dxa" w:w="4371"/>
            <w:vAlign w:val="center"/>
            <w:shd w:fill="F1F5F4"/>
            <w:tcMar>
              <w:top w:w="65" w:type="dxa"/>
              <w:bottom w:w="65" w:type="dxa"/>
              <w:left w:w="85" w:type="dxa"/>
              <w:right w:w="85" w:type="dxa"/>
            </w:tcMar>
          </w:tcPr>
          <w:p>
            <w:pPr>
              <w:spacing w:line="264" w:lineRule="auto" w:after="20" w:before="20"/>
              <w:jc w:val="left"/>
            </w:pPr>
            <w:r>
              <w:rPr>
                <w:rFonts w:ascii="Inter" w:hAnsi="Inter"/>
                <w:b w:val="0"/>
                <w:color w:val="000000"/>
                <w:sz w:val="18"/>
              </w:rPr>
              <w:t>Produkt 1 abgeben, Lernstand, Nachholpuffer und Sicherung (M5)</w:t>
            </w:r>
          </w:p>
        </w:tc>
      </w:tr>
      <w:tr>
        <w:trPr>
          <w:cantSplit/>
        </w:trPr>
        <w:tc>
          <w:tcPr>
            <w:tcW w:type="dxa" w:w="1900"/>
            <w:vAlign w:val="center"/>
            <w:shd w:fill="FFFFFF"/>
            <w:tcMar>
              <w:top w:w="65" w:type="dxa"/>
              <w:bottom w:w="65" w:type="dxa"/>
              <w:left w:w="85" w:type="dxa"/>
              <w:right w:w="85" w:type="dxa"/>
            </w:tcMar>
          </w:tcPr>
          <w:p>
            <w:pPr>
              <w:spacing w:line="264" w:lineRule="auto" w:after="20" w:before="20"/>
              <w:jc w:val="center"/>
            </w:pPr>
            <w:r>
              <w:rPr>
                <w:rFonts w:ascii="Inter" w:hAnsi="Inter"/>
                <w:b w:val="0"/>
                <w:color w:val="000000"/>
                <w:sz w:val="18"/>
              </w:rPr>
              <w:t>07.09.2027</w:t>
            </w:r>
          </w:p>
        </w:tc>
        <w:tc>
          <w:tcPr>
            <w:tcW w:type="dxa" w:w="2800"/>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Gemeinsamer Neustart und Produkt 2 · 2 UE</w:t>
            </w:r>
          </w:p>
        </w:tc>
        <w:tc>
          <w:tcPr>
            <w:tcW w:type="dxa" w:w="4371"/>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45 Minuten gegenseitige Vorstellung, danach Produkt 2 planen (M5–M6)</w:t>
            </w:r>
          </w:p>
        </w:tc>
      </w:tr>
      <w:tr>
        <w:trPr>
          <w:cantSplit/>
        </w:trPr>
        <w:tc>
          <w:tcPr>
            <w:tcW w:type="dxa" w:w="1900"/>
            <w:vAlign w:val="center"/>
            <w:shd w:fill="F1F5F4"/>
            <w:tcMar>
              <w:top w:w="65" w:type="dxa"/>
              <w:bottom w:w="65" w:type="dxa"/>
              <w:left w:w="85" w:type="dxa"/>
              <w:right w:w="85" w:type="dxa"/>
            </w:tcMar>
          </w:tcPr>
          <w:p>
            <w:pPr>
              <w:spacing w:line="264" w:lineRule="auto" w:after="20" w:before="20"/>
              <w:jc w:val="center"/>
            </w:pPr>
            <w:r>
              <w:rPr>
                <w:rFonts w:ascii="Inter" w:hAnsi="Inter"/>
                <w:b w:val="0"/>
                <w:color w:val="000000"/>
                <w:sz w:val="18"/>
              </w:rPr>
              <w:t>14.09.2027 bis 19.10.2027</w:t>
            </w:r>
          </w:p>
        </w:tc>
        <w:tc>
          <w:tcPr>
            <w:tcW w:type="dxa" w:w="2800"/>
            <w:vAlign w:val="center"/>
            <w:shd w:fill="F1F5F4"/>
            <w:tcMar>
              <w:top w:w="65" w:type="dxa"/>
              <w:bottom w:w="65" w:type="dxa"/>
              <w:left w:w="85" w:type="dxa"/>
              <w:right w:w="85" w:type="dxa"/>
            </w:tcMar>
          </w:tcPr>
          <w:p>
            <w:pPr>
              <w:spacing w:line="264" w:lineRule="auto" w:after="20" w:before="20"/>
              <w:jc w:val="left"/>
            </w:pPr>
            <w:r>
              <w:rPr>
                <w:rFonts w:ascii="Inter" w:hAnsi="Inter"/>
                <w:b w:val="0"/>
                <w:color w:val="000000"/>
                <w:sz w:val="18"/>
              </w:rPr>
              <w:t>Projektwerkstatt III · Produkt 2 · 12 UE</w:t>
            </w:r>
          </w:p>
        </w:tc>
        <w:tc>
          <w:tcPr>
            <w:tcW w:type="dxa" w:w="4371"/>
            <w:vAlign w:val="center"/>
            <w:shd w:fill="F1F5F4"/>
            <w:tcMar>
              <w:top w:w="65" w:type="dxa"/>
              <w:bottom w:w="65" w:type="dxa"/>
              <w:left w:w="85" w:type="dxa"/>
              <w:right w:w="85" w:type="dxa"/>
            </w:tcMar>
          </w:tcPr>
          <w:p>
            <w:pPr>
              <w:spacing w:line="264" w:lineRule="auto" w:after="20" w:before="20"/>
              <w:jc w:val="left"/>
            </w:pPr>
            <w:r>
              <w:rPr>
                <w:rFonts w:ascii="Inter" w:hAnsi="Inter"/>
                <w:b w:val="0"/>
                <w:color w:val="000000"/>
                <w:sz w:val="18"/>
              </w:rPr>
              <w:t>Vertiefungsfrage, neue Belege und vollständige Rohfassung (M6–M7)</w:t>
            </w:r>
          </w:p>
        </w:tc>
      </w:tr>
      <w:tr>
        <w:trPr>
          <w:cantSplit/>
        </w:trPr>
        <w:tc>
          <w:tcPr>
            <w:tcW w:type="dxa" w:w="1900"/>
            <w:vAlign w:val="center"/>
            <w:shd w:fill="FFFFFF"/>
            <w:tcMar>
              <w:top w:w="65" w:type="dxa"/>
              <w:bottom w:w="65" w:type="dxa"/>
              <w:left w:w="85" w:type="dxa"/>
              <w:right w:w="85" w:type="dxa"/>
            </w:tcMar>
          </w:tcPr>
          <w:p>
            <w:pPr>
              <w:spacing w:line="264" w:lineRule="auto" w:after="20" w:before="20"/>
              <w:jc w:val="center"/>
            </w:pPr>
            <w:r>
              <w:rPr>
                <w:rFonts w:ascii="Inter" w:hAnsi="Inter"/>
                <w:b w:val="0"/>
                <w:color w:val="000000"/>
                <w:sz w:val="18"/>
              </w:rPr>
              <w:t>09.11.2027 bis 30.11.2027</w:t>
            </w:r>
          </w:p>
        </w:tc>
        <w:tc>
          <w:tcPr>
            <w:tcW w:type="dxa" w:w="2800"/>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Projektwerkstatt IV · Produkt 2 · 8 UE</w:t>
            </w:r>
          </w:p>
        </w:tc>
        <w:tc>
          <w:tcPr>
            <w:tcW w:type="dxa" w:w="4371"/>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Endredaktion und Jahresdokumentation beider Produkte (M7)</w:t>
            </w:r>
          </w:p>
        </w:tc>
      </w:tr>
      <w:tr>
        <w:trPr>
          <w:cantSplit/>
        </w:trPr>
        <w:tc>
          <w:tcPr>
            <w:tcW w:type="dxa" w:w="1900"/>
            <w:vAlign w:val="center"/>
            <w:shd w:fill="F1F5F4"/>
            <w:tcMar>
              <w:top w:w="65" w:type="dxa"/>
              <w:bottom w:w="65" w:type="dxa"/>
              <w:left w:w="85" w:type="dxa"/>
              <w:right w:w="85" w:type="dxa"/>
            </w:tcMar>
          </w:tcPr>
          <w:p>
            <w:pPr>
              <w:spacing w:line="264" w:lineRule="auto" w:after="20" w:before="20"/>
              <w:jc w:val="center"/>
            </w:pPr>
            <w:r>
              <w:rPr>
                <w:rFonts w:ascii="Inter" w:hAnsi="Inter"/>
                <w:b w:val="0"/>
                <w:color w:val="000000"/>
                <w:sz w:val="18"/>
              </w:rPr>
              <w:t>07.12.2027 bis 18.01.2028</w:t>
            </w:r>
          </w:p>
        </w:tc>
        <w:tc>
          <w:tcPr>
            <w:tcW w:type="dxa" w:w="2800"/>
            <w:vAlign w:val="center"/>
            <w:shd w:fill="F1F5F4"/>
            <w:tcMar>
              <w:top w:w="65" w:type="dxa"/>
              <w:bottom w:w="65" w:type="dxa"/>
              <w:left w:w="85" w:type="dxa"/>
              <w:right w:w="85" w:type="dxa"/>
            </w:tcMar>
          </w:tcPr>
          <w:p>
            <w:pPr>
              <w:spacing w:line="264" w:lineRule="auto" w:after="20" w:before="20"/>
              <w:jc w:val="left"/>
            </w:pPr>
            <w:r>
              <w:rPr>
                <w:rFonts w:ascii="Inter" w:hAnsi="Inter"/>
                <w:b w:val="0"/>
                <w:color w:val="000000"/>
                <w:sz w:val="18"/>
              </w:rPr>
              <w:t>Abgabe von Produkt 2 und Vorstellungen · 10 UE</w:t>
            </w:r>
          </w:p>
        </w:tc>
        <w:tc>
          <w:tcPr>
            <w:tcW w:type="dxa" w:w="4371"/>
            <w:vAlign w:val="center"/>
            <w:shd w:fill="F1F5F4"/>
            <w:tcMar>
              <w:top w:w="65" w:type="dxa"/>
              <w:bottom w:w="65" w:type="dxa"/>
              <w:left w:w="85" w:type="dxa"/>
              <w:right w:w="85" w:type="dxa"/>
            </w:tcMar>
          </w:tcPr>
          <w:p>
            <w:pPr>
              <w:spacing w:line="264" w:lineRule="auto" w:after="20" w:before="20"/>
              <w:jc w:val="left"/>
            </w:pPr>
            <w:r>
              <w:rPr>
                <w:rFonts w:ascii="Inter" w:hAnsi="Inter"/>
                <w:b w:val="0"/>
                <w:color w:val="000000"/>
                <w:sz w:val="18"/>
              </w:rPr>
              <w:t>Produkt 2 und Jahresdokumentation, Erläuterung und Puffer (M7–M8)</w:t>
            </w:r>
          </w:p>
        </w:tc>
      </w:tr>
      <w:tr>
        <w:trPr>
          <w:cantSplit/>
        </w:trPr>
        <w:tc>
          <w:tcPr>
            <w:tcW w:type="dxa" w:w="1900"/>
            <w:vAlign w:val="center"/>
            <w:shd w:fill="FFFFFF"/>
            <w:tcMar>
              <w:top w:w="65" w:type="dxa"/>
              <w:bottom w:w="65" w:type="dxa"/>
              <w:left w:w="85" w:type="dxa"/>
              <w:right w:w="85" w:type="dxa"/>
            </w:tcMar>
          </w:tcPr>
          <w:p>
            <w:pPr>
              <w:spacing w:line="264" w:lineRule="auto" w:after="20" w:before="20"/>
              <w:jc w:val="center"/>
            </w:pPr>
            <w:r>
              <w:rPr>
                <w:rFonts w:ascii="Inter" w:hAnsi="Inter"/>
                <w:b w:val="0"/>
                <w:color w:val="000000"/>
                <w:sz w:val="18"/>
              </w:rPr>
              <w:t>25.01.2028 bis 01.02.2028</w:t>
            </w:r>
          </w:p>
        </w:tc>
        <w:tc>
          <w:tcPr>
            <w:tcW w:type="dxa" w:w="2800"/>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Rückmeldung und Kursabschluss · 4 UE</w:t>
            </w:r>
          </w:p>
        </w:tc>
        <w:tc>
          <w:tcPr>
            <w:tcW w:type="dxa" w:w="4371"/>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Jahresbewertung erläutern, Transfer und Evaluation (M8)</w:t>
            </w:r>
          </w:p>
        </w:tc>
      </w:tr>
    </w:tbl>
    <w:p>
      <w:pPr>
        <w:pStyle w:val="Heading3"/>
        <w:spacing w:before="260" w:after="140"/>
        <w:keepLines/>
        <w:jc w:val="left"/>
        <w:pageBreakBefore/>
      </w:pPr>
      <w:r>
        <w:t>Meilensteine und schulische Terminplanung</w:t>
      </w:r>
    </w:p>
    <w:p>
      <w:pPr>
        <w:keepLines/>
      </w:pPr>
      <w:r>
        <w:t>Alle Dienstage und die jeweils benötigten Formulare und Kanban-Apps sind im Kurskalender hinterlegt. Die Werkstätten I (6. April bis 11. Mai) und II (1. bis 22. Juni) führen zu Produkt 1. Nach der gegenseitigen Vorstellung am 7. September entstehen in den Werkstätten III (14. September bis 19. Oktober) und IV (9. bis 30. November) die Ergebnisse von Produkt 2. Die erste Unterrichtsstunde am 7. September bleibt dem gemeinsamen Austausch vorbehalten; die zweite dient dem Start von Produkt 2.</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00"/>
        <w:gridCol w:w="2600"/>
        <w:gridCol w:w="4571"/>
      </w:tblGrid>
      <w:tr>
        <w:trPr>
          <w:cantSplit/>
          <w:tblHeader/>
        </w:trPr>
        <w:tc>
          <w:tcPr>
            <w:tcW w:type="dxa" w:w="1900"/>
            <w:vAlign w:val="center"/>
            <w:shd w:fill="DDE9EC"/>
            <w:tcMar>
              <w:top w:w="65" w:type="dxa"/>
              <w:bottom w:w="65" w:type="dxa"/>
              <w:left w:w="85" w:type="dxa"/>
              <w:right w:w="85" w:type="dxa"/>
            </w:tcMar>
          </w:tcPr>
          <w:p>
            <w:pPr>
              <w:keepNext/>
              <w:spacing w:line="264" w:lineRule="auto" w:after="20" w:before="20"/>
              <w:jc w:val="center"/>
            </w:pPr>
            <w:r>
              <w:rPr>
                <w:rFonts w:ascii="Inter" w:hAnsi="Inter"/>
                <w:b/>
                <w:color w:val="000000"/>
                <w:sz w:val="18"/>
              </w:rPr>
              <w:t>Datum</w:t>
            </w:r>
          </w:p>
        </w:tc>
        <w:tc>
          <w:tcPr>
            <w:tcW w:type="dxa" w:w="2600"/>
            <w:vAlign w:val="center"/>
            <w:shd w:fill="DDE9EC"/>
            <w:tcMar>
              <w:top w:w="65" w:type="dxa"/>
              <w:bottom w:w="65" w:type="dxa"/>
              <w:left w:w="85" w:type="dxa"/>
              <w:right w:w="85" w:type="dxa"/>
            </w:tcMar>
          </w:tcPr>
          <w:p>
            <w:pPr>
              <w:keepNext/>
              <w:spacing w:line="264" w:lineRule="auto" w:after="20" w:before="20"/>
              <w:jc w:val="left"/>
            </w:pPr>
            <w:r>
              <w:rPr>
                <w:rFonts w:ascii="Inter" w:hAnsi="Inter"/>
                <w:b/>
                <w:color w:val="000000"/>
                <w:sz w:val="18"/>
              </w:rPr>
              <w:t>Meilenstein</w:t>
            </w:r>
          </w:p>
        </w:tc>
        <w:tc>
          <w:tcPr>
            <w:tcW w:type="dxa" w:w="4571"/>
            <w:vAlign w:val="center"/>
            <w:shd w:fill="DDE9EC"/>
            <w:tcMar>
              <w:top w:w="65" w:type="dxa"/>
              <w:bottom w:w="65" w:type="dxa"/>
              <w:left w:w="85" w:type="dxa"/>
              <w:right w:w="85" w:type="dxa"/>
            </w:tcMar>
          </w:tcPr>
          <w:p>
            <w:pPr>
              <w:keepNext/>
              <w:spacing w:line="264" w:lineRule="auto" w:after="20" w:before="20"/>
              <w:jc w:val="left"/>
            </w:pPr>
            <w:r>
              <w:rPr>
                <w:rFonts w:ascii="Inter" w:hAnsi="Inter"/>
                <w:b/>
                <w:color w:val="000000"/>
                <w:sz w:val="18"/>
              </w:rPr>
              <w:t>Ergebnis und Nachweis</w:t>
            </w:r>
          </w:p>
        </w:tc>
      </w:tr>
      <w:tr>
        <w:trPr>
          <w:cantSplit/>
        </w:trPr>
        <w:tc>
          <w:tcPr>
            <w:tcW w:type="dxa" w:w="1900"/>
            <w:vAlign w:val="center"/>
            <w:shd w:fill="FFFFFF"/>
            <w:tcMar>
              <w:top w:w="65" w:type="dxa"/>
              <w:bottom w:w="65" w:type="dxa"/>
              <w:left w:w="85" w:type="dxa"/>
              <w:right w:w="85" w:type="dxa"/>
            </w:tcMar>
          </w:tcPr>
          <w:p>
            <w:pPr>
              <w:spacing w:line="264" w:lineRule="auto" w:after="20" w:before="20"/>
              <w:jc w:val="center"/>
            </w:pPr>
            <w:r>
              <w:rPr>
                <w:rFonts w:ascii="Inter" w:hAnsi="Inter"/>
                <w:b w:val="0"/>
                <w:color w:val="000000"/>
                <w:sz w:val="18"/>
              </w:rPr>
              <w:t>16.03.2027</w:t>
            </w:r>
          </w:p>
        </w:tc>
        <w:tc>
          <w:tcPr>
            <w:tcW w:type="dxa" w:w="2600"/>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Projektvereinbarung für Produkt 1</w:t>
            </w:r>
          </w:p>
        </w:tc>
        <w:tc>
          <w:tcPr>
            <w:tcW w:type="dxa" w:w="4571"/>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Leitfrage, Referenzfach, Rollen und Kriterien vereinbaren; Kanban-Board einrichten.</w:t>
            </w:r>
          </w:p>
        </w:tc>
      </w:tr>
      <w:tr>
        <w:trPr>
          <w:cantSplit/>
        </w:trPr>
        <w:tc>
          <w:tcPr>
            <w:tcW w:type="dxa" w:w="1900"/>
            <w:vAlign w:val="center"/>
            <w:shd w:fill="F1F5F4"/>
            <w:tcMar>
              <w:top w:w="65" w:type="dxa"/>
              <w:bottom w:w="65" w:type="dxa"/>
              <w:left w:w="85" w:type="dxa"/>
              <w:right w:w="85" w:type="dxa"/>
            </w:tcMar>
          </w:tcPr>
          <w:p>
            <w:pPr>
              <w:spacing w:line="264" w:lineRule="auto" w:after="20" w:before="20"/>
              <w:jc w:val="center"/>
            </w:pPr>
            <w:r>
              <w:rPr>
                <w:rFonts w:ascii="Inter" w:hAnsi="Inter"/>
                <w:b w:val="0"/>
                <w:color w:val="000000"/>
                <w:sz w:val="18"/>
              </w:rPr>
              <w:t>29.06.2027</w:t>
            </w:r>
          </w:p>
        </w:tc>
        <w:tc>
          <w:tcPr>
            <w:tcW w:type="dxa" w:w="2600"/>
            <w:vAlign w:val="center"/>
            <w:shd w:fill="F1F5F4"/>
            <w:tcMar>
              <w:top w:w="65" w:type="dxa"/>
              <w:bottom w:w="65" w:type="dxa"/>
              <w:left w:w="85" w:type="dxa"/>
              <w:right w:w="85" w:type="dxa"/>
            </w:tcMar>
          </w:tcPr>
          <w:p>
            <w:pPr>
              <w:spacing w:line="264" w:lineRule="auto" w:after="20" w:before="20"/>
              <w:jc w:val="left"/>
            </w:pPr>
            <w:r>
              <w:rPr>
                <w:rFonts w:ascii="Inter" w:hAnsi="Inter"/>
                <w:b w:val="0"/>
                <w:color w:val="000000"/>
                <w:sz w:val="18"/>
              </w:rPr>
              <w:t>Abgabe von Produkt 1</w:t>
            </w:r>
          </w:p>
        </w:tc>
        <w:tc>
          <w:tcPr>
            <w:tcW w:type="dxa" w:w="4571"/>
            <w:vAlign w:val="center"/>
            <w:shd w:fill="F1F5F4"/>
            <w:tcMar>
              <w:top w:w="65" w:type="dxa"/>
              <w:bottom w:w="65" w:type="dxa"/>
              <w:left w:w="85" w:type="dxa"/>
              <w:right w:w="85" w:type="dxa"/>
            </w:tcMar>
          </w:tcPr>
          <w:p>
            <w:pPr>
              <w:spacing w:line="264" w:lineRule="auto" w:after="20" w:before="20"/>
              <w:jc w:val="left"/>
            </w:pPr>
            <w:r>
              <w:rPr>
                <w:rFonts w:ascii="Inter" w:hAnsi="Inter"/>
                <w:b w:val="0"/>
                <w:color w:val="000000"/>
                <w:sz w:val="18"/>
              </w:rPr>
              <w:t>Produkt, fachliche Begleitung, Quellen, Eigenanteile, Reflexion und Boardexport; Lernstandsberatung.</w:t>
            </w:r>
          </w:p>
        </w:tc>
      </w:tr>
      <w:tr>
        <w:trPr>
          <w:cantSplit/>
        </w:trPr>
        <w:tc>
          <w:tcPr>
            <w:tcW w:type="dxa" w:w="1900"/>
            <w:vAlign w:val="center"/>
            <w:shd w:fill="FFFFFF"/>
            <w:tcMar>
              <w:top w:w="65" w:type="dxa"/>
              <w:bottom w:w="65" w:type="dxa"/>
              <w:left w:w="85" w:type="dxa"/>
              <w:right w:w="85" w:type="dxa"/>
            </w:tcMar>
          </w:tcPr>
          <w:p>
            <w:pPr>
              <w:spacing w:line="264" w:lineRule="auto" w:after="20" w:before="20"/>
              <w:jc w:val="center"/>
            </w:pPr>
            <w:r>
              <w:rPr>
                <w:rFonts w:ascii="Inter" w:hAnsi="Inter"/>
                <w:b w:val="0"/>
                <w:color w:val="000000"/>
                <w:sz w:val="18"/>
              </w:rPr>
              <w:t>02.07.2027</w:t>
            </w:r>
          </w:p>
        </w:tc>
        <w:tc>
          <w:tcPr>
            <w:tcW w:type="dxa" w:w="2600"/>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Schulischer Meldetermin · vorläufig</w:t>
            </w:r>
          </w:p>
        </w:tc>
        <w:tc>
          <w:tcPr>
            <w:tcW w:type="dxa" w:w="4571"/>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Lernstands- und Beratungsdokumentation; keine Halbjahreskursnote.</w:t>
            </w:r>
          </w:p>
        </w:tc>
      </w:tr>
      <w:tr>
        <w:trPr>
          <w:cantSplit/>
        </w:trPr>
        <w:tc>
          <w:tcPr>
            <w:tcW w:type="dxa" w:w="1900"/>
            <w:vAlign w:val="center"/>
            <w:shd w:fill="F1F5F4"/>
            <w:tcMar>
              <w:top w:w="65" w:type="dxa"/>
              <w:bottom w:w="65" w:type="dxa"/>
              <w:left w:w="85" w:type="dxa"/>
              <w:right w:w="85" w:type="dxa"/>
            </w:tcMar>
          </w:tcPr>
          <w:p>
            <w:pPr>
              <w:spacing w:line="264" w:lineRule="auto" w:after="20" w:before="20"/>
              <w:jc w:val="center"/>
            </w:pPr>
            <w:r>
              <w:rPr>
                <w:rFonts w:ascii="Inter" w:hAnsi="Inter"/>
                <w:b w:val="0"/>
                <w:color w:val="000000"/>
                <w:sz w:val="18"/>
              </w:rPr>
              <w:t>07.09.2027</w:t>
            </w:r>
          </w:p>
        </w:tc>
        <w:tc>
          <w:tcPr>
            <w:tcW w:type="dxa" w:w="2600"/>
            <w:vAlign w:val="center"/>
            <w:shd w:fill="F1F5F4"/>
            <w:tcMar>
              <w:top w:w="65" w:type="dxa"/>
              <w:bottom w:w="65" w:type="dxa"/>
              <w:left w:w="85" w:type="dxa"/>
              <w:right w:w="85" w:type="dxa"/>
            </w:tcMar>
          </w:tcPr>
          <w:p>
            <w:pPr>
              <w:spacing w:line="264" w:lineRule="auto" w:after="20" w:before="20"/>
              <w:jc w:val="left"/>
            </w:pPr>
            <w:r>
              <w:rPr>
                <w:rFonts w:ascii="Inter" w:hAnsi="Inter"/>
                <w:b w:val="0"/>
                <w:color w:val="000000"/>
                <w:sz w:val="18"/>
              </w:rPr>
              <w:t>Gegenseitige Vorstellung und Start von Produkt 2</w:t>
            </w:r>
          </w:p>
        </w:tc>
        <w:tc>
          <w:tcPr>
            <w:tcW w:type="dxa" w:w="4571"/>
            <w:vAlign w:val="center"/>
            <w:shd w:fill="F1F5F4"/>
            <w:tcMar>
              <w:top w:w="65" w:type="dxa"/>
              <w:bottom w:w="65" w:type="dxa"/>
              <w:left w:w="85" w:type="dxa"/>
              <w:right w:w="85" w:type="dxa"/>
            </w:tcMar>
          </w:tcPr>
          <w:p>
            <w:pPr>
              <w:spacing w:line="264" w:lineRule="auto" w:after="20" w:before="20"/>
              <w:jc w:val="left"/>
            </w:pPr>
            <w:r>
              <w:rPr>
                <w:rFonts w:ascii="Inter" w:hAnsi="Inter"/>
                <w:b w:val="0"/>
                <w:color w:val="000000"/>
                <w:sz w:val="18"/>
              </w:rPr>
              <w:t>Erste Stunde: Produkt 1 in Galeriegang/Kleingruppen vorstellen. Zweite Stunde: Produkt 2 planen.</w:t>
            </w:r>
          </w:p>
        </w:tc>
      </w:tr>
      <w:tr>
        <w:trPr>
          <w:cantSplit/>
        </w:trPr>
        <w:tc>
          <w:tcPr>
            <w:tcW w:type="dxa" w:w="1900"/>
            <w:vAlign w:val="center"/>
            <w:shd w:fill="FFFFFF"/>
            <w:tcMar>
              <w:top w:w="65" w:type="dxa"/>
              <w:bottom w:w="65" w:type="dxa"/>
              <w:left w:w="85" w:type="dxa"/>
              <w:right w:w="85" w:type="dxa"/>
            </w:tcMar>
          </w:tcPr>
          <w:p>
            <w:pPr>
              <w:spacing w:line="264" w:lineRule="auto" w:after="20" w:before="20"/>
              <w:jc w:val="center"/>
            </w:pPr>
            <w:r>
              <w:rPr>
                <w:rFonts w:ascii="Inter" w:hAnsi="Inter"/>
                <w:b w:val="0"/>
                <w:color w:val="000000"/>
                <w:sz w:val="18"/>
              </w:rPr>
              <w:t>14.09.2027</w:t>
            </w:r>
          </w:p>
        </w:tc>
        <w:tc>
          <w:tcPr>
            <w:tcW w:type="dxa" w:w="2600"/>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Projektvereinbarung für Produkt 2</w:t>
            </w:r>
          </w:p>
        </w:tc>
        <w:tc>
          <w:tcPr>
            <w:tcW w:type="dxa" w:w="4571"/>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Vertiefungsfrage, neue Belege, individuelle Beiträge und Meilensteine im Board festhalten.</w:t>
            </w:r>
          </w:p>
        </w:tc>
      </w:tr>
      <w:tr>
        <w:trPr>
          <w:cantSplit/>
        </w:trPr>
        <w:tc>
          <w:tcPr>
            <w:tcW w:type="dxa" w:w="1900"/>
            <w:vAlign w:val="center"/>
            <w:shd w:fill="F1F5F4"/>
            <w:tcMar>
              <w:top w:w="65" w:type="dxa"/>
              <w:bottom w:w="65" w:type="dxa"/>
              <w:left w:w="85" w:type="dxa"/>
              <w:right w:w="85" w:type="dxa"/>
            </w:tcMar>
          </w:tcPr>
          <w:p>
            <w:pPr>
              <w:spacing w:line="264" w:lineRule="auto" w:after="20" w:before="20"/>
              <w:jc w:val="center"/>
            </w:pPr>
            <w:r>
              <w:rPr>
                <w:rFonts w:ascii="Inter" w:hAnsi="Inter"/>
                <w:b w:val="0"/>
                <w:color w:val="000000"/>
                <w:sz w:val="18"/>
              </w:rPr>
              <w:t>07.12.2027</w:t>
            </w:r>
          </w:p>
        </w:tc>
        <w:tc>
          <w:tcPr>
            <w:tcW w:type="dxa" w:w="2600"/>
            <w:vAlign w:val="center"/>
            <w:shd w:fill="F1F5F4"/>
            <w:tcMar>
              <w:top w:w="65" w:type="dxa"/>
              <w:bottom w:w="65" w:type="dxa"/>
              <w:left w:w="85" w:type="dxa"/>
              <w:right w:w="85" w:type="dxa"/>
            </w:tcMar>
          </w:tcPr>
          <w:p>
            <w:pPr>
              <w:spacing w:line="264" w:lineRule="auto" w:after="20" w:before="20"/>
              <w:jc w:val="left"/>
            </w:pPr>
            <w:r>
              <w:rPr>
                <w:rFonts w:ascii="Inter" w:hAnsi="Inter"/>
                <w:b w:val="0"/>
                <w:color w:val="000000"/>
                <w:sz w:val="18"/>
              </w:rPr>
              <w:t>Abgabe von Produkt 2 und Jahresdokumentation</w:t>
            </w:r>
          </w:p>
        </w:tc>
        <w:tc>
          <w:tcPr>
            <w:tcW w:type="dxa" w:w="4571"/>
            <w:vAlign w:val="center"/>
            <w:shd w:fill="F1F5F4"/>
            <w:tcMar>
              <w:top w:w="65" w:type="dxa"/>
              <w:bottom w:w="65" w:type="dxa"/>
              <w:left w:w="85" w:type="dxa"/>
              <w:right w:w="85" w:type="dxa"/>
            </w:tcMar>
          </w:tcPr>
          <w:p>
            <w:pPr>
              <w:spacing w:line="264" w:lineRule="auto" w:after="20" w:before="20"/>
              <w:jc w:val="left"/>
            </w:pPr>
            <w:r>
              <w:rPr>
                <w:rFonts w:ascii="Inter" w:hAnsi="Inter"/>
                <w:b w:val="0"/>
                <w:color w:val="000000"/>
                <w:sz w:val="18"/>
              </w:rPr>
              <w:t>Beide Produkte, fachliche Dokumentation, Quellen, Eigenanteile, KI-/Mediennachweis und Boardexport.</w:t>
            </w:r>
          </w:p>
        </w:tc>
      </w:tr>
      <w:tr>
        <w:trPr>
          <w:cantSplit/>
        </w:trPr>
        <w:tc>
          <w:tcPr>
            <w:tcW w:type="dxa" w:w="1900"/>
            <w:vAlign w:val="center"/>
            <w:shd w:fill="FFFFFF"/>
            <w:tcMar>
              <w:top w:w="65" w:type="dxa"/>
              <w:bottom w:w="65" w:type="dxa"/>
              <w:left w:w="85" w:type="dxa"/>
              <w:right w:w="85" w:type="dxa"/>
            </w:tcMar>
          </w:tcPr>
          <w:p>
            <w:pPr>
              <w:spacing w:line="264" w:lineRule="auto" w:after="20" w:before="20"/>
              <w:jc w:val="center"/>
            </w:pPr>
            <w:r>
              <w:rPr>
                <w:rFonts w:ascii="Inter" w:hAnsi="Inter"/>
                <w:b w:val="0"/>
                <w:color w:val="000000"/>
                <w:sz w:val="18"/>
              </w:rPr>
              <w:t>14./21.12.2027 und 11.01.2028</w:t>
            </w:r>
          </w:p>
        </w:tc>
        <w:tc>
          <w:tcPr>
            <w:tcW w:type="dxa" w:w="2600"/>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Abschlussvorstellungen</w:t>
            </w:r>
          </w:p>
        </w:tc>
        <w:tc>
          <w:tcPr>
            <w:tcW w:type="dxa" w:w="4571"/>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Produkt 2 und den Fortschritt gegenüber Produkt 1 erläutern; individuelle Beiträge nachweisen.</w:t>
            </w:r>
          </w:p>
        </w:tc>
      </w:tr>
      <w:tr>
        <w:trPr>
          <w:cantSplit/>
        </w:trPr>
        <w:tc>
          <w:tcPr>
            <w:tcW w:type="dxa" w:w="1900"/>
            <w:vAlign w:val="center"/>
            <w:shd w:fill="F1F5F4"/>
            <w:tcMar>
              <w:top w:w="65" w:type="dxa"/>
              <w:bottom w:w="65" w:type="dxa"/>
              <w:left w:w="85" w:type="dxa"/>
              <w:right w:w="85" w:type="dxa"/>
            </w:tcMar>
          </w:tcPr>
          <w:p>
            <w:pPr>
              <w:spacing w:line="264" w:lineRule="auto" w:after="20" w:before="20"/>
              <w:jc w:val="center"/>
            </w:pPr>
            <w:r>
              <w:rPr>
                <w:rFonts w:ascii="Inter" w:hAnsi="Inter"/>
                <w:b w:val="0"/>
                <w:color w:val="000000"/>
                <w:sz w:val="18"/>
              </w:rPr>
              <w:t>18.01.2028</w:t>
            </w:r>
          </w:p>
        </w:tc>
        <w:tc>
          <w:tcPr>
            <w:tcW w:type="dxa" w:w="2600"/>
            <w:vAlign w:val="center"/>
            <w:shd w:fill="F1F5F4"/>
            <w:tcMar>
              <w:top w:w="65" w:type="dxa"/>
              <w:bottom w:w="65" w:type="dxa"/>
              <w:left w:w="85" w:type="dxa"/>
              <w:right w:w="85" w:type="dxa"/>
            </w:tcMar>
          </w:tcPr>
          <w:p>
            <w:pPr>
              <w:spacing w:line="264" w:lineRule="auto" w:after="20" w:before="20"/>
              <w:jc w:val="left"/>
            </w:pPr>
            <w:r>
              <w:rPr>
                <w:rFonts w:ascii="Inter" w:hAnsi="Inter"/>
                <w:b w:val="0"/>
                <w:color w:val="000000"/>
                <w:sz w:val="18"/>
              </w:rPr>
              <w:t>Nachholpuffer</w:t>
            </w:r>
          </w:p>
        </w:tc>
        <w:tc>
          <w:tcPr>
            <w:tcW w:type="dxa" w:w="4571"/>
            <w:vAlign w:val="center"/>
            <w:shd w:fill="F1F5F4"/>
            <w:tcMar>
              <w:top w:w="65" w:type="dxa"/>
              <w:bottom w:w="65" w:type="dxa"/>
              <w:left w:w="85" w:type="dxa"/>
              <w:right w:w="85" w:type="dxa"/>
            </w:tcMar>
          </w:tcPr>
          <w:p>
            <w:pPr>
              <w:spacing w:line="264" w:lineRule="auto" w:after="20" w:before="20"/>
              <w:jc w:val="left"/>
            </w:pPr>
            <w:r>
              <w:rPr>
                <w:rFonts w:ascii="Inter" w:hAnsi="Inter"/>
                <w:b w:val="0"/>
                <w:color w:val="000000"/>
                <w:sz w:val="18"/>
              </w:rPr>
              <w:t>Unverschuldete Ausfälle auffangen und Beurteilungsgrundlagen abschließen.</w:t>
            </w:r>
          </w:p>
        </w:tc>
      </w:tr>
      <w:tr>
        <w:trPr>
          <w:cantSplit/>
        </w:trPr>
        <w:tc>
          <w:tcPr>
            <w:tcW w:type="dxa" w:w="1900"/>
            <w:vAlign w:val="center"/>
            <w:shd w:fill="FFFFFF"/>
            <w:tcMar>
              <w:top w:w="65" w:type="dxa"/>
              <w:bottom w:w="65" w:type="dxa"/>
              <w:left w:w="85" w:type="dxa"/>
              <w:right w:w="85" w:type="dxa"/>
            </w:tcMar>
          </w:tcPr>
          <w:p>
            <w:pPr>
              <w:spacing w:line="264" w:lineRule="auto" w:after="20" w:before="20"/>
              <w:jc w:val="center"/>
            </w:pPr>
            <w:r>
              <w:rPr>
                <w:rFonts w:ascii="Inter" w:hAnsi="Inter"/>
                <w:b w:val="0"/>
                <w:color w:val="000000"/>
                <w:sz w:val="18"/>
              </w:rPr>
              <w:t>21.01.2028</w:t>
            </w:r>
          </w:p>
        </w:tc>
        <w:tc>
          <w:tcPr>
            <w:tcW w:type="dxa" w:w="2600"/>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Notenschluss · vorläufig</w:t>
            </w:r>
          </w:p>
        </w:tc>
        <w:tc>
          <w:tcPr>
            <w:tcW w:type="dxa" w:w="4571"/>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Jahresnote: Sonstige Mitarbeit beider Halbjahre und Jahresdokumentation, je 50 Prozent.</w:t>
            </w:r>
          </w:p>
        </w:tc>
      </w:tr>
      <w:tr>
        <w:trPr>
          <w:cantSplit/>
        </w:trPr>
        <w:tc>
          <w:tcPr>
            <w:tcW w:type="dxa" w:w="1900"/>
            <w:vAlign w:val="center"/>
            <w:shd w:fill="F1F5F4"/>
            <w:tcMar>
              <w:top w:w="65" w:type="dxa"/>
              <w:bottom w:w="65" w:type="dxa"/>
              <w:left w:w="85" w:type="dxa"/>
              <w:right w:w="85" w:type="dxa"/>
            </w:tcMar>
          </w:tcPr>
          <w:p>
            <w:pPr>
              <w:spacing w:line="264" w:lineRule="auto" w:after="20" w:before="20"/>
              <w:jc w:val="center"/>
            </w:pPr>
            <w:r>
              <w:rPr>
                <w:rFonts w:ascii="Inter" w:hAnsi="Inter"/>
                <w:b w:val="0"/>
                <w:color w:val="000000"/>
                <w:sz w:val="18"/>
              </w:rPr>
              <w:t>25.01./01.02.2028</w:t>
            </w:r>
          </w:p>
        </w:tc>
        <w:tc>
          <w:tcPr>
            <w:tcW w:type="dxa" w:w="2600"/>
            <w:vAlign w:val="center"/>
            <w:shd w:fill="F1F5F4"/>
            <w:tcMar>
              <w:top w:w="65" w:type="dxa"/>
              <w:bottom w:w="65" w:type="dxa"/>
              <w:left w:w="85" w:type="dxa"/>
              <w:right w:w="85" w:type="dxa"/>
            </w:tcMar>
          </w:tcPr>
          <w:p>
            <w:pPr>
              <w:spacing w:line="264" w:lineRule="auto" w:after="20" w:before="20"/>
              <w:jc w:val="left"/>
            </w:pPr>
            <w:r>
              <w:rPr>
                <w:rFonts w:ascii="Inter" w:hAnsi="Inter"/>
                <w:b w:val="0"/>
                <w:color w:val="000000"/>
                <w:sz w:val="18"/>
              </w:rPr>
              <w:t>Rückmeldung und Abschluss</w:t>
            </w:r>
          </w:p>
        </w:tc>
        <w:tc>
          <w:tcPr>
            <w:tcW w:type="dxa" w:w="4571"/>
            <w:vAlign w:val="center"/>
            <w:shd w:fill="F1F5F4"/>
            <w:tcMar>
              <w:top w:w="65" w:type="dxa"/>
              <w:bottom w:w="65" w:type="dxa"/>
              <w:left w:w="85" w:type="dxa"/>
              <w:right w:w="85" w:type="dxa"/>
            </w:tcMar>
          </w:tcPr>
          <w:p>
            <w:pPr>
              <w:spacing w:line="264" w:lineRule="auto" w:after="20" w:before="20"/>
              <w:jc w:val="left"/>
            </w:pPr>
            <w:r>
              <w:rPr>
                <w:rFonts w:ascii="Inter" w:hAnsi="Inter"/>
                <w:b w:val="0"/>
                <w:color w:val="000000"/>
                <w:sz w:val="18"/>
              </w:rPr>
              <w:t>Bewertung erläutern, Transfer und Evaluation; keine neue benotete Pflichtabgabe.</w:t>
            </w:r>
          </w:p>
        </w:tc>
      </w:tr>
    </w:tbl>
    <w:p>
      <w:pPr>
        <w:keepLines/>
      </w:pPr>
      <w:r>
        <w:t>Die Vorstellungen erläutern die Jahresdokumentation und machen eigene Leistungen erkennbar. Richtwert: 8 Minuten gemeinsamer Beitrag plus 4 Minuten je Person für fachliche Erläuterung und Rückfragen. Slots werden zu Kursbeginn vereinbart; bei überwiegend Einzelarbeiten oder mehr als 24 Lernenden beginnt die Vorstellungsphase bereits am 7. Dezember. Der 18. Januar bleibt vorrangig Nachholpuffer. Es entsteht kein dritter Bewertungsbereich.</w:t>
      </w:r>
    </w:p>
    <w:p>
      <w:pPr>
        <w:pStyle w:val="Heading3"/>
        <w:spacing w:before="260" w:after="140"/>
        <w:keepLines/>
        <w:jc w:val="left"/>
        <w:pageBreakBefore/>
      </w:pPr>
      <w:r>
        <w:t>Ferien und verbindliche Terminbasis</w:t>
      </w:r>
    </w:p>
    <w:p>
      <w:pPr>
        <w:keepLines/>
      </w:pPr>
      <w:r>
        <w:t>Die Ferien sind im Kalender durchgehend markiert. Während der Ferien werden weder Kursstunden noch Pflichtabgaben eingeplant. Die amtlichen Halbjahreszeugnisse liegen am 12. Februar 2027 und 4. Februar 2028; der letzte Schultag vor den Sommerferien ist der 16. Juli 2027.</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0"/>
        <w:gridCol w:w="2300"/>
        <w:gridCol w:w="4471"/>
      </w:tblGrid>
      <w:tr>
        <w:trPr>
          <w:cantSplit/>
          <w:tblHeader/>
        </w:trPr>
        <w:tc>
          <w:tcPr>
            <w:tcW w:type="dxa" w:w="2300"/>
            <w:vAlign w:val="center"/>
            <w:shd w:fill="DDE9EC"/>
            <w:tcMar>
              <w:top w:w="65" w:type="dxa"/>
              <w:bottom w:w="65" w:type="dxa"/>
              <w:left w:w="85" w:type="dxa"/>
              <w:right w:w="85" w:type="dxa"/>
            </w:tcMar>
          </w:tcPr>
          <w:p>
            <w:pPr>
              <w:keepNext/>
              <w:spacing w:line="264" w:lineRule="auto" w:after="20" w:before="20"/>
              <w:jc w:val="center"/>
            </w:pPr>
            <w:r>
              <w:rPr>
                <w:rFonts w:ascii="Inter" w:hAnsi="Inter"/>
                <w:b/>
                <w:color w:val="000000"/>
                <w:sz w:val="18"/>
              </w:rPr>
              <w:t>Zeitraum</w:t>
            </w:r>
          </w:p>
        </w:tc>
        <w:tc>
          <w:tcPr>
            <w:tcW w:type="dxa" w:w="2300"/>
            <w:vAlign w:val="center"/>
            <w:shd w:fill="DDE9EC"/>
            <w:tcMar>
              <w:top w:w="65" w:type="dxa"/>
              <w:bottom w:w="65" w:type="dxa"/>
              <w:left w:w="85" w:type="dxa"/>
              <w:right w:w="85" w:type="dxa"/>
            </w:tcMar>
          </w:tcPr>
          <w:p>
            <w:pPr>
              <w:keepNext/>
              <w:spacing w:line="264" w:lineRule="auto" w:after="20" w:before="20"/>
              <w:jc w:val="left"/>
            </w:pPr>
            <w:r>
              <w:rPr>
                <w:rFonts w:ascii="Inter" w:hAnsi="Inter"/>
                <w:b/>
                <w:color w:val="000000"/>
                <w:sz w:val="18"/>
              </w:rPr>
              <w:t>Unterrichtsfrei</w:t>
            </w:r>
          </w:p>
        </w:tc>
        <w:tc>
          <w:tcPr>
            <w:tcW w:type="dxa" w:w="4471"/>
            <w:vAlign w:val="center"/>
            <w:shd w:fill="DDE9EC"/>
            <w:tcMar>
              <w:top w:w="65" w:type="dxa"/>
              <w:bottom w:w="65" w:type="dxa"/>
              <w:left w:w="85" w:type="dxa"/>
              <w:right w:w="85" w:type="dxa"/>
            </w:tcMar>
          </w:tcPr>
          <w:p>
            <w:pPr>
              <w:keepNext/>
              <w:spacing w:line="264" w:lineRule="auto" w:after="20" w:before="20"/>
              <w:jc w:val="left"/>
            </w:pPr>
            <w:r>
              <w:rPr>
                <w:rFonts w:ascii="Inter" w:hAnsi="Inter"/>
                <w:b/>
                <w:color w:val="000000"/>
                <w:sz w:val="18"/>
              </w:rPr>
              <w:t>Betroffene Dienstage</w:t>
            </w:r>
          </w:p>
        </w:tc>
      </w:tr>
      <w:tr>
        <w:trPr>
          <w:cantSplit/>
        </w:trPr>
        <w:tc>
          <w:tcPr>
            <w:tcW w:type="dxa" w:w="2300"/>
            <w:vAlign w:val="center"/>
            <w:shd w:fill="FFFFFF"/>
            <w:tcMar>
              <w:top w:w="65" w:type="dxa"/>
              <w:bottom w:w="65" w:type="dxa"/>
              <w:left w:w="85" w:type="dxa"/>
              <w:right w:w="85" w:type="dxa"/>
            </w:tcMar>
          </w:tcPr>
          <w:p>
            <w:pPr>
              <w:spacing w:line="264" w:lineRule="auto" w:after="20" w:before="20"/>
              <w:jc w:val="center"/>
            </w:pPr>
            <w:r>
              <w:rPr>
                <w:rFonts w:ascii="Inter" w:hAnsi="Inter"/>
                <w:b w:val="0"/>
                <w:color w:val="000000"/>
                <w:sz w:val="18"/>
              </w:rPr>
              <w:t>22.03.–03.04.2027</w:t>
            </w:r>
          </w:p>
        </w:tc>
        <w:tc>
          <w:tcPr>
            <w:tcW w:type="dxa" w:w="2300"/>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Osterferien</w:t>
            </w:r>
          </w:p>
        </w:tc>
        <w:tc>
          <w:tcPr>
            <w:tcW w:type="dxa" w:w="4471"/>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23. und 30. März</w:t>
            </w:r>
          </w:p>
        </w:tc>
      </w:tr>
      <w:tr>
        <w:trPr>
          <w:cantSplit/>
        </w:trPr>
        <w:tc>
          <w:tcPr>
            <w:tcW w:type="dxa" w:w="2300"/>
            <w:vAlign w:val="center"/>
            <w:shd w:fill="F1F5F4"/>
            <w:tcMar>
              <w:top w:w="65" w:type="dxa"/>
              <w:bottom w:w="65" w:type="dxa"/>
              <w:left w:w="85" w:type="dxa"/>
              <w:right w:w="85" w:type="dxa"/>
            </w:tcMar>
          </w:tcPr>
          <w:p>
            <w:pPr>
              <w:spacing w:line="264" w:lineRule="auto" w:after="20" w:before="20"/>
              <w:jc w:val="center"/>
            </w:pPr>
            <w:r>
              <w:rPr>
                <w:rFonts w:ascii="Inter" w:hAnsi="Inter"/>
                <w:b w:val="0"/>
                <w:color w:val="000000"/>
                <w:sz w:val="18"/>
              </w:rPr>
              <w:t>18.05.2027</w:t>
            </w:r>
          </w:p>
        </w:tc>
        <w:tc>
          <w:tcPr>
            <w:tcW w:type="dxa" w:w="2300"/>
            <w:vAlign w:val="center"/>
            <w:shd w:fill="F1F5F4"/>
            <w:tcMar>
              <w:top w:w="65" w:type="dxa"/>
              <w:bottom w:w="65" w:type="dxa"/>
              <w:left w:w="85" w:type="dxa"/>
              <w:right w:w="85" w:type="dxa"/>
            </w:tcMar>
          </w:tcPr>
          <w:p>
            <w:pPr>
              <w:spacing w:line="264" w:lineRule="auto" w:after="20" w:before="20"/>
              <w:jc w:val="left"/>
            </w:pPr>
            <w:r>
              <w:rPr>
                <w:rFonts w:ascii="Inter" w:hAnsi="Inter"/>
                <w:b w:val="0"/>
                <w:color w:val="000000"/>
                <w:sz w:val="18"/>
              </w:rPr>
              <w:t>Pfingstferien</w:t>
            </w:r>
          </w:p>
        </w:tc>
        <w:tc>
          <w:tcPr>
            <w:tcW w:type="dxa" w:w="4471"/>
            <w:vAlign w:val="center"/>
            <w:shd w:fill="F1F5F4"/>
            <w:tcMar>
              <w:top w:w="65" w:type="dxa"/>
              <w:bottom w:w="65" w:type="dxa"/>
              <w:left w:w="85" w:type="dxa"/>
              <w:right w:w="85" w:type="dxa"/>
            </w:tcMar>
          </w:tcPr>
          <w:p>
            <w:pPr>
              <w:spacing w:line="264" w:lineRule="auto" w:after="20" w:before="20"/>
              <w:jc w:val="left"/>
            </w:pPr>
            <w:r>
              <w:rPr>
                <w:rFonts w:ascii="Inter" w:hAnsi="Inter"/>
                <w:b w:val="0"/>
                <w:color w:val="000000"/>
                <w:sz w:val="18"/>
              </w:rPr>
              <w:t>18. Mai</w:t>
            </w:r>
          </w:p>
        </w:tc>
      </w:tr>
      <w:tr>
        <w:trPr>
          <w:cantSplit/>
        </w:trPr>
        <w:tc>
          <w:tcPr>
            <w:tcW w:type="dxa" w:w="2300"/>
            <w:vAlign w:val="center"/>
            <w:shd w:fill="FFFFFF"/>
            <w:tcMar>
              <w:top w:w="65" w:type="dxa"/>
              <w:bottom w:w="65" w:type="dxa"/>
              <w:left w:w="85" w:type="dxa"/>
              <w:right w:w="85" w:type="dxa"/>
            </w:tcMar>
          </w:tcPr>
          <w:p>
            <w:pPr>
              <w:spacing w:line="264" w:lineRule="auto" w:after="20" w:before="20"/>
              <w:jc w:val="center"/>
            </w:pPr>
            <w:r>
              <w:rPr>
                <w:rFonts w:ascii="Inter" w:hAnsi="Inter"/>
                <w:b w:val="0"/>
                <w:color w:val="000000"/>
                <w:sz w:val="18"/>
              </w:rPr>
              <w:t>19.07.–31.08.2027</w:t>
            </w:r>
          </w:p>
        </w:tc>
        <w:tc>
          <w:tcPr>
            <w:tcW w:type="dxa" w:w="2300"/>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Sommerferien</w:t>
            </w:r>
          </w:p>
        </w:tc>
        <w:tc>
          <w:tcPr>
            <w:tcW w:type="dxa" w:w="4471"/>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20. und 27. Juli; 3., 10., 17., 24. und 31. August</w:t>
            </w:r>
          </w:p>
        </w:tc>
      </w:tr>
      <w:tr>
        <w:trPr>
          <w:cantSplit/>
        </w:trPr>
        <w:tc>
          <w:tcPr>
            <w:tcW w:type="dxa" w:w="2300"/>
            <w:vAlign w:val="center"/>
            <w:shd w:fill="F1F5F4"/>
            <w:tcMar>
              <w:top w:w="65" w:type="dxa"/>
              <w:bottom w:w="65" w:type="dxa"/>
              <w:left w:w="85" w:type="dxa"/>
              <w:right w:w="85" w:type="dxa"/>
            </w:tcMar>
          </w:tcPr>
          <w:p>
            <w:pPr>
              <w:spacing w:line="264" w:lineRule="auto" w:after="20" w:before="20"/>
              <w:jc w:val="center"/>
            </w:pPr>
            <w:r>
              <w:rPr>
                <w:rFonts w:ascii="Inter" w:hAnsi="Inter"/>
                <w:b w:val="0"/>
                <w:color w:val="000000"/>
                <w:sz w:val="18"/>
              </w:rPr>
              <w:t>23.10.–06.11.2027</w:t>
            </w:r>
          </w:p>
        </w:tc>
        <w:tc>
          <w:tcPr>
            <w:tcW w:type="dxa" w:w="2300"/>
            <w:vAlign w:val="center"/>
            <w:shd w:fill="F1F5F4"/>
            <w:tcMar>
              <w:top w:w="65" w:type="dxa"/>
              <w:bottom w:w="65" w:type="dxa"/>
              <w:left w:w="85" w:type="dxa"/>
              <w:right w:w="85" w:type="dxa"/>
            </w:tcMar>
          </w:tcPr>
          <w:p>
            <w:pPr>
              <w:spacing w:line="264" w:lineRule="auto" w:after="20" w:before="20"/>
              <w:jc w:val="left"/>
            </w:pPr>
            <w:r>
              <w:rPr>
                <w:rFonts w:ascii="Inter" w:hAnsi="Inter"/>
                <w:b w:val="0"/>
                <w:color w:val="000000"/>
                <w:sz w:val="18"/>
              </w:rPr>
              <w:t>Herbstferien</w:t>
            </w:r>
          </w:p>
        </w:tc>
        <w:tc>
          <w:tcPr>
            <w:tcW w:type="dxa" w:w="4471"/>
            <w:vAlign w:val="center"/>
            <w:shd w:fill="F1F5F4"/>
            <w:tcMar>
              <w:top w:w="65" w:type="dxa"/>
              <w:bottom w:w="65" w:type="dxa"/>
              <w:left w:w="85" w:type="dxa"/>
              <w:right w:w="85" w:type="dxa"/>
            </w:tcMar>
          </w:tcPr>
          <w:p>
            <w:pPr>
              <w:spacing w:line="264" w:lineRule="auto" w:after="20" w:before="20"/>
              <w:jc w:val="left"/>
            </w:pPr>
            <w:r>
              <w:rPr>
                <w:rFonts w:ascii="Inter" w:hAnsi="Inter"/>
                <w:b w:val="0"/>
                <w:color w:val="000000"/>
                <w:sz w:val="18"/>
              </w:rPr>
              <w:t>26. Oktober und 2. November</w:t>
            </w:r>
          </w:p>
        </w:tc>
      </w:tr>
      <w:tr>
        <w:trPr>
          <w:cantSplit/>
        </w:trPr>
        <w:tc>
          <w:tcPr>
            <w:tcW w:type="dxa" w:w="2300"/>
            <w:vAlign w:val="center"/>
            <w:shd w:fill="FFFFFF"/>
            <w:tcMar>
              <w:top w:w="65" w:type="dxa"/>
              <w:bottom w:w="65" w:type="dxa"/>
              <w:left w:w="85" w:type="dxa"/>
              <w:right w:w="85" w:type="dxa"/>
            </w:tcMar>
          </w:tcPr>
          <w:p>
            <w:pPr>
              <w:spacing w:line="264" w:lineRule="auto" w:after="20" w:before="20"/>
              <w:jc w:val="center"/>
            </w:pPr>
            <w:r>
              <w:rPr>
                <w:rFonts w:ascii="Inter" w:hAnsi="Inter"/>
                <w:b w:val="0"/>
                <w:color w:val="000000"/>
                <w:sz w:val="18"/>
              </w:rPr>
              <w:t>24.12.2027–08.01.2028</w:t>
            </w:r>
          </w:p>
        </w:tc>
        <w:tc>
          <w:tcPr>
            <w:tcW w:type="dxa" w:w="2300"/>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Weihnachtsferien</w:t>
            </w:r>
          </w:p>
        </w:tc>
        <w:tc>
          <w:tcPr>
            <w:tcW w:type="dxa" w:w="4471"/>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28. Dezember und 4. Januar</w:t>
            </w:r>
          </w:p>
        </w:tc>
      </w:tr>
    </w:tbl>
    <w:p>
      <w:pPr>
        <w:keepLines/>
      </w:pPr>
      <w:r>
        <w:t>Rosenmontag und Faschingsdienstag sind schulfrei: 8./9. Februar 2027 sowie 28./29. Februar 2028. Beide Terminpaare liegen außerhalb dieses Kursdurchgangs. Gesetzliche Feiertage sind zusätzlich im Monatskalender ausgewiesen; sie verursachen im Kurszeitraum keinen weiteren Dienstagsausfall.</w:t>
      </w:r>
    </w:p>
    <w:p>
      <w:pPr>
        <w:keepLines/>
      </w:pPr>
      <w:r>
        <w:t>Bewegliche Ferientage außer Rosenmontag und Faschingsdienstag, pädagogische Tage und Klausurüberschneidungen sind noch offen. Notenschlüsse am 02.07.2027 und 21.01.2028 sind Planungstermine, jeweils zwei Wochen vor dem letzten Schultag; schulische Festlegungen haben Vorrang.</w:t>
      </w:r>
    </w:p>
    <w:p>
      <w:pPr>
        <w:keepLines/>
      </w:pPr>
      <w:r>
        <w:t>Bei zusätzlichen Ausfällen werden zuerst Puffer eingesetzt und Arbeitsumfang sowie Meilensteine angepasst. Die Dokumentation und die Vorstellungen müssen rechtzeitig vor dem bestätigten Notenschluss abgeschlossen sein. Ferien werden dadurch nicht zu verpflichtender Arbeitszeit.</w:t>
      </w:r>
    </w:p>
    <w:p>
      <w:pPr>
        <w:keepLines/>
      </w:pPr>
      <w:hyperlink r:id="rIdCalendar21">
        <w:r>
          <w:rPr>
            <w:rStyle w:val="Hyperlink"/>
          </w:rPr>
          <w:t>Externe Termin- und Rechtsgrundlage: NRW-Ferien und Halbjahreszeugnisse</w:t>
        </w:r>
      </w:hyperlink>
    </w:p>
    <w:p>
      <w:pPr>
        <w:keepLines/>
      </w:pPr>
      <w:hyperlink r:id="rIdCalendar22">
        <w:r>
          <w:rPr>
            <w:rStyle w:val="Hyperlink"/>
          </w:rPr>
          <w:t>Externe Termin- und Rechtsgrundlage: Bisherige APO-GOSt · § 14 Absatz 7 und VV 14.7</w:t>
        </w:r>
      </w:hyperlink>
    </w:p>
    <w:p>
      <w:pPr>
        <w:keepLines/>
      </w:pPr>
      <w:r>
        <w:t>Die Zeitangaben der folgenden Module beschreiben das künftige dreistündige Q2-Modell. Im zweistündigen Durchgang 2027/28 werden die Kompetenzen nach Kapitel 5.1 gebündelt: M1 bis M5 führen zu Produkt 1, M6 bis M8 zu Produkt 2 und seiner fachlichen Vertiefung. Beide Produkte mit fachlicher Begleitung und individuellen Nachweisen bilden die Jahresdokumentation. Nach dem ersten Kurshalbjahr wird keine Kursnote erteilt.</w:t>
      </w:r>
    </w:p>
    <w:p>
      <w:pPr>
        <w:pStyle w:val="Heading3"/>
        <w:spacing w:before="260" w:after="140"/>
        <w:keepLines/>
        <w:jc w:val="left"/>
        <w:pageBreakBefore/>
      </w:pPr>
      <w:r>
        <w:t>5.2 Zukunftsmodell ab dem regulären Q2 Jahrgang 2029/30</w:t>
      </w:r>
    </w:p>
    <w:p>
      <w:pPr>
        <w:keepLines/>
      </w:pPr>
      <w:r>
        <w:t>Für das neue dreistündige Q2-Modell umfasst die Planung beispielhaft 90 Unterrichtsstunden zu 45 Minuten: 54 Stunden in Q2.1, 30 Stunden in Q2.2 und sechs Stunden Reserve. Sie wird zu Beginn an den tatsächlichen Schul- und Abiturkalender angepasst. Das zweite Produkt und seine Vorstellung müssen vor dem für den Abiturjahrgang amtlich festgelegten Ende der Leistungsbewertung abgeschlossen sein. Nach dem Ende des regulären Unterrichts wird keine zusätzliche Produktionsphase vorausgesetzt.</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34"/>
        <w:gridCol w:w="1134"/>
        <w:gridCol w:w="6803"/>
      </w:tblGrid>
      <w:tr>
        <w:trPr>
          <w:cantSplit/>
          <w:tblHeader/>
        </w:trPr>
        <w:tc>
          <w:tcPr>
            <w:tcW w:type="dxa" w:w="1134"/>
            <w:vAlign w:val="center"/>
            <w:shd w:fill="DDE9EC"/>
            <w:tcMar>
              <w:top w:w="65" w:type="dxa"/>
              <w:bottom w:w="65" w:type="dxa"/>
              <w:left w:w="85" w:type="dxa"/>
              <w:right w:w="85" w:type="dxa"/>
            </w:tcMar>
          </w:tcPr>
          <w:p>
            <w:pPr>
              <w:keepNext/>
              <w:spacing w:line="264" w:lineRule="auto" w:after="20" w:before="20"/>
              <w:jc w:val="center"/>
            </w:pPr>
            <w:r>
              <w:rPr>
                <w:rFonts w:ascii="Inter" w:hAnsi="Inter"/>
                <w:b/>
                <w:color w:val="000000"/>
                <w:sz w:val="18"/>
              </w:rPr>
              <w:t>Modul</w:t>
            </w:r>
          </w:p>
        </w:tc>
        <w:tc>
          <w:tcPr>
            <w:tcW w:type="dxa" w:w="1134"/>
            <w:vAlign w:val="center"/>
            <w:shd w:fill="DDE9EC"/>
            <w:tcMar>
              <w:top w:w="65" w:type="dxa"/>
              <w:bottom w:w="65" w:type="dxa"/>
              <w:left w:w="85" w:type="dxa"/>
              <w:right w:w="85" w:type="dxa"/>
            </w:tcMar>
          </w:tcPr>
          <w:p>
            <w:pPr>
              <w:keepNext/>
              <w:spacing w:line="264" w:lineRule="auto" w:after="20" w:before="20"/>
              <w:jc w:val="center"/>
            </w:pPr>
            <w:r>
              <w:rPr>
                <w:rFonts w:ascii="Inter" w:hAnsi="Inter"/>
                <w:b/>
                <w:color w:val="000000"/>
                <w:sz w:val="18"/>
              </w:rPr>
              <w:t>Zeit</w:t>
            </w:r>
          </w:p>
        </w:tc>
        <w:tc>
          <w:tcPr>
            <w:tcW w:type="dxa" w:w="6803"/>
            <w:vAlign w:val="center"/>
            <w:shd w:fill="DDE9EC"/>
            <w:tcMar>
              <w:top w:w="65" w:type="dxa"/>
              <w:bottom w:w="65" w:type="dxa"/>
              <w:left w:w="85" w:type="dxa"/>
              <w:right w:w="85" w:type="dxa"/>
            </w:tcMar>
          </w:tcPr>
          <w:p>
            <w:pPr>
              <w:keepNext/>
              <w:spacing w:line="264" w:lineRule="auto" w:after="20" w:before="20"/>
              <w:jc w:val="left"/>
            </w:pPr>
            <w:r>
              <w:rPr>
                <w:rFonts w:ascii="Inter" w:hAnsi="Inter"/>
                <w:b/>
                <w:color w:val="000000"/>
                <w:sz w:val="18"/>
              </w:rPr>
              <w:t>Schwerpunkt und verbindlicher Zwischenstand</w:t>
            </w:r>
          </w:p>
        </w:tc>
      </w:tr>
      <w:tr>
        <w:trPr>
          <w:cantSplit/>
        </w:trPr>
        <w:tc>
          <w:tcPr>
            <w:tcW w:type="dxa" w:w="1134"/>
            <w:vAlign w:val="center"/>
            <w:shd w:fill="FFFFFF"/>
            <w:tcMar>
              <w:top w:w="65" w:type="dxa"/>
              <w:bottom w:w="65" w:type="dxa"/>
              <w:left w:w="85" w:type="dxa"/>
              <w:right w:w="85" w:type="dxa"/>
            </w:tcMar>
          </w:tcPr>
          <w:p>
            <w:pPr>
              <w:spacing w:line="264" w:lineRule="auto" w:after="20" w:before="20"/>
              <w:jc w:val="center"/>
            </w:pPr>
            <w:r>
              <w:rPr>
                <w:rFonts w:ascii="Inter" w:hAnsi="Inter"/>
                <w:b w:val="0"/>
                <w:color w:val="000000"/>
                <w:sz w:val="18"/>
              </w:rPr>
              <w:t>M1</w:t>
            </w:r>
          </w:p>
        </w:tc>
        <w:tc>
          <w:tcPr>
            <w:tcW w:type="dxa" w:w="1134"/>
            <w:vAlign w:val="center"/>
            <w:shd w:fill="FFFFFF"/>
            <w:tcMar>
              <w:top w:w="65" w:type="dxa"/>
              <w:bottom w:w="65" w:type="dxa"/>
              <w:left w:w="85" w:type="dxa"/>
              <w:right w:w="85" w:type="dxa"/>
            </w:tcMar>
          </w:tcPr>
          <w:p>
            <w:pPr>
              <w:spacing w:line="264" w:lineRule="auto" w:after="20" w:before="20"/>
              <w:jc w:val="center"/>
            </w:pPr>
            <w:r>
              <w:rPr>
                <w:rFonts w:ascii="Inter" w:hAnsi="Inter"/>
                <w:b w:val="0"/>
                <w:color w:val="000000"/>
                <w:sz w:val="18"/>
              </w:rPr>
              <w:t>6 UE</w:t>
            </w:r>
          </w:p>
        </w:tc>
        <w:tc>
          <w:tcPr>
            <w:tcW w:type="dxa" w:w="6803"/>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Wissenschaftskommunikation verstehen; Lernstand, Miniprojekt und Arbeitsregeln</w:t>
            </w:r>
          </w:p>
        </w:tc>
      </w:tr>
      <w:tr>
        <w:trPr>
          <w:cantSplit/>
        </w:trPr>
        <w:tc>
          <w:tcPr>
            <w:tcW w:type="dxa" w:w="1134"/>
            <w:vAlign w:val="center"/>
            <w:shd w:fill="F5F8F9"/>
            <w:tcMar>
              <w:top w:w="65" w:type="dxa"/>
              <w:bottom w:w="65" w:type="dxa"/>
              <w:left w:w="85" w:type="dxa"/>
              <w:right w:w="85" w:type="dxa"/>
            </w:tcMar>
          </w:tcPr>
          <w:p>
            <w:pPr>
              <w:spacing w:line="264" w:lineRule="auto" w:after="20" w:before="20"/>
              <w:jc w:val="center"/>
            </w:pPr>
            <w:r>
              <w:rPr>
                <w:rFonts w:ascii="Inter" w:hAnsi="Inter"/>
                <w:b w:val="0"/>
                <w:color w:val="000000"/>
                <w:sz w:val="18"/>
              </w:rPr>
              <w:t>M2</w:t>
            </w:r>
          </w:p>
        </w:tc>
        <w:tc>
          <w:tcPr>
            <w:tcW w:type="dxa" w:w="1134"/>
            <w:vAlign w:val="center"/>
            <w:shd w:fill="F5F8F9"/>
            <w:tcMar>
              <w:top w:w="65" w:type="dxa"/>
              <w:bottom w:w="65" w:type="dxa"/>
              <w:left w:w="85" w:type="dxa"/>
              <w:right w:w="85" w:type="dxa"/>
            </w:tcMar>
          </w:tcPr>
          <w:p>
            <w:pPr>
              <w:spacing w:line="264" w:lineRule="auto" w:after="20" w:before="20"/>
              <w:jc w:val="center"/>
            </w:pPr>
            <w:r>
              <w:rPr>
                <w:rFonts w:ascii="Inter" w:hAnsi="Inter"/>
                <w:b w:val="0"/>
                <w:color w:val="000000"/>
                <w:sz w:val="18"/>
              </w:rPr>
              <w:t>9 UE</w:t>
            </w:r>
          </w:p>
        </w:tc>
        <w:tc>
          <w:tcPr>
            <w:tcW w:type="dxa" w:w="6803"/>
            <w:vAlign w:val="center"/>
            <w:shd w:fill="F5F8F9"/>
            <w:tcMar>
              <w:top w:w="65" w:type="dxa"/>
              <w:bottom w:w="65" w:type="dxa"/>
              <w:left w:w="85" w:type="dxa"/>
              <w:right w:w="85" w:type="dxa"/>
            </w:tcMar>
          </w:tcPr>
          <w:p>
            <w:pPr>
              <w:spacing w:line="264" w:lineRule="auto" w:after="20" w:before="20"/>
              <w:jc w:val="left"/>
            </w:pPr>
            <w:r>
              <w:rPr>
                <w:rFonts w:ascii="Inter" w:hAnsi="Inter"/>
                <w:b w:val="0"/>
                <w:color w:val="000000"/>
                <w:sz w:val="18"/>
              </w:rPr>
              <w:t>Wissenschaft und Quellen prüfen; annotierte Quellenliste und Belegmatrix</w:t>
            </w:r>
          </w:p>
        </w:tc>
      </w:tr>
      <w:tr>
        <w:trPr>
          <w:cantSplit/>
        </w:trPr>
        <w:tc>
          <w:tcPr>
            <w:tcW w:type="dxa" w:w="1134"/>
            <w:vAlign w:val="center"/>
            <w:shd w:fill="FFFFFF"/>
            <w:tcMar>
              <w:top w:w="65" w:type="dxa"/>
              <w:bottom w:w="65" w:type="dxa"/>
              <w:left w:w="85" w:type="dxa"/>
              <w:right w:w="85" w:type="dxa"/>
            </w:tcMar>
          </w:tcPr>
          <w:p>
            <w:pPr>
              <w:spacing w:line="264" w:lineRule="auto" w:after="20" w:before="20"/>
              <w:jc w:val="center"/>
            </w:pPr>
            <w:r>
              <w:rPr>
                <w:rFonts w:ascii="Inter" w:hAnsi="Inter"/>
                <w:b w:val="0"/>
                <w:color w:val="000000"/>
                <w:sz w:val="18"/>
              </w:rPr>
              <w:t>M3</w:t>
            </w:r>
          </w:p>
        </w:tc>
        <w:tc>
          <w:tcPr>
            <w:tcW w:type="dxa" w:w="1134"/>
            <w:vAlign w:val="center"/>
            <w:shd w:fill="FFFFFF"/>
            <w:tcMar>
              <w:top w:w="65" w:type="dxa"/>
              <w:bottom w:w="65" w:type="dxa"/>
              <w:left w:w="85" w:type="dxa"/>
              <w:right w:w="85" w:type="dxa"/>
            </w:tcMar>
          </w:tcPr>
          <w:p>
            <w:pPr>
              <w:spacing w:line="264" w:lineRule="auto" w:after="20" w:before="20"/>
              <w:jc w:val="center"/>
            </w:pPr>
            <w:r>
              <w:rPr>
                <w:rFonts w:ascii="Inter" w:hAnsi="Inter"/>
                <w:b w:val="0"/>
                <w:color w:val="000000"/>
                <w:sz w:val="18"/>
              </w:rPr>
              <w:t>12 UE</w:t>
            </w:r>
          </w:p>
        </w:tc>
        <w:tc>
          <w:tcPr>
            <w:tcW w:type="dxa" w:w="6803"/>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Zielgruppe, Thema und Format; genehmigter Projektantrag und überprüfbarer Prototyp</w:t>
            </w:r>
          </w:p>
        </w:tc>
      </w:tr>
      <w:tr>
        <w:trPr>
          <w:cantSplit/>
        </w:trPr>
        <w:tc>
          <w:tcPr>
            <w:tcW w:type="dxa" w:w="1134"/>
            <w:vAlign w:val="center"/>
            <w:shd w:fill="F5F8F9"/>
            <w:tcMar>
              <w:top w:w="65" w:type="dxa"/>
              <w:bottom w:w="65" w:type="dxa"/>
              <w:left w:w="85" w:type="dxa"/>
              <w:right w:w="85" w:type="dxa"/>
            </w:tcMar>
          </w:tcPr>
          <w:p>
            <w:pPr>
              <w:spacing w:line="264" w:lineRule="auto" w:after="20" w:before="20"/>
              <w:jc w:val="center"/>
            </w:pPr>
            <w:r>
              <w:rPr>
                <w:rFonts w:ascii="Inter" w:hAnsi="Inter"/>
                <w:b w:val="0"/>
                <w:color w:val="000000"/>
                <w:sz w:val="18"/>
              </w:rPr>
              <w:t>M4</w:t>
            </w:r>
          </w:p>
        </w:tc>
        <w:tc>
          <w:tcPr>
            <w:tcW w:type="dxa" w:w="1134"/>
            <w:vAlign w:val="center"/>
            <w:shd w:fill="F5F8F9"/>
            <w:tcMar>
              <w:top w:w="65" w:type="dxa"/>
              <w:bottom w:w="65" w:type="dxa"/>
              <w:left w:w="85" w:type="dxa"/>
              <w:right w:w="85" w:type="dxa"/>
            </w:tcMar>
          </w:tcPr>
          <w:p>
            <w:pPr>
              <w:spacing w:line="264" w:lineRule="auto" w:after="20" w:before="20"/>
              <w:jc w:val="center"/>
            </w:pPr>
            <w:r>
              <w:rPr>
                <w:rFonts w:ascii="Inter" w:hAnsi="Inter"/>
                <w:b w:val="0"/>
                <w:color w:val="000000"/>
                <w:sz w:val="18"/>
              </w:rPr>
              <w:t>12 UE</w:t>
            </w:r>
          </w:p>
        </w:tc>
        <w:tc>
          <w:tcPr>
            <w:tcW w:type="dxa" w:w="6803"/>
            <w:vAlign w:val="center"/>
            <w:shd w:fill="F5F8F9"/>
            <w:tcMar>
              <w:top w:w="65" w:type="dxa"/>
              <w:bottom w:w="65" w:type="dxa"/>
              <w:left w:w="85" w:type="dxa"/>
              <w:right w:w="85" w:type="dxa"/>
            </w:tcMar>
          </w:tcPr>
          <w:p>
            <w:pPr>
              <w:spacing w:line="264" w:lineRule="auto" w:after="20" w:before="20"/>
              <w:jc w:val="left"/>
            </w:pPr>
            <w:r>
              <w:rPr>
                <w:rFonts w:ascii="Inter" w:hAnsi="Inter"/>
                <w:b w:val="0"/>
                <w:color w:val="000000"/>
                <w:sz w:val="18"/>
              </w:rPr>
              <w:t>Fachlich korrekt erklären; Skript, Storyboard und begründete Reduktion</w:t>
            </w:r>
          </w:p>
        </w:tc>
      </w:tr>
      <w:tr>
        <w:trPr>
          <w:cantSplit/>
        </w:trPr>
        <w:tc>
          <w:tcPr>
            <w:tcW w:type="dxa" w:w="1134"/>
            <w:vAlign w:val="center"/>
            <w:shd w:fill="FFFFFF"/>
            <w:tcMar>
              <w:top w:w="65" w:type="dxa"/>
              <w:bottom w:w="65" w:type="dxa"/>
              <w:left w:w="85" w:type="dxa"/>
              <w:right w:w="85" w:type="dxa"/>
            </w:tcMar>
          </w:tcPr>
          <w:p>
            <w:pPr>
              <w:spacing w:line="264" w:lineRule="auto" w:after="20" w:before="20"/>
              <w:jc w:val="center"/>
            </w:pPr>
            <w:r>
              <w:rPr>
                <w:rFonts w:ascii="Inter" w:hAnsi="Inter"/>
                <w:b w:val="0"/>
                <w:color w:val="000000"/>
                <w:sz w:val="18"/>
              </w:rPr>
              <w:t>M5</w:t>
            </w:r>
          </w:p>
        </w:tc>
        <w:tc>
          <w:tcPr>
            <w:tcW w:type="dxa" w:w="1134"/>
            <w:vAlign w:val="center"/>
            <w:shd w:fill="FFFFFF"/>
            <w:tcMar>
              <w:top w:w="65" w:type="dxa"/>
              <w:bottom w:w="65" w:type="dxa"/>
              <w:left w:w="85" w:type="dxa"/>
              <w:right w:w="85" w:type="dxa"/>
            </w:tcMar>
          </w:tcPr>
          <w:p>
            <w:pPr>
              <w:spacing w:line="264" w:lineRule="auto" w:after="20" w:before="20"/>
              <w:jc w:val="center"/>
            </w:pPr>
            <w:r>
              <w:rPr>
                <w:rFonts w:ascii="Inter" w:hAnsi="Inter"/>
                <w:b w:val="0"/>
                <w:color w:val="000000"/>
                <w:sz w:val="18"/>
              </w:rPr>
              <w:t>15 UE</w:t>
            </w:r>
          </w:p>
        </w:tc>
        <w:tc>
          <w:tcPr>
            <w:tcW w:type="dxa" w:w="6803"/>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Produkt 1 erproben, überarbeiten, vorstellen und reflektieren; Abschluss Q2.1</w:t>
            </w:r>
          </w:p>
        </w:tc>
      </w:tr>
      <w:tr>
        <w:trPr>
          <w:cantSplit/>
        </w:trPr>
        <w:tc>
          <w:tcPr>
            <w:tcW w:type="dxa" w:w="1134"/>
            <w:vAlign w:val="center"/>
            <w:shd w:fill="F5F8F9"/>
            <w:tcMar>
              <w:top w:w="65" w:type="dxa"/>
              <w:bottom w:w="65" w:type="dxa"/>
              <w:left w:w="85" w:type="dxa"/>
              <w:right w:w="85" w:type="dxa"/>
            </w:tcMar>
          </w:tcPr>
          <w:p>
            <w:pPr>
              <w:spacing w:line="264" w:lineRule="auto" w:after="20" w:before="20"/>
              <w:jc w:val="center"/>
            </w:pPr>
            <w:r>
              <w:rPr>
                <w:rFonts w:ascii="Inter" w:hAnsi="Inter"/>
                <w:b w:val="0"/>
                <w:color w:val="000000"/>
                <w:sz w:val="18"/>
              </w:rPr>
              <w:t>M6</w:t>
            </w:r>
          </w:p>
        </w:tc>
        <w:tc>
          <w:tcPr>
            <w:tcW w:type="dxa" w:w="1134"/>
            <w:vAlign w:val="center"/>
            <w:shd w:fill="F5F8F9"/>
            <w:tcMar>
              <w:top w:w="65" w:type="dxa"/>
              <w:bottom w:w="65" w:type="dxa"/>
              <w:left w:w="85" w:type="dxa"/>
              <w:right w:w="85" w:type="dxa"/>
            </w:tcMar>
          </w:tcPr>
          <w:p>
            <w:pPr>
              <w:spacing w:line="264" w:lineRule="auto" w:after="20" w:before="20"/>
              <w:jc w:val="center"/>
            </w:pPr>
            <w:r>
              <w:rPr>
                <w:rFonts w:ascii="Inter" w:hAnsi="Inter"/>
                <w:b w:val="0"/>
                <w:color w:val="000000"/>
                <w:sz w:val="18"/>
              </w:rPr>
              <w:t>6 UE</w:t>
            </w:r>
          </w:p>
        </w:tc>
        <w:tc>
          <w:tcPr>
            <w:tcW w:type="dxa" w:w="6803"/>
            <w:vAlign w:val="center"/>
            <w:shd w:fill="F5F8F9"/>
            <w:tcMar>
              <w:top w:w="65" w:type="dxa"/>
              <w:bottom w:w="65" w:type="dxa"/>
              <w:left w:w="85" w:type="dxa"/>
              <w:right w:w="85" w:type="dxa"/>
            </w:tcMar>
          </w:tcPr>
          <w:p>
            <w:pPr>
              <w:spacing w:line="264" w:lineRule="auto" w:after="20" w:before="20"/>
              <w:jc w:val="left"/>
            </w:pPr>
            <w:r>
              <w:rPr>
                <w:rFonts w:ascii="Inter" w:hAnsi="Inter"/>
                <w:b w:val="0"/>
                <w:color w:val="000000"/>
                <w:sz w:val="18"/>
              </w:rPr>
              <w:t>Vertiefungsfrage und Transfer für Produkt 2 festlegen; neuer Projektplan</w:t>
            </w:r>
          </w:p>
        </w:tc>
      </w:tr>
      <w:tr>
        <w:trPr>
          <w:cantSplit/>
        </w:trPr>
        <w:tc>
          <w:tcPr>
            <w:tcW w:type="dxa" w:w="1134"/>
            <w:vAlign w:val="center"/>
            <w:shd w:fill="FFFFFF"/>
            <w:tcMar>
              <w:top w:w="65" w:type="dxa"/>
              <w:bottom w:w="65" w:type="dxa"/>
              <w:left w:w="85" w:type="dxa"/>
              <w:right w:w="85" w:type="dxa"/>
            </w:tcMar>
          </w:tcPr>
          <w:p>
            <w:pPr>
              <w:spacing w:line="264" w:lineRule="auto" w:after="20" w:before="20"/>
              <w:jc w:val="center"/>
            </w:pPr>
            <w:r>
              <w:rPr>
                <w:rFonts w:ascii="Inter" w:hAnsi="Inter"/>
                <w:b w:val="0"/>
                <w:color w:val="000000"/>
                <w:sz w:val="18"/>
              </w:rPr>
              <w:t>M7</w:t>
            </w:r>
          </w:p>
        </w:tc>
        <w:tc>
          <w:tcPr>
            <w:tcW w:type="dxa" w:w="1134"/>
            <w:vAlign w:val="center"/>
            <w:shd w:fill="FFFFFF"/>
            <w:tcMar>
              <w:top w:w="65" w:type="dxa"/>
              <w:bottom w:w="65" w:type="dxa"/>
              <w:left w:w="85" w:type="dxa"/>
              <w:right w:w="85" w:type="dxa"/>
            </w:tcMar>
          </w:tcPr>
          <w:p>
            <w:pPr>
              <w:spacing w:line="264" w:lineRule="auto" w:after="20" w:before="20"/>
              <w:jc w:val="center"/>
            </w:pPr>
            <w:r>
              <w:rPr>
                <w:rFonts w:ascii="Inter" w:hAnsi="Inter"/>
                <w:b w:val="0"/>
                <w:color w:val="000000"/>
                <w:sz w:val="18"/>
              </w:rPr>
              <w:t>18 UE</w:t>
            </w:r>
          </w:p>
        </w:tc>
        <w:tc>
          <w:tcPr>
            <w:tcW w:type="dxa" w:w="6803"/>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Produkt 2 entwickeln, testen, prüfen und vorstellen; Abschluss Q2.2</w:t>
            </w:r>
          </w:p>
        </w:tc>
      </w:tr>
      <w:tr>
        <w:trPr>
          <w:cantSplit/>
        </w:trPr>
        <w:tc>
          <w:tcPr>
            <w:tcW w:type="dxa" w:w="1134"/>
            <w:vAlign w:val="center"/>
            <w:shd w:fill="F5F8F9"/>
            <w:tcMar>
              <w:top w:w="65" w:type="dxa"/>
              <w:bottom w:w="65" w:type="dxa"/>
              <w:left w:w="85" w:type="dxa"/>
              <w:right w:w="85" w:type="dxa"/>
            </w:tcMar>
          </w:tcPr>
          <w:p>
            <w:pPr>
              <w:spacing w:line="264" w:lineRule="auto" w:after="20" w:before="20"/>
              <w:jc w:val="center"/>
            </w:pPr>
            <w:r>
              <w:rPr>
                <w:rFonts w:ascii="Inter" w:hAnsi="Inter"/>
                <w:b w:val="0"/>
                <w:color w:val="000000"/>
                <w:sz w:val="18"/>
              </w:rPr>
              <w:t>M8</w:t>
            </w:r>
          </w:p>
        </w:tc>
        <w:tc>
          <w:tcPr>
            <w:tcW w:type="dxa" w:w="1134"/>
            <w:vAlign w:val="center"/>
            <w:shd w:fill="F5F8F9"/>
            <w:tcMar>
              <w:top w:w="65" w:type="dxa"/>
              <w:bottom w:w="65" w:type="dxa"/>
              <w:left w:w="85" w:type="dxa"/>
              <w:right w:w="85" w:type="dxa"/>
            </w:tcMar>
          </w:tcPr>
          <w:p>
            <w:pPr>
              <w:spacing w:line="264" w:lineRule="auto" w:after="20" w:before="20"/>
              <w:jc w:val="center"/>
            </w:pPr>
            <w:r>
              <w:rPr>
                <w:rFonts w:ascii="Inter" w:hAnsi="Inter"/>
                <w:b w:val="0"/>
                <w:color w:val="000000"/>
                <w:sz w:val="18"/>
              </w:rPr>
              <w:t>6 UE</w:t>
            </w:r>
          </w:p>
        </w:tc>
        <w:tc>
          <w:tcPr>
            <w:tcW w:type="dxa" w:w="6803"/>
            <w:vAlign w:val="center"/>
            <w:shd w:fill="F5F8F9"/>
            <w:tcMar>
              <w:top w:w="65" w:type="dxa"/>
              <w:bottom w:w="65" w:type="dxa"/>
              <w:left w:w="85" w:type="dxa"/>
              <w:right w:w="85" w:type="dxa"/>
            </w:tcMar>
          </w:tcPr>
          <w:p>
            <w:pPr>
              <w:spacing w:line="264" w:lineRule="auto" w:after="20" w:before="20"/>
              <w:jc w:val="left"/>
            </w:pPr>
            <w:r>
              <w:rPr>
                <w:rFonts w:ascii="Inter" w:hAnsi="Inter"/>
                <w:b w:val="0"/>
                <w:color w:val="000000"/>
                <w:sz w:val="18"/>
              </w:rPr>
              <w:t>Projekte vergleichen, Erkenntnisse übertragen und reflektiert präsentieren</w:t>
            </w:r>
          </w:p>
        </w:tc>
      </w:tr>
      <w:tr>
        <w:trPr>
          <w:cantSplit/>
        </w:trPr>
        <w:tc>
          <w:tcPr>
            <w:tcW w:type="dxa" w:w="1134"/>
            <w:vAlign w:val="center"/>
            <w:shd w:fill="FFFFFF"/>
            <w:tcMar>
              <w:top w:w="65" w:type="dxa"/>
              <w:bottom w:w="65" w:type="dxa"/>
              <w:left w:w="85" w:type="dxa"/>
              <w:right w:w="85" w:type="dxa"/>
            </w:tcMar>
          </w:tcPr>
          <w:p>
            <w:pPr>
              <w:spacing w:line="264" w:lineRule="auto" w:after="20" w:before="20"/>
              <w:jc w:val="center"/>
            </w:pPr>
            <w:r>
              <w:rPr>
                <w:rFonts w:ascii="Inter" w:hAnsi="Inter"/>
                <w:b w:val="0"/>
                <w:color w:val="000000"/>
                <w:sz w:val="18"/>
              </w:rPr>
              <w:t>Reserve</w:t>
            </w:r>
          </w:p>
        </w:tc>
        <w:tc>
          <w:tcPr>
            <w:tcW w:type="dxa" w:w="1134"/>
            <w:vAlign w:val="center"/>
            <w:shd w:fill="FFFFFF"/>
            <w:tcMar>
              <w:top w:w="65" w:type="dxa"/>
              <w:bottom w:w="65" w:type="dxa"/>
              <w:left w:w="85" w:type="dxa"/>
              <w:right w:w="85" w:type="dxa"/>
            </w:tcMar>
          </w:tcPr>
          <w:p>
            <w:pPr>
              <w:spacing w:line="264" w:lineRule="auto" w:after="20" w:before="20"/>
              <w:jc w:val="center"/>
            </w:pPr>
            <w:r>
              <w:rPr>
                <w:rFonts w:ascii="Inter" w:hAnsi="Inter"/>
                <w:b w:val="0"/>
                <w:color w:val="000000"/>
                <w:sz w:val="18"/>
              </w:rPr>
              <w:t>6 UE</w:t>
            </w:r>
          </w:p>
        </w:tc>
        <w:tc>
          <w:tcPr>
            <w:tcW w:type="dxa" w:w="6803"/>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Ausfälle, zusätzliche Erprobung, individuelle Beratung und technische Absicherung</w:t>
            </w:r>
          </w:p>
        </w:tc>
      </w:tr>
    </w:tbl>
    <w:p>
      <w:pPr>
        <w:spacing w:after="0" w:before="0" w:line="240" w:lineRule="auto"/>
      </w:pPr>
      <w:r>
        <w:rPr>
          <w:sz w:val="6"/>
        </w:rPr>
      </w:r>
    </w:p>
    <w:p>
      <w:pPr>
        <w:pStyle w:val="Heading3"/>
        <w:spacing w:before="260" w:after="140"/>
        <w:keepLines/>
        <w:jc w:val="left"/>
      </w:pPr>
      <w:r>
        <w:t>Zwei Produkte mit erkennbarer Progression</w:t>
      </w:r>
    </w:p>
    <w:p>
      <w:pPr>
        <w:keepLines/>
      </w:pPr>
      <w:r>
        <w:t>Produkt 1 beantwortet eine abgegrenzte fachliche Frage und besitzt bereits einen eigenständig prüfbaren Kommunikationswert. Ein Prototyp kann geeignet sein, wenn sein Umfang, sein fachlicher Gehalt und seine Vorstellung vorab als bewertbare Leistung vereinbart sind. Eine bloße Ideensammlung oder Terminliste reicht nicht.</w:t>
      </w:r>
    </w:p>
    <w:p>
      <w:pPr>
        <w:keepLines/>
      </w:pPr>
      <w:r>
        <w:t>Produkt 2 knüpft an die fachlichen und methodischen Erfahrungen an, verlangt aber eine erkennbare Vertiefung: neue Daten, eine weiterführende Frage, einen begründeten Formattransfer oder eine andere Zielgruppe. Bereits bewertete Teile werden abgegrenzt. Die bloße erneute Abgabe desselben Produkts begründet keine neue Leistung.</w:t>
      </w:r>
    </w:p>
    <w:p>
      <w:pPr>
        <w:keepLines/>
      </w:pPr>
      <w:r>
        <w:t>Die Sprints liegen innerhalb dieser Module und können je nach Produkt über Modulgrenzen hinweg geführt werden. Abgabetermine, Beratung und Vorstellungen werden früh mit der Klausurplanung abgestimmt. Eine Veröffentlichung außerhalb des Kurses ist eine mögliche Verwendung des Produkts, keine notwendige Voraussetzung für eine gute Bewertung.</w:t>
      </w:r>
    </w:p>
    <w:p>
      <w:bookmarkStart w:id="8" w:name="m1"/>
      <w:pPr>
        <w:pStyle w:val="Heading1"/>
        <w:pageBreakBefore/>
        <w:keepLines/>
        <w:jc w:val="left"/>
      </w:pPr>
      <w:r>
        <w:t>M1 Wissenschaftskommunikation verstehen</w:t>
      </w:r>
      <w:bookmarkEnd w:id="8"/>
    </w:p>
    <w:p>
      <w:pPr>
        <w:keepLines/>
      </w:pPr>
      <w:r>
        <w:t>Q2.1 | 6 Unterrichtsstunden | Kompetenzen F1, K1, K2, M1, R1, R2</w:t>
      </w:r>
    </w:p>
    <w:p>
      <w:pPr>
        <w:pStyle w:val="Heading3"/>
        <w:spacing w:before="260" w:after="140"/>
        <w:keepLines/>
        <w:jc w:val="left"/>
      </w:pPr>
      <w:r>
        <w:t>Leitfrage</w:t>
      </w:r>
    </w:p>
    <w:p>
      <w:pPr>
        <w:keepLines/>
      </w:pPr>
      <w:r>
        <w:t>Woran erkennen wir, ob ein wissenschaftliches Thema verständlich und verlässlich vermittelt wird?</w:t>
      </w:r>
    </w:p>
    <w:p>
      <w:pPr>
        <w:pStyle w:val="Heading3"/>
        <w:spacing w:before="260" w:after="140"/>
        <w:keepLines/>
        <w:jc w:val="left"/>
      </w:pPr>
      <w:r>
        <w:t>Inhalte und fachliche Schwerpunkte</w:t>
      </w:r>
    </w:p>
    <w:p>
      <w:pPr>
        <w:keepLines/>
      </w:pPr>
      <w:r>
        <w:t>Information, Dialog und Beteiligung; Korrektheit, Verständlichkeit, Relevanz und Transparenz; Unterschied zwischen fachlicher Information, Journalismus und interessengeleiteter Kommunikation; vier K und Grundregeln der Zusammenarbeit.</w:t>
      </w:r>
    </w:p>
    <w:p>
      <w:pPr>
        <w:pStyle w:val="Heading3"/>
        <w:spacing w:before="260" w:after="140"/>
        <w:keepLines/>
        <w:jc w:val="left"/>
      </w:pPr>
      <w:r>
        <w:t>Lernweg und Arbeitsauftrag</w:t>
      </w:r>
    </w:p>
    <w:p>
      <w:pPr>
        <w:keepLines/>
      </w:pPr>
      <w:r>
        <w:t>Die Lernenden bearbeiten zunächst die 45-minütige Kurzform des Kanban-Lernprogramms und richten anschließend ihr Jahresprojekt im Kanban-Arbeitsboard ein. Die Lernenden vergleichen zwei Darstellungen desselben Phänomens, beschreiben deren Zielgruppen und belegen ihre Qualitätsurteile an konkreten Stellen. In einem kurzen Miniprojekt erklären sie ein vertrautes naturwissenschaftliches Konzept in zwei Varianten. Sie erproben am eigenen Board Planung, Review und Retrospektive.</w:t>
      </w:r>
    </w:p>
    <w:p>
      <w:pPr>
        <w:pStyle w:val="Heading3"/>
        <w:spacing w:before="260" w:after="140"/>
        <w:keepLines/>
        <w:jc w:val="left"/>
      </w:pPr>
      <w:r>
        <w:t>Lernprodukt und individueller Nachweis</w:t>
      </w:r>
    </w:p>
    <w:p>
      <w:pPr>
        <w:keepLines/>
      </w:pPr>
      <w:r>
        <w:t>Ein erklärender Kurzbeitrag, eine Kriterienliste und eine individuelle Standortbestimmung. Die Lehrkraft prüft insbesondere die Trennung von Verständlichkeit und fachlicher Richtigkeit.</w:t>
      </w:r>
    </w:p>
    <w:p>
      <w:pPr>
        <w:pStyle w:val="Heading3"/>
        <w:spacing w:before="260" w:after="140"/>
        <w:keepLines/>
        <w:jc w:val="left"/>
      </w:pPr>
      <w:r>
        <w:t>Begleitung und Differenzierung</w:t>
      </w:r>
    </w:p>
    <w:p>
      <w:pPr>
        <w:keepLines/>
      </w:pPr>
      <w:r>
        <w:t>Ein kommentiertes Beispiel und Satzanfänge erleichtern den Einstieg. Die methodische Trockenübung wird nicht als Halbjahresprodukt benotet. Das erste Feedback dient der Vereinbarung persönlicher Lernziele.</w:t>
      </w:r>
    </w:p>
    <w:p>
      <w:pPr>
        <w:pStyle w:val="Heading3"/>
        <w:spacing w:before="260" w:after="140"/>
        <w:keepLines/>
        <w:jc w:val="left"/>
      </w:pPr>
      <w:r>
        <w:t>Qualitätsmaßstab</w:t>
      </w:r>
    </w:p>
    <w:p>
      <w:pPr>
        <w:keepLines/>
      </w:pPr>
      <w:r>
        <w:t>Quellen und Aussagen dürfen nicht allein nach Gestaltung, Bekanntheit oder Reichweite beurteilt werden. Ein rhetorisch überzeugender Beitrag kann fachlich schwach sein.</w:t>
      </w:r>
    </w:p>
    <w:p>
      <w:bookmarkStart w:id="9" w:name="m2"/>
      <w:pPr>
        <w:pStyle w:val="Heading2"/>
        <w:pageBreakBefore/>
        <w:keepLines/>
        <w:jc w:val="left"/>
      </w:pPr>
      <w:r>
        <w:t>M2 Wissenschaftliche Aussagen und Quellen prüfen</w:t>
      </w:r>
      <w:bookmarkEnd w:id="9"/>
    </w:p>
    <w:p>
      <w:pPr>
        <w:keepLines/>
      </w:pPr>
      <w:r>
        <w:t>Q2.1 | 9 Unterrichtsstunden | Kompetenzen F2, F3, E1, E2, E3, M4</w:t>
      </w:r>
    </w:p>
    <w:p>
      <w:pPr>
        <w:pStyle w:val="Heading3"/>
        <w:spacing w:before="260" w:after="140"/>
        <w:keepLines/>
        <w:jc w:val="left"/>
      </w:pPr>
      <w:r>
        <w:t>Leitfrage</w:t>
      </w:r>
    </w:p>
    <w:p>
      <w:pPr>
        <w:keepLines/>
      </w:pPr>
      <w:r>
        <w:t>Wie belastbar ist die Aussage, die wir unserem Publikum vermitteln wollen?</w:t>
      </w:r>
    </w:p>
    <w:p>
      <w:pPr>
        <w:pStyle w:val="Heading3"/>
        <w:spacing w:before="260" w:after="140"/>
        <w:keepLines/>
        <w:jc w:val="left"/>
      </w:pPr>
      <w:r>
        <w:t>Inhalte und fachliche Schwerpunkte</w:t>
      </w:r>
    </w:p>
    <w:p>
      <w:pPr>
        <w:keepLines/>
      </w:pPr>
      <w:r>
        <w:t>Fragestellung, Hypothese, Modell und Theorie; Peer Review, Replikation und wissenschaftlicher Konsens; Originalstudien und Übersichtsarbeiten; Korrelation und Kausalität; Effektgröße, absolute und relative Risiken, Unsicherheiten und Interessenkonflikte.</w:t>
      </w:r>
    </w:p>
    <w:p>
      <w:pPr>
        <w:pStyle w:val="Heading3"/>
        <w:spacing w:before="260" w:after="140"/>
        <w:keepLines/>
        <w:jc w:val="left"/>
      </w:pPr>
      <w:r>
        <w:t>Lernweg und Arbeitsauftrag</w:t>
      </w:r>
    </w:p>
    <w:p>
      <w:pPr>
        <w:keepLines/>
      </w:pPr>
      <w:r>
        <w:t>Nach einer angeleiteten Analyse einer Wissenschaftsmeldung verfolgen die Lernenden deren zentrale Aussage bis zur Originalquelle. Sie prüfen Methode, Bezugsgrößen und Schlussfolgerung und vergleichen sie mit einer unabhängigen Einordnung. Eine Belegmatrix verbindet jede Kernaussage mit Quelle, Belegstelle, Grenzen und Verwendungszweck.</w:t>
      </w:r>
    </w:p>
    <w:p>
      <w:pPr>
        <w:pStyle w:val="Heading3"/>
        <w:spacing w:before="260" w:after="140"/>
        <w:keepLines/>
        <w:jc w:val="left"/>
      </w:pPr>
      <w:r>
        <w:t>Lernprodukt und individueller Nachweis</w:t>
      </w:r>
    </w:p>
    <w:p>
      <w:pPr>
        <w:keepLines/>
      </w:pPr>
      <w:r>
        <w:t>Annotierte Quellenliste, Belegmatrix und kurzer mündlicher Faktencheck. Jede Person erklärt einen Befund und eine Grenze seiner Aussagekraft.</w:t>
      </w:r>
    </w:p>
    <w:p>
      <w:pPr>
        <w:pStyle w:val="Heading3"/>
        <w:spacing w:before="260" w:after="140"/>
        <w:keepLines/>
        <w:jc w:val="left"/>
      </w:pPr>
      <w:r>
        <w:t>Begleitung und Differenzierung</w:t>
      </w:r>
    </w:p>
    <w:p>
      <w:pPr>
        <w:keepLines/>
      </w:pPr>
      <w:r>
        <w:t>Startquellen werden nach fachlichem Vorwissen gestuft bereitgestellt. Ein Statistikimpuls erfolgt am konkreten Datenbeispiel. Fortgeschrittene vergleichen unterschiedliche Auswertungen oder Annahmen.</w:t>
      </w:r>
    </w:p>
    <w:p>
      <w:pPr>
        <w:pStyle w:val="Heading3"/>
        <w:spacing w:before="260" w:after="140"/>
        <w:keepLines/>
        <w:jc w:val="left"/>
      </w:pPr>
      <w:r>
        <w:t>Qualitätsmaßstab</w:t>
      </w:r>
    </w:p>
    <w:p>
      <w:pPr>
        <w:keepLines/>
      </w:pPr>
      <w:r>
        <w:t>Ein p-Wert bezeichnet unter einem statistischen Modell die Wahrscheinlichkeit mindestens so extremer Daten unter der Nullhypothese; er ist nicht die Wahrscheinlichkeit, dass die Hypothese wahr ist. Signifikanz allein belegt weder Relevanz noch Kausalität.</w:t>
      </w:r>
    </w:p>
    <w:p>
      <w:bookmarkStart w:id="10" w:name="m3"/>
      <w:pPr>
        <w:pStyle w:val="Heading2"/>
        <w:pageBreakBefore/>
        <w:keepLines/>
        <w:jc w:val="left"/>
      </w:pPr>
      <w:r>
        <w:t>M3 Thema Zielgruppe und Format entwickeln</w:t>
      </w:r>
      <w:bookmarkEnd w:id="10"/>
    </w:p>
    <w:p>
      <w:pPr>
        <w:keepLines/>
      </w:pPr>
      <w:r>
        <w:t>Q2.1 | 12 Unterrichtsstunden | Kompetenzen F1, K1, K4, M1, R1, R2</w:t>
      </w:r>
    </w:p>
    <w:p>
      <w:pPr>
        <w:pStyle w:val="Heading3"/>
        <w:spacing w:before="260" w:after="140"/>
        <w:keepLines/>
        <w:jc w:val="left"/>
      </w:pPr>
      <w:r>
        <w:t>Leitfrage</w:t>
      </w:r>
    </w:p>
    <w:p>
      <w:pPr>
        <w:keepLines/>
      </w:pPr>
      <w:r>
        <w:t>Welche fachliche Frage ist für unser Publikum relevant und im verfügbaren Rahmen bearbeitbar?</w:t>
      </w:r>
    </w:p>
    <w:p>
      <w:pPr>
        <w:pStyle w:val="Heading3"/>
        <w:spacing w:before="260" w:after="140"/>
        <w:keepLines/>
        <w:jc w:val="left"/>
      </w:pPr>
      <w:r>
        <w:t>Inhalte und fachliche Schwerpunkte</w:t>
      </w:r>
    </w:p>
    <w:p>
      <w:pPr>
        <w:keepLines/>
      </w:pPr>
      <w:r>
        <w:t>Eingrenzung einer naturwissenschaftlichen Leitfrage; Interesse, Relevanz und Machbarkeit; Zielgruppenprofil; Informationsbedarf und Fehlvorstellungen; Formatvergleich; Ressourcen, Rechte, Rollen und Meilensteine.</w:t>
      </w:r>
    </w:p>
    <w:p>
      <w:pPr>
        <w:pStyle w:val="Heading3"/>
        <w:spacing w:before="260" w:after="140"/>
        <w:keepLines/>
        <w:jc w:val="left"/>
      </w:pPr>
      <w:r>
        <w:t>Lernweg und Arbeitsauftrag</w:t>
      </w:r>
    </w:p>
    <w:p>
      <w:pPr>
        <w:keepLines/>
      </w:pPr>
      <w:r>
        <w:t>Die Lernenden erkunden die Perspektive einer erreichbaren Zielgruppe durch ein kurzes Gespräch oder eine beobachtete Verständnisaufgabe. Sie trennen tatsächliche Aussagen von eigenen Vermutungen. Sie entwickeln mindestens zwei Kommunikationsideen, vergleichen sie anhand klarer Kriterien und testen einen einfachen Papier-, Audio- oder Bildschirmprototyp.</w:t>
      </w:r>
    </w:p>
    <w:p>
      <w:pPr>
        <w:pStyle w:val="Heading3"/>
        <w:spacing w:before="260" w:after="140"/>
        <w:keepLines/>
        <w:jc w:val="left"/>
      </w:pPr>
      <w:r>
        <w:t>Lernprodukt und individueller Nachweis</w:t>
      </w:r>
    </w:p>
    <w:p>
      <w:pPr>
        <w:keepLines/>
      </w:pPr>
      <w:r>
        <w:t>Genehmigter Projektantrag mit Referenzfach, Leitfrage, Zielgruppe, Produktumfang, fachlichen Mindestanforderungen, Hilfsmitteln, Rollen und Zeitplan; erstes Testprotokoll.</w:t>
      </w:r>
    </w:p>
    <w:p>
      <w:pPr>
        <w:pStyle w:val="Heading3"/>
        <w:spacing w:before="260" w:after="140"/>
        <w:keepLines/>
        <w:jc w:val="left"/>
      </w:pPr>
      <w:r>
        <w:t>Begleitung und Differenzierung</w:t>
      </w:r>
    </w:p>
    <w:p>
      <w:pPr>
        <w:keepLines/>
      </w:pPr>
      <w:r>
        <w:t>Die Lehrkraft prüft vor der Freigabe insbesondere naturwissenschaftliche Tiefe, Zugänglichkeit der Quellen und Realisierbarkeit. Zu große Projekte werden auf eine Kernfrage reduziert. Interviews können durch eine kleine, datensparsame Erprobung im schulischen Rahmen ersetzt werden.</w:t>
      </w:r>
    </w:p>
    <w:p>
      <w:pPr>
        <w:pStyle w:val="Heading3"/>
        <w:spacing w:before="260" w:after="140"/>
        <w:keepLines/>
        <w:jc w:val="left"/>
      </w:pPr>
      <w:r>
        <w:t>Qualitätsmaßstab</w:t>
      </w:r>
    </w:p>
    <w:p>
      <w:pPr>
        <w:keepLines/>
      </w:pPr>
      <w:r>
        <w:t>Das Format folgt dem Kommunikationsziel. Ein Video oder eine App ist nicht allein wegen der Technik anspruchsvoller als eine fachlich fundierte Text- oder Infografikdarstellung.</w:t>
      </w:r>
    </w:p>
    <w:p>
      <w:bookmarkStart w:id="11" w:name="m4"/>
      <w:pPr>
        <w:pStyle w:val="Heading2"/>
        <w:pageBreakBefore/>
        <w:keepLines/>
        <w:jc w:val="left"/>
      </w:pPr>
      <w:r>
        <w:t>M4 Erklären modellieren und visualisieren</w:t>
      </w:r>
      <w:bookmarkEnd w:id="11"/>
    </w:p>
    <w:p>
      <w:pPr>
        <w:keepLines/>
      </w:pPr>
      <w:r>
        <w:t>Q2.1 | 12 Unterrichtsstunden | Kompetenzen F2, F3, F4, E4, K2, K3, M2, M3</w:t>
      </w:r>
    </w:p>
    <w:p>
      <w:pPr>
        <w:pStyle w:val="Heading3"/>
        <w:spacing w:before="260" w:after="140"/>
        <w:keepLines/>
        <w:jc w:val="left"/>
      </w:pPr>
      <w:r>
        <w:t>Leitfrage</w:t>
      </w:r>
    </w:p>
    <w:p>
      <w:pPr>
        <w:keepLines/>
      </w:pPr>
      <w:r>
        <w:t>Wie vereinfachen wir so, dass das Verständnis wächst und die fachliche Aussage erhalten bleibt?</w:t>
      </w:r>
    </w:p>
    <w:p>
      <w:pPr>
        <w:pStyle w:val="Heading3"/>
        <w:spacing w:before="260" w:after="140"/>
        <w:keepLines/>
        <w:jc w:val="left"/>
      </w:pPr>
      <w:r>
        <w:t>Inhalte und fachliche Schwerpunkte</w:t>
      </w:r>
    </w:p>
    <w:p>
      <w:pPr>
        <w:keepLines/>
      </w:pPr>
      <w:r>
        <w:t>Didaktische Reduktion, Fachsprache und Alltagssprache; roter Faden und wissenschaftliches Storytelling; Analogien und Modellgrenzen; Diagramme mit Bezugsgrößen; Sprache, Bild und Ton; KI-gestützte Entwürfe und deren Prüfung.</w:t>
      </w:r>
    </w:p>
    <w:p>
      <w:pPr>
        <w:pStyle w:val="Heading3"/>
        <w:spacing w:before="260" w:after="140"/>
        <w:keepLines/>
        <w:jc w:val="left"/>
      </w:pPr>
      <w:r>
        <w:t>Lernweg und Arbeitsauftrag</w:t>
      </w:r>
    </w:p>
    <w:p>
      <w:pPr>
        <w:keepLines/>
      </w:pPr>
      <w:r>
        <w:t>Die Lernenden verfassen Skript, Storyboard oder Interaktionskonzept. Jede zentrale Aussage wird mit der Belegmatrix abgeglichen. Eine Analogie oder Visualisierung wird mit einer Alternative verglichen und auf mögliche Fehlvorstellungen geprüft. Im Tandem erklären die Lernenden einen anspruchsvollen Teil, bevor sie ihn medial umsetzen.</w:t>
      </w:r>
    </w:p>
    <w:p>
      <w:pPr>
        <w:pStyle w:val="Heading3"/>
        <w:spacing w:before="260" w:after="140"/>
        <w:keepLines/>
        <w:jc w:val="left"/>
      </w:pPr>
      <w:r>
        <w:t>Lernprodukt und individueller Nachweis</w:t>
      </w:r>
    </w:p>
    <w:p>
      <w:pPr>
        <w:keepLines/>
      </w:pPr>
      <w:r>
        <w:t>Fachlich kommentierter Entwurf mit begründeten Kürzungen, Quellen und Kennzeichnung synthetischer Inhalte; dokumentierte Prüfung eines Modells, Datensatzes oder freigegebenen Experiments.</w:t>
      </w:r>
    </w:p>
    <w:p>
      <w:pPr>
        <w:pStyle w:val="Heading3"/>
        <w:spacing w:before="260" w:after="140"/>
        <w:keepLines/>
        <w:jc w:val="left"/>
      </w:pPr>
      <w:r>
        <w:t>Begleitung und Differenzierung</w:t>
      </w:r>
    </w:p>
    <w:p>
      <w:pPr>
        <w:keepLines/>
      </w:pPr>
      <w:r>
        <w:t>Kurze Fach- und Medienworkshops reagieren auf konkrete Schwierigkeiten. Vorlagen für Diagramme und Skripte unterstützen die Produktion. Ein angeleiteter Test prüft, was ein Publikum tatsächlich versteht.</w:t>
      </w:r>
    </w:p>
    <w:p>
      <w:pPr>
        <w:pStyle w:val="Heading3"/>
        <w:spacing w:before="260" w:after="140"/>
        <w:keepLines/>
        <w:jc w:val="left"/>
      </w:pPr>
      <w:r>
        <w:t>Qualitätsmaßstab</w:t>
      </w:r>
    </w:p>
    <w:p>
      <w:pPr>
        <w:keepLines/>
      </w:pPr>
      <w:r>
        <w:t>Ein naturwissenschaftliches Modell ist kein Abbild aller Eigenschaften. Maßstab, Farben, Pfeile und Animationen dürfen keine unbelegten Prozesse suggerieren. Reale Messdaten und synthetische Beispieldaten werden klar unterschieden.</w:t>
      </w:r>
    </w:p>
    <w:p>
      <w:bookmarkStart w:id="12" w:name="m5"/>
      <w:pPr>
        <w:pStyle w:val="Heading2"/>
        <w:pageBreakBefore/>
        <w:keepLines/>
        <w:jc w:val="left"/>
      </w:pPr>
      <w:r>
        <w:t>M5 Das erste Produkt erproben und vorstellen</w:t>
      </w:r>
      <w:bookmarkEnd w:id="12"/>
    </w:p>
    <w:p>
      <w:pPr>
        <w:keepLines/>
      </w:pPr>
      <w:r>
        <w:t>Q2.1 | 15 Unterrichtsstunden | Kompetenzen F2, F4, E2, K2, K4, M2, M3, R2, R3</w:t>
      </w:r>
    </w:p>
    <w:p>
      <w:pPr>
        <w:pStyle w:val="Heading3"/>
        <w:spacing w:before="260" w:after="140"/>
        <w:keepLines/>
        <w:jc w:val="left"/>
      </w:pPr>
      <w:r>
        <w:t>Leitfrage</w:t>
      </w:r>
    </w:p>
    <w:p>
      <w:pPr>
        <w:keepLines/>
      </w:pPr>
      <w:r>
        <w:t>Erreicht unser Produkt sein Kommunikationsziel und können wir seine fachlichen Entscheidungen erklären?</w:t>
      </w:r>
    </w:p>
    <w:p>
      <w:pPr>
        <w:pStyle w:val="Heading3"/>
        <w:spacing w:before="260" w:after="140"/>
        <w:keepLines/>
        <w:jc w:val="left"/>
      </w:pPr>
      <w:r>
        <w:t>Inhalte und fachliche Schwerpunkte</w:t>
      </w:r>
    </w:p>
    <w:p>
      <w:pPr>
        <w:keepLines/>
      </w:pPr>
      <w:r>
        <w:t>Werkstattproduktion, Review, Zielgruppentest und Überarbeitung; fachliche, kommunikative und technische Qualitätsprüfung; Quellen- und Mediennachweise; individuelle Vorstellung und Reflexion.</w:t>
      </w:r>
    </w:p>
    <w:p>
      <w:pPr>
        <w:pStyle w:val="Heading3"/>
        <w:spacing w:before="260" w:after="140"/>
        <w:keepLines/>
        <w:jc w:val="left"/>
      </w:pPr>
      <w:r>
        <w:t>Lernweg und Arbeitsauftrag</w:t>
      </w:r>
    </w:p>
    <w:p>
      <w:pPr>
        <w:keepLines/>
      </w:pPr>
      <w:r>
        <w:t>Die Lernenden stellen eine erste vollständige Fassung vor, sammeln fachliches Peer-Feedback und beobachten eine kleine Erprobung mit Personen außerhalb des eigenen Teams. Sie protokollieren Verständnisprobleme, priorisieren Änderungen und begründen mindestens eine Überarbeitung. Die Lehrkraft begleitet mit dokumentierten Beratungsgesprächen.</w:t>
      </w:r>
    </w:p>
    <w:p>
      <w:pPr>
        <w:pStyle w:val="Heading3"/>
        <w:spacing w:before="260" w:after="140"/>
        <w:keepLines/>
        <w:jc w:val="left"/>
      </w:pPr>
      <w:r>
        <w:t>Lernprodukt und individueller Nachweis</w:t>
      </w:r>
    </w:p>
    <w:p>
      <w:pPr>
        <w:keepLines/>
      </w:pPr>
      <w:r>
        <w:t>Produkt 1 einschließlich fachlicher Begleitunterlagen und individueller Vorstellung; eigene Reflexion und eindeutig zugeordnete Beiträge. Abgabe und Vorstellung erfolgen innerhalb von Q2.1.</w:t>
      </w:r>
    </w:p>
    <w:p>
      <w:pPr>
        <w:pStyle w:val="Heading3"/>
        <w:spacing w:before="260" w:after="140"/>
        <w:keepLines/>
        <w:jc w:val="left"/>
      </w:pPr>
      <w:r>
        <w:t>Begleitung und Differenzierung</w:t>
      </w:r>
    </w:p>
    <w:p>
      <w:pPr>
        <w:keepLines/>
      </w:pPr>
      <w:r>
        <w:t>Die Vorstellung umfasst eine Erklärung des eigenen Beitrags, eine begründete Gestaltungsentscheidung und individuelle Rückfragen. Der zeitliche Umfang wird vorab nach Format und Teamgröße vereinbart. Bei technischen Problemen steht eine zuvor gesicherte Offlinefassung bereit.</w:t>
      </w:r>
    </w:p>
    <w:p>
      <w:pPr>
        <w:pStyle w:val="Heading3"/>
        <w:spacing w:before="260" w:after="140"/>
        <w:keepLines/>
        <w:jc w:val="left"/>
      </w:pPr>
      <w:r>
        <w:t>Qualitätsmaßstab</w:t>
      </w:r>
    </w:p>
    <w:p>
      <w:pPr>
        <w:keepLines/>
      </w:pPr>
      <w:r>
        <w:t>Die Bewertung stützt sich auf Produktqualität und individuelle Nachweise. Zahl der Klicks, Unterhaltungswert oder die Zustimmung einer Testgruppe ersetzen keine fachlichen Kriterien.</w:t>
      </w:r>
    </w:p>
    <w:p>
      <w:bookmarkStart w:id="13" w:name="m6"/>
      <w:pPr>
        <w:pStyle w:val="Heading2"/>
        <w:pageBreakBefore/>
        <w:keepLines/>
        <w:jc w:val="left"/>
      </w:pPr>
      <w:r>
        <w:t>M6 Vertiefung und Transfer planen</w:t>
      </w:r>
      <w:bookmarkEnd w:id="13"/>
    </w:p>
    <w:p>
      <w:pPr>
        <w:keepLines/>
      </w:pPr>
      <w:r>
        <w:t>Q2.2 | 6 Unterrichtsstunden | Kompetenzen F1, F2, E2, K1, M1, R1, R3, R4</w:t>
      </w:r>
    </w:p>
    <w:p>
      <w:pPr>
        <w:pStyle w:val="Heading3"/>
        <w:spacing w:before="260" w:after="140"/>
        <w:keepLines/>
        <w:jc w:val="left"/>
      </w:pPr>
      <w:r>
        <w:t>Leitfrage</w:t>
      </w:r>
    </w:p>
    <w:p>
      <w:pPr>
        <w:keepLines/>
      </w:pPr>
      <w:r>
        <w:t>Welche neue Frage ergibt sich aus dem ersten Produkt und welche zusätzliche Erkenntnis soll Produkt 2 leisten?</w:t>
      </w:r>
    </w:p>
    <w:p>
      <w:pPr>
        <w:pStyle w:val="Heading3"/>
        <w:spacing w:before="260" w:after="140"/>
        <w:keepLines/>
        <w:jc w:val="left"/>
      </w:pPr>
      <w:r>
        <w:t>Inhalte und fachliche Schwerpunkte</w:t>
      </w:r>
    </w:p>
    <w:p>
      <w:pPr>
        <w:keepLines/>
      </w:pPr>
      <w:r>
        <w:t>Fachlicher Transfer, vertiefende Recherche, neue Zielgruppe oder neue Darstellungsform; Vergleich von Handlungsoptionen; Auswertung der bisherigen Lernentwicklung; Anpassung von Umfang, Rollen und Arbeitsplan.</w:t>
      </w:r>
    </w:p>
    <w:p>
      <w:pPr>
        <w:pStyle w:val="Heading3"/>
        <w:spacing w:before="260" w:after="140"/>
        <w:keepLines/>
        <w:jc w:val="left"/>
      </w:pPr>
      <w:r>
        <w:t>Lernweg und Arbeitsauftrag</w:t>
      </w:r>
    </w:p>
    <w:p>
      <w:pPr>
        <w:keepLines/>
      </w:pPr>
      <w:r>
        <w:t>Die Lernenden untersuchen Rückmeldungen und fachliche Grenzen des ersten Produkts. Sie formulieren zwei mögliche Vertiefungen und begründen eine Auswahl. Ein kurzer fachlicher Pitch zeigt, welche neue Erkenntnis, Datengrundlage oder Perspektive bearbeitet wird und wie sie in der verbleibenden Zeit erreichbar ist.</w:t>
      </w:r>
    </w:p>
    <w:p>
      <w:pPr>
        <w:pStyle w:val="Heading3"/>
        <w:spacing w:before="260" w:after="140"/>
        <w:keepLines/>
        <w:jc w:val="left"/>
      </w:pPr>
      <w:r>
        <w:t>Lernprodukt und individueller Nachweis</w:t>
      </w:r>
    </w:p>
    <w:p>
      <w:pPr>
        <w:keepLines/>
      </w:pPr>
      <w:r>
        <w:t>Ergänzter Projektantrag für Produkt 2 mit klarer Abgrenzung bereits bewerteter Teile, neuer Fragestellung, Kompetenzen und verbindlichen Terminen.</w:t>
      </w:r>
    </w:p>
    <w:p>
      <w:pPr>
        <w:pStyle w:val="Heading3"/>
        <w:spacing w:before="260" w:after="140"/>
        <w:keepLines/>
        <w:jc w:val="left"/>
      </w:pPr>
      <w:r>
        <w:t>Begleitung und Differenzierung</w:t>
      </w:r>
    </w:p>
    <w:p>
      <w:pPr>
        <w:keepLines/>
      </w:pPr>
      <w:r>
        <w:t>Die Lehrkraft genehmigt den zweiten Arbeitsauftrag, prüft den Bezug zum Referenzfach und vereinbart individuelle Schwerpunkte. Bei Rückständen wird das Vorhaben fachlich sinnvoll eingegrenzt; die Anspruchstiefe wird nicht durch bloßen Medienumfang ersetzt.</w:t>
      </w:r>
    </w:p>
    <w:p>
      <w:pPr>
        <w:pStyle w:val="Heading3"/>
        <w:spacing w:before="260" w:after="140"/>
        <w:keepLines/>
        <w:jc w:val="left"/>
      </w:pPr>
      <w:r>
        <w:t>Qualitätsmaßstab</w:t>
      </w:r>
    </w:p>
    <w:p>
      <w:pPr>
        <w:keepLines/>
      </w:pPr>
      <w:r>
        <w:t>Eine neue Gestaltung allein genügt nicht als Vertiefung. Ein Zielgruppenwechsel muss fachlich begründet werden und neue Entscheidungen über Erklärung, Beispiele oder Aussagegrenzen verlangen.</w:t>
      </w:r>
    </w:p>
    <w:p>
      <w:bookmarkStart w:id="14" w:name="m7"/>
      <w:pPr>
        <w:pStyle w:val="Heading2"/>
        <w:pageBreakBefore/>
        <w:keepLines/>
        <w:jc w:val="left"/>
      </w:pPr>
      <w:r>
        <w:t>M7 Das zweite Produkt entwickeln und prüfen</w:t>
      </w:r>
      <w:bookmarkEnd w:id="14"/>
    </w:p>
    <w:p>
      <w:pPr>
        <w:keepLines/>
      </w:pPr>
      <w:r>
        <w:t>Q2.2 | 18 Unterrichtsstunden | Kompetenzen F2, F3, F4, E1, E2, E4, K2, K3, K4, M2, M3, M4, R1, R2, R3</w:t>
      </w:r>
    </w:p>
    <w:p>
      <w:pPr>
        <w:pStyle w:val="Heading3"/>
        <w:spacing w:before="260" w:after="140"/>
        <w:keepLines/>
        <w:jc w:val="left"/>
      </w:pPr>
      <w:r>
        <w:t>Leitfrage</w:t>
      </w:r>
    </w:p>
    <w:p>
      <w:pPr>
        <w:keepLines/>
      </w:pPr>
      <w:r>
        <w:t>Wie lässt sich eine vertiefte wissenschaftliche Aussage eigenständig entwickeln und verantwortbar vermitteln?</w:t>
      </w:r>
    </w:p>
    <w:p>
      <w:pPr>
        <w:pStyle w:val="Heading3"/>
        <w:spacing w:before="260" w:after="140"/>
        <w:keepLines/>
        <w:jc w:val="left"/>
      </w:pPr>
      <w:r>
        <w:t>Inhalte und fachliche Schwerpunkte</w:t>
      </w:r>
    </w:p>
    <w:p>
      <w:pPr>
        <w:keepLines/>
      </w:pPr>
      <w:r>
        <w:t>Vertiefte fachliche Erschließung, Vergleich von Belegen, kritische Kontroversenkommunikation; Produktion und Prüfung; iteratives Nutzerfeedback; technische Stabilität, barrierearme Zugänge und nachvollziehbare Eigenleistung.</w:t>
      </w:r>
    </w:p>
    <w:p>
      <w:pPr>
        <w:pStyle w:val="Heading3"/>
        <w:spacing w:before="260" w:after="140"/>
        <w:keepLines/>
        <w:jc w:val="left"/>
      </w:pPr>
      <w:r>
        <w:t>Lernweg und Arbeitsauftrag</w:t>
      </w:r>
    </w:p>
    <w:p>
      <w:pPr>
        <w:keepLines/>
      </w:pPr>
      <w:r>
        <w:t>In zwei bis drei kompakten Arbeitszyklen entwickeln die Lernenden Produkt 2. Sie prüfen anspruchsvollere Daten, Modelle oder Gegenargumente und dokumentieren, wie sich dadurch die Erklärung verändert. Ein Faktencheck und ein Funktionstest gehen der Schlussfassung voraus. Im abschließenden Gespräch begründet jede Person einen fachlichen Transfer.</w:t>
      </w:r>
    </w:p>
    <w:p>
      <w:pPr>
        <w:pStyle w:val="Heading3"/>
        <w:spacing w:before="260" w:after="140"/>
        <w:keepLines/>
        <w:jc w:val="left"/>
      </w:pPr>
      <w:r>
        <w:t>Lernprodukt und individueller Nachweis</w:t>
      </w:r>
    </w:p>
    <w:p>
      <w:pPr>
        <w:keepLines/>
      </w:pPr>
      <w:r>
        <w:t>Produkt 2 mit individueller Vorstellung, Belegmatrix, Versionen, Quellen- und KI-Dokumentation sowie Reflexion. Abgabe, Rückfragen und Bewertung liegen vor dem Ende der Leistungsbewertung.</w:t>
      </w:r>
    </w:p>
    <w:p>
      <w:pPr>
        <w:pStyle w:val="Heading3"/>
        <w:spacing w:before="260" w:after="140"/>
        <w:keepLines/>
        <w:jc w:val="left"/>
      </w:pPr>
      <w:r>
        <w:t>Begleitung und Differenzierung</w:t>
      </w:r>
    </w:p>
    <w:p>
      <w:pPr>
        <w:keepLines/>
      </w:pPr>
      <w:r>
        <w:t>Beratung fokussiert die zentrale Erkenntnis statt zusätzliche dekorative Funktionen. Ein erreichbarer Zwischenstand wird früh gesichert. Bei digitalen Produkten sind überprüfbare Standardfälle, Randfälle und ein Ersatzformat vorgesehen.</w:t>
      </w:r>
    </w:p>
    <w:p>
      <w:pPr>
        <w:pStyle w:val="Heading3"/>
        <w:spacing w:before="260" w:after="140"/>
        <w:keepLines/>
        <w:jc w:val="left"/>
      </w:pPr>
      <w:r>
        <w:t>Qualitätsmaßstab</w:t>
      </w:r>
    </w:p>
    <w:p>
      <w:pPr>
        <w:keepLines/>
      </w:pPr>
      <w:r>
        <w:t>Eine Simulation muss ihre Modellannahmen nennen; erfundene Ergebnisse werden nicht als Messungen ausgegeben. Fremde Daten, Interviews und Teambeiträge bleiben auch nach der redaktionellen Zusammenführung zuordenbar.</w:t>
      </w:r>
    </w:p>
    <w:p>
      <w:bookmarkStart w:id="15" w:name="m8"/>
      <w:pPr>
        <w:pStyle w:val="Heading2"/>
        <w:pageBreakBefore/>
        <w:keepLines/>
        <w:jc w:val="left"/>
      </w:pPr>
      <w:r>
        <w:t>M8 Ergebnisse einordnen und selbstständig vertreten</w:t>
      </w:r>
      <w:bookmarkEnd w:id="15"/>
    </w:p>
    <w:p>
      <w:pPr>
        <w:keepLines/>
      </w:pPr>
      <w:r>
        <w:t>Q2.2 | 6 Unterrichtsstunden | Kompetenzen F2, F3, K2, K3, R3, R4</w:t>
      </w:r>
    </w:p>
    <w:p>
      <w:pPr>
        <w:pStyle w:val="Heading3"/>
        <w:spacing w:before="260" w:after="140"/>
        <w:keepLines/>
        <w:jc w:val="left"/>
      </w:pPr>
      <w:r>
        <w:t>Leitfrage</w:t>
      </w:r>
    </w:p>
    <w:p>
      <w:pPr>
        <w:keepLines/>
      </w:pPr>
      <w:r>
        <w:t>Was können wir aus unserem Projekt auf eine neue fachliche und kommunikative Situation übertragen?</w:t>
      </w:r>
    </w:p>
    <w:p>
      <w:pPr>
        <w:pStyle w:val="Heading3"/>
        <w:spacing w:before="260" w:after="140"/>
        <w:keepLines/>
        <w:jc w:val="left"/>
      </w:pPr>
      <w:r>
        <w:t>Inhalte und fachliche Schwerpunkte</w:t>
      </w:r>
    </w:p>
    <w:p>
      <w:pPr>
        <w:keepLines/>
      </w:pPr>
      <w:r>
        <w:t>Vergleich beider Produkte, Reflexion des Erkenntniswegs, größere fachliche Zusammenhänge, begründete Alternativen und fachliches Gespräch; Vorbereitung auf mögliche Präsentationsprüfungen.</w:t>
      </w:r>
    </w:p>
    <w:p>
      <w:pPr>
        <w:pStyle w:val="Heading3"/>
        <w:spacing w:before="260" w:after="140"/>
        <w:keepLines/>
        <w:jc w:val="left"/>
      </w:pPr>
      <w:r>
        <w:t>Lernweg und Arbeitsauftrag</w:t>
      </w:r>
    </w:p>
    <w:p>
      <w:pPr>
        <w:keepLines/>
      </w:pPr>
      <w:r>
        <w:t>Die Lernenden stellen die Entwicklung ihrer Erklärung gegenüber, benennen belastbare Erkenntnisse und offene Fragen und bearbeiten eine veränderte Bedingung. Eine Probepräsentation übt einen zusammenhängenden Vortrag mit anschließendem Gespräch. Die Rückmeldung unterscheidet fachliche Erklärung, Reflexion und situatives Antworten.</w:t>
      </w:r>
    </w:p>
    <w:p>
      <w:pPr>
        <w:pStyle w:val="Heading3"/>
        <w:spacing w:before="260" w:after="140"/>
        <w:keepLines/>
        <w:jc w:val="left"/>
      </w:pPr>
      <w:r>
        <w:t>Lernprodukt und individueller Nachweis</w:t>
      </w:r>
    </w:p>
    <w:p>
      <w:pPr>
        <w:keepLines/>
      </w:pPr>
      <w:r>
        <w:t>Individuelle Kompetenzbilanz, Transferaufgabe und dokumentierte Rückmeldung. Übungen zur Abiturprüfung sind von der späteren Prüfungsleistung getrennt.</w:t>
      </w:r>
    </w:p>
    <w:p>
      <w:pPr>
        <w:pStyle w:val="Heading3"/>
        <w:spacing w:before="260" w:after="140"/>
        <w:keepLines/>
        <w:jc w:val="left"/>
      </w:pPr>
      <w:r>
        <w:t>Begleitung und Differenzierung</w:t>
      </w:r>
    </w:p>
    <w:p>
      <w:pPr>
        <w:keepLines/>
      </w:pPr>
      <w:r>
        <w:t>Leitfragen und kurze Übungssequenzen unterstützen die Vorbereitung. Jede Person übt, Grenzen des eigenen Wissens sachlich zu benennen. Die tatsächliche Prüfung richtet sich nach der individuellen Abiturfachwahl und den geltenden Vorgaben.</w:t>
      </w:r>
    </w:p>
    <w:p>
      <w:pPr>
        <w:pStyle w:val="Heading3"/>
        <w:spacing w:before="260" w:after="140"/>
        <w:keepLines/>
        <w:jc w:val="left"/>
      </w:pPr>
      <w:r>
        <w:t>Qualitätsmaßstab</w:t>
      </w:r>
    </w:p>
    <w:p>
      <w:pPr>
        <w:keepLines/>
      </w:pPr>
      <w:r>
        <w:t>Die mögliche Abiturprüfung ist keine Wiederholung der Produktvorstellung. Sie verlangt eine neue Synthese, vertiefende Reflexion oder Übertragung auf größere Zusammenhänge.</w:t>
      </w:r>
    </w:p>
    <w:p>
      <w:bookmarkStart w:id="16" w:name="produkte"/>
      <w:pPr>
        <w:pStyle w:val="Heading1"/>
        <w:spacing w:before="260" w:after="140"/>
        <w:keepLines/>
        <w:jc w:val="left"/>
      </w:pPr>
      <w:r>
        <w:t>7 Produktformate und gemeinsame Anforderungen</w:t>
      </w:r>
      <w:bookmarkEnd w:id="16"/>
    </w:p>
    <w:p>
      <w:pPr>
        <w:keepLines/>
      </w:pPr>
      <w:r>
        <w:t>Das Medium wird nach Thema, Zielgruppe und Ressourcen gewählt. Die folgenden Umfänge sind Orientierungen für die Aufgabenvereinbarung, keine pauschalen Notenmaßstäbe. Bei Teams wächst der fachliche Umfang mit der Zahl der Beteiligten; bloß längere Laufzeiten oder mehr Seiten ersetzen keine individuelle Tiefe.</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8"/>
        <w:gridCol w:w="2324"/>
        <w:gridCol w:w="4649"/>
      </w:tblGrid>
      <w:tr>
        <w:trPr>
          <w:cantSplit/>
          <w:tblHeader/>
        </w:trPr>
        <w:tc>
          <w:tcPr>
            <w:tcW w:type="dxa" w:w="2098"/>
            <w:vAlign w:val="center"/>
            <w:shd w:fill="DDE9EC"/>
            <w:tcMar>
              <w:top w:w="65" w:type="dxa"/>
              <w:bottom w:w="65" w:type="dxa"/>
              <w:left w:w="85" w:type="dxa"/>
              <w:right w:w="85" w:type="dxa"/>
            </w:tcMar>
          </w:tcPr>
          <w:p>
            <w:pPr>
              <w:keepNext/>
              <w:spacing w:line="264" w:lineRule="auto" w:after="20" w:before="20"/>
              <w:jc w:val="left"/>
            </w:pPr>
            <w:r>
              <w:rPr>
                <w:rFonts w:ascii="Inter" w:hAnsi="Inter"/>
                <w:b/>
                <w:color w:val="000000"/>
                <w:sz w:val="18"/>
              </w:rPr>
              <w:t>Format</w:t>
            </w:r>
          </w:p>
        </w:tc>
        <w:tc>
          <w:tcPr>
            <w:tcW w:type="dxa" w:w="2324"/>
            <w:vAlign w:val="center"/>
            <w:shd w:fill="DDE9EC"/>
            <w:tcMar>
              <w:top w:w="65" w:type="dxa"/>
              <w:bottom w:w="65" w:type="dxa"/>
              <w:left w:w="85" w:type="dxa"/>
              <w:right w:w="85" w:type="dxa"/>
            </w:tcMar>
          </w:tcPr>
          <w:p>
            <w:pPr>
              <w:keepNext/>
              <w:spacing w:line="264" w:lineRule="auto" w:after="20" w:before="20"/>
              <w:jc w:val="left"/>
            </w:pPr>
            <w:r>
              <w:rPr>
                <w:rFonts w:ascii="Inter" w:hAnsi="Inter"/>
                <w:b/>
                <w:color w:val="000000"/>
                <w:sz w:val="18"/>
              </w:rPr>
              <w:t>Möglicher Umfang</w:t>
            </w:r>
          </w:p>
        </w:tc>
        <w:tc>
          <w:tcPr>
            <w:tcW w:type="dxa" w:w="4649"/>
            <w:vAlign w:val="center"/>
            <w:shd w:fill="DDE9EC"/>
            <w:tcMar>
              <w:top w:w="65" w:type="dxa"/>
              <w:bottom w:w="65" w:type="dxa"/>
              <w:left w:w="85" w:type="dxa"/>
              <w:right w:w="85" w:type="dxa"/>
            </w:tcMar>
          </w:tcPr>
          <w:p>
            <w:pPr>
              <w:keepNext/>
              <w:spacing w:line="264" w:lineRule="auto" w:after="20" w:before="20"/>
              <w:jc w:val="left"/>
            </w:pPr>
            <w:r>
              <w:rPr>
                <w:rFonts w:ascii="Inter" w:hAnsi="Inter"/>
                <w:b/>
                <w:color w:val="000000"/>
                <w:sz w:val="18"/>
              </w:rPr>
              <w:t>Wesentliche Qualitätsanforderung</w:t>
            </w:r>
          </w:p>
        </w:tc>
      </w:tr>
      <w:tr>
        <w:trPr>
          <w:cantSplit/>
        </w:trPr>
        <w:tc>
          <w:tcPr>
            <w:tcW w:type="dxa" w:w="2098"/>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Erklärvideo</w:t>
            </w:r>
          </w:p>
        </w:tc>
        <w:tc>
          <w:tcPr>
            <w:tcW w:type="dxa" w:w="2324"/>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Etwa 5 bis 10 Minuten</w:t>
            </w:r>
          </w:p>
        </w:tc>
        <w:tc>
          <w:tcPr>
            <w:tcW w:type="dxa" w:w="4649"/>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Fachlich geprüftes Skript, sinnvolle Bildfolge, verständlicher Ton, Quellen und Untertitel.</w:t>
            </w:r>
          </w:p>
        </w:tc>
      </w:tr>
      <w:tr>
        <w:trPr>
          <w:cantSplit/>
        </w:trPr>
        <w:tc>
          <w:tcPr>
            <w:tcW w:type="dxa" w:w="2098"/>
            <w:vAlign w:val="center"/>
            <w:shd w:fill="F5F8F9"/>
            <w:tcMar>
              <w:top w:w="65" w:type="dxa"/>
              <w:bottom w:w="65" w:type="dxa"/>
              <w:left w:w="85" w:type="dxa"/>
              <w:right w:w="85" w:type="dxa"/>
            </w:tcMar>
          </w:tcPr>
          <w:p>
            <w:pPr>
              <w:spacing w:line="264" w:lineRule="auto" w:after="20" w:before="20"/>
              <w:jc w:val="left"/>
            </w:pPr>
            <w:r>
              <w:rPr>
                <w:rFonts w:ascii="Inter" w:hAnsi="Inter"/>
                <w:b w:val="0"/>
                <w:color w:val="000000"/>
                <w:sz w:val="18"/>
              </w:rPr>
              <w:t>Podcast</w:t>
            </w:r>
          </w:p>
        </w:tc>
        <w:tc>
          <w:tcPr>
            <w:tcW w:type="dxa" w:w="2324"/>
            <w:vAlign w:val="center"/>
            <w:shd w:fill="F5F8F9"/>
            <w:tcMar>
              <w:top w:w="65" w:type="dxa"/>
              <w:bottom w:w="65" w:type="dxa"/>
              <w:left w:w="85" w:type="dxa"/>
              <w:right w:w="85" w:type="dxa"/>
            </w:tcMar>
          </w:tcPr>
          <w:p>
            <w:pPr>
              <w:spacing w:line="264" w:lineRule="auto" w:after="20" w:before="20"/>
              <w:jc w:val="left"/>
            </w:pPr>
            <w:r>
              <w:rPr>
                <w:rFonts w:ascii="Inter" w:hAnsi="Inter"/>
                <w:b w:val="0"/>
                <w:color w:val="000000"/>
                <w:sz w:val="18"/>
              </w:rPr>
              <w:t>Eine Folge oder kurze Serie; etwa 15 bis 30 Minuten insgesamt</w:t>
            </w:r>
          </w:p>
        </w:tc>
        <w:tc>
          <w:tcPr>
            <w:tcW w:type="dxa" w:w="4649"/>
            <w:vAlign w:val="center"/>
            <w:shd w:fill="F5F8F9"/>
            <w:tcMar>
              <w:top w:w="65" w:type="dxa"/>
              <w:bottom w:w="65" w:type="dxa"/>
              <w:left w:w="85" w:type="dxa"/>
              <w:right w:w="85" w:type="dxa"/>
            </w:tcMar>
          </w:tcPr>
          <w:p>
            <w:pPr>
              <w:spacing w:line="264" w:lineRule="auto" w:after="20" w:before="20"/>
              <w:jc w:val="left"/>
            </w:pPr>
            <w:r>
              <w:rPr>
                <w:rFonts w:ascii="Inter" w:hAnsi="Inter"/>
                <w:b w:val="0"/>
                <w:color w:val="000000"/>
                <w:sz w:val="18"/>
              </w:rPr>
              <w:t>Hörbare Struktur, vorbereitete Fragen, korrekte Einordnung von Aussagen, Transkript und Quellen.</w:t>
            </w:r>
          </w:p>
        </w:tc>
      </w:tr>
      <w:tr>
        <w:trPr>
          <w:cantSplit/>
        </w:trPr>
        <w:tc>
          <w:tcPr>
            <w:tcW w:type="dxa" w:w="2098"/>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Infografikserie</w:t>
            </w:r>
          </w:p>
        </w:tc>
        <w:tc>
          <w:tcPr>
            <w:tcW w:type="dxa" w:w="2324"/>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Etwa 5 bis 8 zusammenhängende Grafiken</w:t>
            </w:r>
          </w:p>
        </w:tc>
        <w:tc>
          <w:tcPr>
            <w:tcW w:type="dxa" w:w="4649"/>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Klare Informationsfolge, korrekte Größenverhältnisse, Bezugsgrößen, Quellen und erläuternder Begleittext.</w:t>
            </w:r>
          </w:p>
        </w:tc>
      </w:tr>
      <w:tr>
        <w:trPr>
          <w:cantSplit/>
        </w:trPr>
        <w:tc>
          <w:tcPr>
            <w:tcW w:type="dxa" w:w="2098"/>
            <w:vAlign w:val="center"/>
            <w:shd w:fill="F5F8F9"/>
            <w:tcMar>
              <w:top w:w="65" w:type="dxa"/>
              <w:bottom w:w="65" w:type="dxa"/>
              <w:left w:w="85" w:type="dxa"/>
              <w:right w:w="85" w:type="dxa"/>
            </w:tcMar>
          </w:tcPr>
          <w:p>
            <w:pPr>
              <w:spacing w:line="264" w:lineRule="auto" w:after="20" w:before="20"/>
              <w:jc w:val="left"/>
            </w:pPr>
            <w:r>
              <w:rPr>
                <w:rFonts w:ascii="Inter" w:hAnsi="Inter"/>
                <w:b w:val="0"/>
                <w:color w:val="000000"/>
                <w:sz w:val="18"/>
              </w:rPr>
              <w:t>Wissenschaftsblog</w:t>
            </w:r>
          </w:p>
        </w:tc>
        <w:tc>
          <w:tcPr>
            <w:tcW w:type="dxa" w:w="2324"/>
            <w:vAlign w:val="center"/>
            <w:shd w:fill="F5F8F9"/>
            <w:tcMar>
              <w:top w:w="65" w:type="dxa"/>
              <w:bottom w:w="65" w:type="dxa"/>
              <w:left w:w="85" w:type="dxa"/>
              <w:right w:w="85" w:type="dxa"/>
            </w:tcMar>
          </w:tcPr>
          <w:p>
            <w:pPr>
              <w:spacing w:line="264" w:lineRule="auto" w:after="20" w:before="20"/>
              <w:jc w:val="left"/>
            </w:pPr>
            <w:r>
              <w:rPr>
                <w:rFonts w:ascii="Inter" w:hAnsi="Inter"/>
                <w:b w:val="0"/>
                <w:color w:val="000000"/>
                <w:sz w:val="18"/>
              </w:rPr>
              <w:t>Etwa 1500 bis 3000 Wörter</w:t>
            </w:r>
          </w:p>
        </w:tc>
        <w:tc>
          <w:tcPr>
            <w:tcW w:type="dxa" w:w="4649"/>
            <w:vAlign w:val="center"/>
            <w:shd w:fill="F5F8F9"/>
            <w:tcMar>
              <w:top w:w="65" w:type="dxa"/>
              <w:bottom w:w="65" w:type="dxa"/>
              <w:left w:w="85" w:type="dxa"/>
              <w:right w:w="85" w:type="dxa"/>
            </w:tcMar>
          </w:tcPr>
          <w:p>
            <w:pPr>
              <w:spacing w:line="264" w:lineRule="auto" w:after="20" w:before="20"/>
              <w:jc w:val="left"/>
            </w:pPr>
            <w:r>
              <w:rPr>
                <w:rFonts w:ascii="Inter" w:hAnsi="Inter"/>
                <w:b w:val="0"/>
                <w:color w:val="000000"/>
                <w:sz w:val="18"/>
              </w:rPr>
              <w:t>Nachvollziehbare Argumentation, verständliche Fachbegriffe, geeignete Abbildungen und Belege.</w:t>
            </w:r>
          </w:p>
        </w:tc>
      </w:tr>
      <w:tr>
        <w:trPr>
          <w:cantSplit/>
        </w:trPr>
        <w:tc>
          <w:tcPr>
            <w:tcW w:type="dxa" w:w="2098"/>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Interaktive Webanwendung</w:t>
            </w:r>
          </w:p>
        </w:tc>
        <w:tc>
          <w:tcPr>
            <w:tcW w:type="dxa" w:w="2324"/>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Ein eingegrenztes Modell oder Lernproblem</w:t>
            </w:r>
          </w:p>
        </w:tc>
        <w:tc>
          <w:tcPr>
            <w:tcW w:type="dxa" w:w="4649"/>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Erkennbare Modellannahmen, fachlich richtige Rückmeldungen, Bedientests, Quellen und Offlinealternative.</w:t>
            </w:r>
          </w:p>
        </w:tc>
      </w:tr>
    </w:tbl>
    <w:p>
      <w:pPr>
        <w:spacing w:after="0" w:before="0" w:line="240" w:lineRule="auto"/>
      </w:pPr>
      <w:r>
        <w:rPr>
          <w:sz w:val="6"/>
        </w:rPr>
      </w:r>
    </w:p>
    <w:p>
      <w:pPr>
        <w:pStyle w:val="Heading3"/>
        <w:spacing w:before="260" w:after="140"/>
        <w:keepLines/>
        <w:jc w:val="left"/>
      </w:pPr>
      <w:r>
        <w:t>Zum Produkt gehören fachliche Nachweise</w:t>
      </w:r>
    </w:p>
    <w:p>
      <w:pPr>
        <w:pStyle w:val="ListBullet"/>
        <w:keepLines/>
      </w:pPr>
      <w:r>
        <w:t>Leitfrage, Referenzfach und Zielgruppe sowie eine kurze Begründung der Formatwahl.</w:t>
      </w:r>
    </w:p>
    <w:p>
      <w:pPr>
        <w:pStyle w:val="ListBullet"/>
        <w:keepLines/>
      </w:pPr>
      <w:r>
        <w:t>Eine überprüfbare Quellen- und Belegübersicht mit Fundstellen der zentralen Aussagen.</w:t>
      </w:r>
    </w:p>
    <w:p>
      <w:pPr>
        <w:pStyle w:val="ListBullet"/>
        <w:keepLines/>
      </w:pPr>
      <w:r>
        <w:t>Skript, Storyboard, Datengrundlage oder kommentiertes Modell in einem zum Medium passenden Umfang.</w:t>
      </w:r>
    </w:p>
    <w:p>
      <w:pPr>
        <w:pStyle w:val="ListBullet"/>
        <w:keepLines/>
      </w:pPr>
      <w:r>
        <w:t>Eine Kennzeichnung eigener, fremder und KI-unterstützter Anteile sowie verwendeter Lizenzen.</w:t>
      </w:r>
    </w:p>
    <w:p>
      <w:pPr>
        <w:pStyle w:val="ListBullet"/>
        <w:keepLines/>
      </w:pPr>
      <w:r>
        <w:t>Eine individuelle Vorstellung, die Fachverständnis und begründete Entscheidungen sichtbar macht.</w:t>
      </w:r>
    </w:p>
    <w:p>
      <w:pPr>
        <w:keepLines/>
      </w:pPr>
      <w:r>
        <w:t>Quellen sind nach Eignung und Evidenz zu beurteilen. Eine Originalstudie ist nicht allein wegen ihres Status verlässlicher als eine sorgfältige systematische Übersicht; ein Lehrbuch ist in der Regel eine aufbereitende Darstellung. Entscheidend sind Fragestellung, Methode, Aktualität, Nachprüfbarkeit und Übereinstimmung mit weiteren belastbaren Befunden.</w:t>
      </w:r>
    </w:p>
    <w:p>
      <w:pPr>
        <w:keepLines/>
      </w:pPr>
      <w:r>
        <w:t>Für Experimente bleiben Gefährdungsbeurteilung, Freigabe und Aufsicht bei der Lehrkraft. Bilder, Stimmen und Aussagen anderer Personen werden nur im vereinbarten und zulässigen Rahmen verwendet. Für schulöffentliche oder öffentliche Präsentationen werden Rechte, Einwilligungen und sichere Veröffentlichungswege vorab geklärt. Eine gleichwertige Präsentation im geschützten Kursrahmen bleibt möglich.</w:t>
      </w:r>
    </w:p>
    <w:p>
      <w:bookmarkStart w:id="17" w:name="ki"/>
      <w:pPr>
        <w:pStyle w:val="Heading1"/>
        <w:spacing w:before="260" w:after="140"/>
        <w:keepLines/>
        <w:jc w:val="left"/>
      </w:pPr>
      <w:r>
        <w:t>8 Künstliche Intelligenz verantwortlich einsetzen</w:t>
      </w:r>
      <w:bookmarkEnd w:id="17"/>
    </w:p>
    <w:p>
      <w:pPr>
        <w:pStyle w:val="Heading3"/>
        <w:spacing w:before="260" w:after="140"/>
        <w:keepLines/>
        <w:jc w:val="left"/>
      </w:pPr>
      <w:r>
        <w:t>KI in der Unterrichtsvorbereitung</w:t>
      </w:r>
    </w:p>
    <w:p>
      <w:pPr>
        <w:keepLines/>
      </w:pPr>
      <w:r>
        <w:t>Lehrkräfte können KI für Aufgabenentwürfe, gestufte Hilfen, Beispiele, Visualisierungen und Rückmeldungsanregungen nutzen. Vor dem Einsatz prüfen sie Fachlichkeit, Quellen, didaktische Eignung, Zugänglichkeit und gegebenenfalls Sicherheit. Die Verantwortung für Aufgabenstellung und Leistungsbewertung verbleibt bei der Lehrkraft; eine automatisierte Bewertung ersetzt kein pädagogisches Urteil.</w:t>
      </w:r>
    </w:p>
    <w:p>
      <w:pPr>
        <w:pStyle w:val="Heading3"/>
        <w:spacing w:before="260" w:after="140"/>
        <w:keepLines/>
        <w:jc w:val="left"/>
      </w:pPr>
      <w:r>
        <w:t>KI als Lern und Produktionswerkzeug</w:t>
      </w:r>
    </w:p>
    <w:p>
      <w:pPr>
        <w:keepLines/>
      </w:pPr>
      <w:r>
        <w:t>Lernende können KI für Ideenvarianten, Gliederungen, sprachliche Überarbeitung, Programmierhilfe, Transkription oder Visualisierung einsetzen. Maßgeblich ist, ob sie die Ergebnisse selbst prüfen, erklären und begründet verändern können. KI-Ausgaben gelten nicht als wissenschaftlicher Beleg. Auch bei Systemen mit Recherchefunktionen werden die tatsächlich verwendeten Originalquellen geöffnet und geprüft.</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6803"/>
      </w:tblGrid>
      <w:tr>
        <w:trPr>
          <w:cantSplit/>
          <w:tblHeader/>
        </w:trPr>
        <w:tc>
          <w:tcPr>
            <w:tcW w:type="dxa" w:w="2268"/>
            <w:vAlign w:val="center"/>
            <w:shd w:fill="DDE9EC"/>
            <w:tcMar>
              <w:top w:w="65" w:type="dxa"/>
              <w:bottom w:w="65" w:type="dxa"/>
              <w:left w:w="85" w:type="dxa"/>
              <w:right w:w="85" w:type="dxa"/>
            </w:tcMar>
          </w:tcPr>
          <w:p>
            <w:pPr>
              <w:keepNext/>
              <w:spacing w:line="264" w:lineRule="auto" w:after="20" w:before="20"/>
              <w:jc w:val="left"/>
            </w:pPr>
            <w:r>
              <w:rPr>
                <w:rFonts w:ascii="Inter" w:hAnsi="Inter"/>
                <w:b/>
                <w:color w:val="000000"/>
                <w:sz w:val="18"/>
              </w:rPr>
              <w:t>Schritt</w:t>
            </w:r>
          </w:p>
        </w:tc>
        <w:tc>
          <w:tcPr>
            <w:tcW w:type="dxa" w:w="6803"/>
            <w:vAlign w:val="center"/>
            <w:shd w:fill="DDE9EC"/>
            <w:tcMar>
              <w:top w:w="65" w:type="dxa"/>
              <w:bottom w:w="65" w:type="dxa"/>
              <w:left w:w="85" w:type="dxa"/>
              <w:right w:w="85" w:type="dxa"/>
            </w:tcMar>
          </w:tcPr>
          <w:p>
            <w:pPr>
              <w:keepNext/>
              <w:spacing w:line="264" w:lineRule="auto" w:after="20" w:before="20"/>
              <w:jc w:val="left"/>
            </w:pPr>
            <w:r>
              <w:rPr>
                <w:rFonts w:ascii="Inter" w:hAnsi="Inter"/>
                <w:b/>
                <w:color w:val="000000"/>
                <w:sz w:val="18"/>
              </w:rPr>
              <w:t>Verbindliche Arbeitsweise</w:t>
            </w:r>
          </w:p>
        </w:tc>
      </w:tr>
      <w:tr>
        <w:trPr>
          <w:cantSplit/>
        </w:trPr>
        <w:tc>
          <w:tcPr>
            <w:tcW w:type="dxa" w:w="2268"/>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Auftrag eingrenzen</w:t>
            </w:r>
          </w:p>
        </w:tc>
        <w:tc>
          <w:tcPr>
            <w:tcW w:type="dxa" w:w="6803"/>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Zielgruppe, fachliche Kernfrage und Qualitätskriterien festlegen; vorhandenes eigenes Wissen sichtbar machen.</w:t>
            </w:r>
          </w:p>
        </w:tc>
      </w:tr>
      <w:tr>
        <w:trPr>
          <w:cantSplit/>
        </w:trPr>
        <w:tc>
          <w:tcPr>
            <w:tcW w:type="dxa" w:w="2268"/>
            <w:vAlign w:val="center"/>
            <w:shd w:fill="F5F8F9"/>
            <w:tcMar>
              <w:top w:w="65" w:type="dxa"/>
              <w:bottom w:w="65" w:type="dxa"/>
              <w:left w:w="85" w:type="dxa"/>
              <w:right w:w="85" w:type="dxa"/>
            </w:tcMar>
          </w:tcPr>
          <w:p>
            <w:pPr>
              <w:spacing w:line="264" w:lineRule="auto" w:after="20" w:before="20"/>
              <w:jc w:val="left"/>
            </w:pPr>
            <w:r>
              <w:rPr>
                <w:rFonts w:ascii="Inter" w:hAnsi="Inter"/>
                <w:b w:val="0"/>
                <w:color w:val="000000"/>
                <w:sz w:val="18"/>
              </w:rPr>
              <w:t>Ergebnis prüfen</w:t>
            </w:r>
          </w:p>
        </w:tc>
        <w:tc>
          <w:tcPr>
            <w:tcW w:type="dxa" w:w="6803"/>
            <w:vAlign w:val="center"/>
            <w:shd w:fill="F5F8F9"/>
            <w:tcMar>
              <w:top w:w="65" w:type="dxa"/>
              <w:bottom w:w="65" w:type="dxa"/>
              <w:left w:w="85" w:type="dxa"/>
              <w:right w:w="85" w:type="dxa"/>
            </w:tcMar>
          </w:tcPr>
          <w:p>
            <w:pPr>
              <w:spacing w:line="264" w:lineRule="auto" w:after="20" w:before="20"/>
              <w:jc w:val="left"/>
            </w:pPr>
            <w:r>
              <w:rPr>
                <w:rFonts w:ascii="Inter" w:hAnsi="Inter"/>
                <w:b w:val="0"/>
                <w:color w:val="000000"/>
                <w:sz w:val="18"/>
              </w:rPr>
              <w:t>Behauptungen, Quellen, Rechnungen, Diagramme und Modellannahmen unabhängig kontrollieren.</w:t>
            </w:r>
          </w:p>
        </w:tc>
      </w:tr>
      <w:tr>
        <w:trPr>
          <w:cantSplit/>
        </w:trPr>
        <w:tc>
          <w:tcPr>
            <w:tcW w:type="dxa" w:w="2268"/>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Entscheidung dokumentieren</w:t>
            </w:r>
          </w:p>
        </w:tc>
        <w:tc>
          <w:tcPr>
            <w:tcW w:type="dxa" w:w="6803"/>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Übernommene, veränderte und verworfene Vorschläge sowie die Gründe festhalten.</w:t>
            </w:r>
          </w:p>
        </w:tc>
      </w:tr>
      <w:tr>
        <w:trPr>
          <w:cantSplit/>
        </w:trPr>
        <w:tc>
          <w:tcPr>
            <w:tcW w:type="dxa" w:w="2268"/>
            <w:vAlign w:val="center"/>
            <w:shd w:fill="F5F8F9"/>
            <w:tcMar>
              <w:top w:w="65" w:type="dxa"/>
              <w:bottom w:w="65" w:type="dxa"/>
              <w:left w:w="85" w:type="dxa"/>
              <w:right w:w="85" w:type="dxa"/>
            </w:tcMar>
          </w:tcPr>
          <w:p>
            <w:pPr>
              <w:spacing w:line="264" w:lineRule="auto" w:after="20" w:before="20"/>
              <w:jc w:val="left"/>
            </w:pPr>
            <w:r>
              <w:rPr>
                <w:rFonts w:ascii="Inter" w:hAnsi="Inter"/>
                <w:b w:val="0"/>
                <w:color w:val="000000"/>
                <w:sz w:val="18"/>
              </w:rPr>
              <w:t>Eigenständig erklären</w:t>
            </w:r>
          </w:p>
        </w:tc>
        <w:tc>
          <w:tcPr>
            <w:tcW w:type="dxa" w:w="6803"/>
            <w:vAlign w:val="center"/>
            <w:shd w:fill="F5F8F9"/>
            <w:tcMar>
              <w:top w:w="65" w:type="dxa"/>
              <w:bottom w:w="65" w:type="dxa"/>
              <w:left w:w="85" w:type="dxa"/>
              <w:right w:w="85" w:type="dxa"/>
            </w:tcMar>
          </w:tcPr>
          <w:p>
            <w:pPr>
              <w:spacing w:line="264" w:lineRule="auto" w:after="20" w:before="20"/>
              <w:jc w:val="left"/>
            </w:pPr>
            <w:r>
              <w:rPr>
                <w:rFonts w:ascii="Inter" w:hAnsi="Inter"/>
                <w:b w:val="0"/>
                <w:color w:val="000000"/>
                <w:sz w:val="18"/>
              </w:rPr>
              <w:t>Den fachlichen Inhalt und die vorgenommenen Änderungen im Gespräch ohne Rückgriff auf eine laufende KI-Ausgabe erläutern.</w:t>
            </w:r>
          </w:p>
        </w:tc>
      </w:tr>
    </w:tbl>
    <w:p>
      <w:pPr>
        <w:spacing w:after="0" w:before="0" w:line="240" w:lineRule="auto"/>
      </w:pPr>
      <w:r>
        <w:rPr>
          <w:sz w:val="6"/>
        </w:rPr>
      </w:r>
    </w:p>
    <w:p>
      <w:pPr>
        <w:keepLines/>
      </w:pPr>
      <w:r>
        <w:t>Das KI-Protokoll nennt Werkzeug und Nutzungsdatum, Zweck, relevante Eingabe, verwendete Ausgabe, Prüfung und eigene Überarbeitung. Personenbezogene Daten, vertrauliche Materialien und ungeklärte fremde Inhalte werden nicht in beliebige Dienste eingegeben. Die Schule legt zulässige Zugänge und gleichwertige Alternativen fest.</w:t>
      </w:r>
    </w:p>
    <w:p>
      <w:pPr>
        <w:pStyle w:val="Heading3"/>
        <w:spacing w:before="260" w:after="140"/>
        <w:keepLines/>
        <w:jc w:val="left"/>
      </w:pPr>
      <w:r>
        <w:t>Schädliche Nutzung erkennen und vermeiden</w:t>
      </w:r>
    </w:p>
    <w:p>
      <w:pPr>
        <w:keepLines/>
      </w:pPr>
      <w:r>
        <w:t>Nicht zulässig sind erfundene Quellen oder Messdaten, verschleierte Fremdleistungen und synthetische Bilder, die als Beleg eines realen Experiments ausgegeben werden. Täuschend echte Stimmen oder Darstellungen realer Personen werden nicht ohne Berechtigung verwendet. Die Lernenden untersuchen, wie KI Desinformation verstärken kann, und entwickeln einen fachlich geprüften Faktencheck oder einen kurzen Beitrag zur Erkennung typischer Manipulationstechniken.</w:t>
      </w:r>
    </w:p>
    <w:p>
      <w:pPr>
        <w:keepLines/>
      </w:pPr>
      <w:r>
        <w:t>Der Kurs verbindet deshalb mediale Produkte mit Prozessnachweisen und individuellen Gesprächen. Bewertbar bleiben die begründete Auswahl, fachliche Prüfung, Reflexion und situationsbezogene Erklärung. Die technische Leistungsfähigkeit eines Werkzeugs ist keine eigene Schülerleistung.</w:t>
      </w:r>
    </w:p>
    <w:p>
      <w:bookmarkStart w:id="18" w:name="bewertung"/>
      <w:pPr>
        <w:pStyle w:val="Heading1"/>
        <w:spacing w:before="260" w:after="140"/>
        <w:keepLines/>
        <w:jc w:val="left"/>
      </w:pPr>
      <w:r>
        <w:t>9 Grundsätze der Leistungsbewertung</w:t>
      </w:r>
      <w:bookmarkEnd w:id="18"/>
    </w:p>
    <w:p>
      <w:pPr>
        <w:keepLines/>
      </w:pPr>
      <w:r>
        <w:t>Für die Jahrgänge nach der neuen APO-GOSt werden die Endnoten der Beurteilungsbereiche Schriftliche Arbeiten und Sonstige Mitarbeit gleichwertig berücksichtigt. Im Projektkurs ist der schriftliche Leistungsnachweis jeweils ein Produkt; bewertet werden dessen fachlich-inhaltliche Qualität und seine Vorstellung. Die Kursabschlussnote ist keine bloß rechnerische Zusammenfassung, sondern berücksichtigt die Gesamtentwicklung im Halbjahr. [1, §§ 13 bis 15]</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8"/>
        <w:gridCol w:w="3572"/>
        <w:gridCol w:w="3402"/>
      </w:tblGrid>
      <w:tr>
        <w:trPr>
          <w:cantSplit/>
          <w:tblHeader/>
        </w:trPr>
        <w:tc>
          <w:tcPr>
            <w:tcW w:type="dxa" w:w="2098"/>
            <w:vAlign w:val="center"/>
            <w:shd w:fill="DDE9EC"/>
            <w:tcMar>
              <w:top w:w="65" w:type="dxa"/>
              <w:bottom w:w="65" w:type="dxa"/>
              <w:left w:w="85" w:type="dxa"/>
              <w:right w:w="85" w:type="dxa"/>
            </w:tcMar>
          </w:tcPr>
          <w:p>
            <w:pPr>
              <w:keepNext/>
              <w:spacing w:line="264" w:lineRule="auto" w:after="20" w:before="20"/>
              <w:jc w:val="left"/>
            </w:pPr>
            <w:r>
              <w:rPr>
                <w:rFonts w:ascii="Inter" w:hAnsi="Inter"/>
                <w:b/>
                <w:color w:val="000000"/>
                <w:sz w:val="18"/>
              </w:rPr>
              <w:t>Bereich</w:t>
            </w:r>
          </w:p>
        </w:tc>
        <w:tc>
          <w:tcPr>
            <w:tcW w:type="dxa" w:w="3572"/>
            <w:vAlign w:val="center"/>
            <w:shd w:fill="DDE9EC"/>
            <w:tcMar>
              <w:top w:w="65" w:type="dxa"/>
              <w:bottom w:w="65" w:type="dxa"/>
              <w:left w:w="85" w:type="dxa"/>
              <w:right w:w="85" w:type="dxa"/>
            </w:tcMar>
          </w:tcPr>
          <w:p>
            <w:pPr>
              <w:keepNext/>
              <w:spacing w:line="264" w:lineRule="auto" w:after="20" w:before="20"/>
              <w:jc w:val="left"/>
            </w:pPr>
            <w:r>
              <w:rPr>
                <w:rFonts w:ascii="Inter" w:hAnsi="Inter"/>
                <w:b/>
                <w:color w:val="000000"/>
                <w:sz w:val="18"/>
              </w:rPr>
              <w:t>Grundlage</w:t>
            </w:r>
          </w:p>
        </w:tc>
        <w:tc>
          <w:tcPr>
            <w:tcW w:type="dxa" w:w="3402"/>
            <w:vAlign w:val="center"/>
            <w:shd w:fill="DDE9EC"/>
            <w:tcMar>
              <w:top w:w="65" w:type="dxa"/>
              <w:bottom w:w="65" w:type="dxa"/>
              <w:left w:w="85" w:type="dxa"/>
              <w:right w:w="85" w:type="dxa"/>
            </w:tcMar>
          </w:tcPr>
          <w:p>
            <w:pPr>
              <w:keepNext/>
              <w:spacing w:line="264" w:lineRule="auto" w:after="20" w:before="20"/>
              <w:jc w:val="left"/>
            </w:pPr>
            <w:r>
              <w:rPr>
                <w:rFonts w:ascii="Inter" w:hAnsi="Inter"/>
                <w:b/>
                <w:color w:val="000000"/>
                <w:sz w:val="18"/>
              </w:rPr>
              <w:t>Abgrenzung</w:t>
            </w:r>
          </w:p>
        </w:tc>
      </w:tr>
      <w:tr>
        <w:trPr>
          <w:cantSplit/>
        </w:trPr>
        <w:tc>
          <w:tcPr>
            <w:tcW w:type="dxa" w:w="2098"/>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Schriftliche Arbeiten</w:t>
            </w:r>
          </w:p>
        </w:tc>
        <w:tc>
          <w:tcPr>
            <w:tcW w:type="dxa" w:w="3572"/>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Je Halbjahr ein Produkt mit individueller Vorstellung; Raster P mit 100 BE</w:t>
            </w:r>
          </w:p>
        </w:tc>
        <w:tc>
          <w:tcPr>
            <w:tcW w:type="dxa" w:w="3402"/>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Fachliche, kommunikative und funktionale Produktqualität sowie Erklärung des eigenen Beitrags.</w:t>
            </w:r>
          </w:p>
        </w:tc>
      </w:tr>
      <w:tr>
        <w:trPr>
          <w:cantSplit/>
        </w:trPr>
        <w:tc>
          <w:tcPr>
            <w:tcW w:type="dxa" w:w="2098"/>
            <w:vAlign w:val="center"/>
            <w:shd w:fill="F5F8F9"/>
            <w:tcMar>
              <w:top w:w="65" w:type="dxa"/>
              <w:bottom w:w="65" w:type="dxa"/>
              <w:left w:w="85" w:type="dxa"/>
              <w:right w:w="85" w:type="dxa"/>
            </w:tcMar>
          </w:tcPr>
          <w:p>
            <w:pPr>
              <w:spacing w:line="264" w:lineRule="auto" w:after="20" w:before="20"/>
              <w:jc w:val="left"/>
            </w:pPr>
            <w:r>
              <w:rPr>
                <w:rFonts w:ascii="Inter" w:hAnsi="Inter"/>
                <w:b w:val="0"/>
                <w:color w:val="000000"/>
                <w:sz w:val="18"/>
              </w:rPr>
              <w:t>Sonstige Mitarbeit</w:t>
            </w:r>
          </w:p>
        </w:tc>
        <w:tc>
          <w:tcPr>
            <w:tcW w:type="dxa" w:w="3572"/>
            <w:vAlign w:val="center"/>
            <w:shd w:fill="F5F8F9"/>
            <w:tcMar>
              <w:top w:w="65" w:type="dxa"/>
              <w:bottom w:w="65" w:type="dxa"/>
              <w:left w:w="85" w:type="dxa"/>
              <w:right w:w="85" w:type="dxa"/>
            </w:tcMar>
          </w:tcPr>
          <w:p>
            <w:pPr>
              <w:spacing w:line="264" w:lineRule="auto" w:after="20" w:before="20"/>
              <w:jc w:val="left"/>
            </w:pPr>
            <w:r>
              <w:rPr>
                <w:rFonts w:ascii="Inter" w:hAnsi="Inter"/>
                <w:b w:val="0"/>
                <w:color w:val="000000"/>
                <w:sz w:val="18"/>
              </w:rPr>
              <w:t>Fortlaufende fachliche Beiträge, Projektarbeit, Feedback und ausgewählte Reflexionsnachweise; Raster S mit 100 BE als Kriterienrahmen</w:t>
            </w:r>
          </w:p>
        </w:tc>
        <w:tc>
          <w:tcPr>
            <w:tcW w:type="dxa" w:w="3402"/>
            <w:vAlign w:val="center"/>
            <w:shd w:fill="F5F8F9"/>
            <w:tcMar>
              <w:top w:w="65" w:type="dxa"/>
              <w:bottom w:w="65" w:type="dxa"/>
              <w:left w:w="85" w:type="dxa"/>
              <w:right w:w="85" w:type="dxa"/>
            </w:tcMar>
          </w:tcPr>
          <w:p>
            <w:pPr>
              <w:spacing w:line="264" w:lineRule="auto" w:after="20" w:before="20"/>
              <w:jc w:val="left"/>
            </w:pPr>
            <w:r>
              <w:rPr>
                <w:rFonts w:ascii="Inter" w:hAnsi="Inter"/>
                <w:b w:val="0"/>
                <w:color w:val="000000"/>
                <w:sz w:val="18"/>
              </w:rPr>
              <w:t>Beobachtete individuelle Leistungen während des Halbjahres; keine erneute Bewertung des abgegebenen Produkts.</w:t>
            </w:r>
          </w:p>
        </w:tc>
      </w:tr>
    </w:tbl>
    <w:p>
      <w:pPr>
        <w:spacing w:after="0" w:before="0" w:line="240" w:lineRule="auto"/>
      </w:pPr>
      <w:r>
        <w:rPr>
          <w:sz w:val="6"/>
        </w:rPr>
      </w:r>
    </w:p>
    <w:p>
      <w:pPr>
        <w:pStyle w:val="Heading3"/>
        <w:spacing w:before="260" w:after="140"/>
        <w:keepLines/>
        <w:jc w:val="left"/>
      </w:pPr>
      <w:r>
        <w:t>Kriterien und Rückmeldung</w:t>
      </w:r>
    </w:p>
    <w:p>
      <w:pPr>
        <w:keepLines/>
      </w:pPr>
      <w:r>
        <w:t>Zu Halbjahresbeginn werden Aufgaben, Formate, Termine, erlaubte Hilfsmittel, Dokumentationspflichten und Bewertungskriterien erläutert. Ein Zwischenstand wird etwa zur Halbjahresmitte besprochen. Bei der Rückgabe erhalten die Lernenden eine nachvollziehbare Begründung und einen konkreten nächsten Lernschritt. Abweichende produktspezifische Kriterien werden vor Arbeitsbeginn bekannt gegeben.</w:t>
      </w:r>
    </w:p>
    <w:p>
      <w:pPr>
        <w:keepLines/>
      </w:pPr>
      <w:r>
        <w:t>Die Raster auf den folgenden Seiten konkretisieren die schulinterne Bewertung. Die Kategorien wissenschaftliche Korrektheit, kommunikative Qualität, technische Umsetzung, Arbeitsprozess und Reflexion sind in beiden Bereichen eindeutig verortet. Produkt und Vorstellung umfassen zusammen 100 BE; die fortlaufende Mitarbeit wird gesondert beurteilt. Die BE sind keine unmittelbaren Prozentanteile an der Kursabschlussnote.</w:t>
      </w:r>
    </w:p>
    <w:p>
      <w:pPr>
        <w:keepLines/>
      </w:pPr>
      <w:r>
        <w:t>Die Raster P und S konkretisieren das neue Halbjahresmodell für den EF-Eintritt ab 2027/28, regulär im Projektkurs ab 2029/30. Für frühere Jahrgänge gilt die Jahresbewertung aus Kapitel 2; Raster P ersetzt dort nicht die Bewertung der abschließenden Jahresdokumentation. Die Bewertungsbögen des Kurses sind keine amtlichen Abiturformulare. Die Kurslehrkraft beurteilt die Produkte; über Ausnahmen entscheidet die Schulleitung. [1, VV 14.1; 2, § 14 Absatz 7]</w:t>
      </w:r>
    </w:p>
    <w:p>
      <w:pPr>
        <w:pStyle w:val="Heading3"/>
        <w:spacing w:before="260" w:after="140"/>
        <w:keepLines/>
        <w:jc w:val="left"/>
      </w:pPr>
      <w:r>
        <w:t>Individuelle Bewertung in Teams</w:t>
      </w:r>
    </w:p>
    <w:p>
      <w:pPr>
        <w:keepLines/>
      </w:pPr>
      <w:r>
        <w:t>Im Produktraster werden 40 BE für das gemeinsame Ergebnis und 60 BE für individuell nachgewiesene Beiträge und Vorstellung ausgewiesen. Bei Einzelarbeit sind alle Kriterien individuell. Aufgabenverteilung, datierte Versionen, Beobachtungen und Rückfragen belegen die Zuordnung. Eine gemeinsame Bewertung verdeckt keine unterschiedlichen fachlichen Leistungen. Peer-Feedback ist eine Informationsquelle, keine Abstimmung über Noten.</w:t>
      </w:r>
    </w:p>
    <w:p>
      <w:pPr>
        <w:keepLines/>
      </w:pPr>
      <w:r>
        <w:t>Bewertet werden Qualität und nachvollziehbare Leistung. Reine Anwesenheit, die Zahl geschriebener Wörter oder investierte private Arbeitsstunden ersetzen keine Leistungskriterien. Bei Ausfällen oder nicht selbst verschuldeten Schwierigkeiten werden rechtzeitig angemessene Nachholmöglichkeiten vereinbart. Täuschungsfälle und Nachteilsausgleiche werden nach der geltenden APO-GOSt behandelt.</w:t>
      </w:r>
    </w:p>
    <w:p>
      <w:bookmarkStart w:id="19" w:name="produktraster"/>
      <w:pPr>
        <w:pStyle w:val="Heading2"/>
        <w:spacing w:before="260" w:after="140"/>
        <w:keepLines/>
        <w:jc w:val="left"/>
      </w:pPr>
      <w:r>
        <w:t>Produktraster für Ergebnis und Vorstellung</w:t>
      </w:r>
      <w:bookmarkEnd w:id="19"/>
    </w:p>
    <w:p>
      <w:pPr>
        <w:keepLines/>
      </w:pPr>
      <w:r>
        <w:t>Raster P | Neues Halbjahresmodell ab EF-Eintritt 2027/28. Je Person und Produkt getrennt ausfüllen. Im Team sind 40 BE gemeinsam und 60 BE individuell erreichbar; in Einzelarbeit gelten die vollen 100 BE. Für die Jahresbewertung bisheriger Jahrgänge gilt Kapitel 2.</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669"/>
        <w:gridCol w:w="1134"/>
        <w:gridCol w:w="1134"/>
        <w:gridCol w:w="1134"/>
      </w:tblGrid>
      <w:tr>
        <w:trPr>
          <w:cantSplit/>
          <w:tblHeader/>
        </w:trPr>
        <w:tc>
          <w:tcPr>
            <w:tcW w:type="dxa" w:w="5669"/>
            <w:vAlign w:val="center"/>
            <w:shd w:fill="DDE9EC"/>
            <w:tcMar>
              <w:top w:w="65" w:type="dxa"/>
              <w:bottom w:w="65" w:type="dxa"/>
              <w:left w:w="85" w:type="dxa"/>
              <w:right w:w="85" w:type="dxa"/>
            </w:tcMar>
          </w:tcPr>
          <w:p>
            <w:pPr>
              <w:keepNext/>
              <w:spacing w:line="264" w:lineRule="auto" w:after="20" w:before="20"/>
              <w:jc w:val="left"/>
            </w:pPr>
            <w:r>
              <w:rPr>
                <w:rFonts w:ascii="Inter" w:hAnsi="Inter"/>
                <w:b/>
                <w:color w:val="000000"/>
                <w:sz w:val="18"/>
              </w:rPr>
              <w:t>Kriterium und erwartete Leistung</w:t>
            </w:r>
          </w:p>
        </w:tc>
        <w:tc>
          <w:tcPr>
            <w:tcW w:type="dxa" w:w="1134"/>
            <w:vAlign w:val="center"/>
            <w:shd w:fill="DDE9EC"/>
            <w:tcMar>
              <w:top w:w="65" w:type="dxa"/>
              <w:bottom w:w="65" w:type="dxa"/>
              <w:left w:w="85" w:type="dxa"/>
              <w:right w:w="85" w:type="dxa"/>
            </w:tcMar>
          </w:tcPr>
          <w:p>
            <w:pPr>
              <w:keepNext/>
              <w:spacing w:line="264" w:lineRule="auto" w:after="20" w:before="20"/>
              <w:jc w:val="center"/>
            </w:pPr>
            <w:r>
              <w:rPr>
                <w:rFonts w:ascii="Inter" w:hAnsi="Inter"/>
                <w:b/>
                <w:color w:val="000000"/>
                <w:sz w:val="18"/>
              </w:rPr>
              <w:t>Team</w:t>
            </w:r>
          </w:p>
        </w:tc>
        <w:tc>
          <w:tcPr>
            <w:tcW w:type="dxa" w:w="1134"/>
            <w:vAlign w:val="center"/>
            <w:shd w:fill="DDE9EC"/>
            <w:tcMar>
              <w:top w:w="65" w:type="dxa"/>
              <w:bottom w:w="65" w:type="dxa"/>
              <w:left w:w="85" w:type="dxa"/>
              <w:right w:w="85" w:type="dxa"/>
            </w:tcMar>
          </w:tcPr>
          <w:p>
            <w:pPr>
              <w:keepNext/>
              <w:spacing w:line="264" w:lineRule="auto" w:after="20" w:before="20"/>
              <w:jc w:val="center"/>
            </w:pPr>
            <w:r>
              <w:rPr>
                <w:rFonts w:ascii="Inter" w:hAnsi="Inter"/>
                <w:b/>
                <w:color w:val="000000"/>
                <w:sz w:val="18"/>
              </w:rPr>
              <w:t>Einzeln</w:t>
            </w:r>
          </w:p>
        </w:tc>
        <w:tc>
          <w:tcPr>
            <w:tcW w:type="dxa" w:w="1134"/>
            <w:vAlign w:val="center"/>
            <w:shd w:fill="DDE9EC"/>
            <w:tcMar>
              <w:top w:w="65" w:type="dxa"/>
              <w:bottom w:w="65" w:type="dxa"/>
              <w:left w:w="85" w:type="dxa"/>
              <w:right w:w="85" w:type="dxa"/>
            </w:tcMar>
          </w:tcPr>
          <w:p>
            <w:pPr>
              <w:keepNext/>
              <w:spacing w:line="264" w:lineRule="auto" w:after="20" w:before="20"/>
              <w:jc w:val="center"/>
            </w:pPr>
            <w:r>
              <w:rPr>
                <w:rFonts w:ascii="Inter" w:hAnsi="Inter"/>
                <w:b/>
                <w:color w:val="000000"/>
                <w:sz w:val="18"/>
              </w:rPr>
              <w:t>Max. BE</w:t>
            </w:r>
          </w:p>
        </w:tc>
      </w:tr>
      <w:tr>
        <w:trPr>
          <w:cantSplit/>
        </w:trPr>
        <w:tc>
          <w:tcPr>
            <w:tcW w:type="dxa" w:w="5669"/>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A Wissenschaftliche Korrektheit</w:t>
              <w:br/>
              <w:t>Sachlich richtige Erklärung; passende Fachbegriffe und Modelle; belegte Aussagen; transparente Unsicherheiten; begründete Reduktion.</w:t>
            </w:r>
          </w:p>
        </w:tc>
        <w:tc>
          <w:tcPr>
            <w:tcW w:type="dxa" w:w="1134"/>
            <w:vAlign w:val="center"/>
            <w:shd w:fill="FFFFFF"/>
            <w:tcMar>
              <w:top w:w="65" w:type="dxa"/>
              <w:bottom w:w="65" w:type="dxa"/>
              <w:left w:w="85" w:type="dxa"/>
              <w:right w:w="85" w:type="dxa"/>
            </w:tcMar>
          </w:tcPr>
          <w:p>
            <w:pPr>
              <w:spacing w:line="264" w:lineRule="auto" w:after="20" w:before="20"/>
              <w:jc w:val="center"/>
            </w:pPr>
            <w:r>
              <w:rPr>
                <w:rFonts w:ascii="Inter" w:hAnsi="Inter"/>
                <w:b w:val="0"/>
                <w:color w:val="000000"/>
                <w:sz w:val="18"/>
              </w:rPr>
              <w:t>10</w:t>
            </w:r>
          </w:p>
        </w:tc>
        <w:tc>
          <w:tcPr>
            <w:tcW w:type="dxa" w:w="1134"/>
            <w:vAlign w:val="center"/>
            <w:shd w:fill="FFFFFF"/>
            <w:tcMar>
              <w:top w:w="65" w:type="dxa"/>
              <w:bottom w:w="65" w:type="dxa"/>
              <w:left w:w="85" w:type="dxa"/>
              <w:right w:w="85" w:type="dxa"/>
            </w:tcMar>
          </w:tcPr>
          <w:p>
            <w:pPr>
              <w:spacing w:line="264" w:lineRule="auto" w:after="20" w:before="20"/>
              <w:jc w:val="center"/>
            </w:pPr>
            <w:r>
              <w:rPr>
                <w:rFonts w:ascii="Inter" w:hAnsi="Inter"/>
                <w:b w:val="0"/>
                <w:color w:val="000000"/>
                <w:sz w:val="18"/>
              </w:rPr>
              <w:t>15</w:t>
            </w:r>
          </w:p>
        </w:tc>
        <w:tc>
          <w:tcPr>
            <w:tcW w:type="dxa" w:w="1134"/>
            <w:vAlign w:val="center"/>
            <w:shd w:fill="FFFFFF"/>
            <w:tcMar>
              <w:top w:w="65" w:type="dxa"/>
              <w:bottom w:w="65" w:type="dxa"/>
              <w:left w:w="85" w:type="dxa"/>
              <w:right w:w="85" w:type="dxa"/>
            </w:tcMar>
          </w:tcPr>
          <w:p>
            <w:pPr>
              <w:spacing w:line="264" w:lineRule="auto" w:after="20" w:before="20"/>
              <w:jc w:val="center"/>
            </w:pPr>
            <w:r>
              <w:rPr>
                <w:rFonts w:ascii="Inter" w:hAnsi="Inter"/>
                <w:b w:val="0"/>
                <w:color w:val="000000"/>
                <w:sz w:val="18"/>
              </w:rPr>
              <w:t>25</w:t>
            </w:r>
          </w:p>
        </w:tc>
      </w:tr>
      <w:tr>
        <w:trPr>
          <w:cantSplit/>
        </w:trPr>
        <w:tc>
          <w:tcPr>
            <w:tcW w:type="dxa" w:w="5669"/>
            <w:vAlign w:val="center"/>
            <w:shd w:fill="F5F8F9"/>
            <w:tcMar>
              <w:top w:w="65" w:type="dxa"/>
              <w:bottom w:w="65" w:type="dxa"/>
              <w:left w:w="85" w:type="dxa"/>
              <w:right w:w="85" w:type="dxa"/>
            </w:tcMar>
          </w:tcPr>
          <w:p>
            <w:pPr>
              <w:spacing w:line="264" w:lineRule="auto" w:after="20" w:before="20"/>
              <w:jc w:val="left"/>
            </w:pPr>
            <w:r>
              <w:rPr>
                <w:rFonts w:ascii="Inter" w:hAnsi="Inter"/>
                <w:b w:val="0"/>
                <w:color w:val="000000"/>
                <w:sz w:val="18"/>
              </w:rPr>
              <w:t>B Kommunikative Qualität</w:t>
              <w:br/>
              <w:t>Erkennbarer Zielgruppenbezug; klare Struktur; verständliche Erläuterungen; tragfähige Beispiele oder Analogien; sinnvoller Einstieg und Abschluss.</w:t>
            </w:r>
          </w:p>
        </w:tc>
        <w:tc>
          <w:tcPr>
            <w:tcW w:type="dxa" w:w="1134"/>
            <w:vAlign w:val="center"/>
            <w:shd w:fill="F5F8F9"/>
            <w:tcMar>
              <w:top w:w="65" w:type="dxa"/>
              <w:bottom w:w="65" w:type="dxa"/>
              <w:left w:w="85" w:type="dxa"/>
              <w:right w:w="85" w:type="dxa"/>
            </w:tcMar>
          </w:tcPr>
          <w:p>
            <w:pPr>
              <w:spacing w:line="264" w:lineRule="auto" w:after="20" w:before="20"/>
              <w:jc w:val="center"/>
            </w:pPr>
            <w:r>
              <w:rPr>
                <w:rFonts w:ascii="Inter" w:hAnsi="Inter"/>
                <w:b w:val="0"/>
                <w:color w:val="000000"/>
                <w:sz w:val="18"/>
              </w:rPr>
              <w:t>15</w:t>
            </w:r>
          </w:p>
        </w:tc>
        <w:tc>
          <w:tcPr>
            <w:tcW w:type="dxa" w:w="1134"/>
            <w:vAlign w:val="center"/>
            <w:shd w:fill="F5F8F9"/>
            <w:tcMar>
              <w:top w:w="65" w:type="dxa"/>
              <w:bottom w:w="65" w:type="dxa"/>
              <w:left w:w="85" w:type="dxa"/>
              <w:right w:w="85" w:type="dxa"/>
            </w:tcMar>
          </w:tcPr>
          <w:p>
            <w:pPr>
              <w:spacing w:line="264" w:lineRule="auto" w:after="20" w:before="20"/>
              <w:jc w:val="center"/>
            </w:pPr>
            <w:r>
              <w:rPr>
                <w:rFonts w:ascii="Inter" w:hAnsi="Inter"/>
                <w:b w:val="0"/>
                <w:color w:val="000000"/>
                <w:sz w:val="18"/>
              </w:rPr>
              <w:t>15</w:t>
            </w:r>
          </w:p>
        </w:tc>
        <w:tc>
          <w:tcPr>
            <w:tcW w:type="dxa" w:w="1134"/>
            <w:vAlign w:val="center"/>
            <w:shd w:fill="F5F8F9"/>
            <w:tcMar>
              <w:top w:w="65" w:type="dxa"/>
              <w:bottom w:w="65" w:type="dxa"/>
              <w:left w:w="85" w:type="dxa"/>
              <w:right w:w="85" w:type="dxa"/>
            </w:tcMar>
          </w:tcPr>
          <w:p>
            <w:pPr>
              <w:spacing w:line="264" w:lineRule="auto" w:after="20" w:before="20"/>
              <w:jc w:val="center"/>
            </w:pPr>
            <w:r>
              <w:rPr>
                <w:rFonts w:ascii="Inter" w:hAnsi="Inter"/>
                <w:b w:val="0"/>
                <w:color w:val="000000"/>
                <w:sz w:val="18"/>
              </w:rPr>
              <w:t>30</w:t>
            </w:r>
          </w:p>
        </w:tc>
      </w:tr>
      <w:tr>
        <w:trPr>
          <w:cantSplit/>
        </w:trPr>
        <w:tc>
          <w:tcPr>
            <w:tcW w:type="dxa" w:w="5669"/>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C Funktionale technische Umsetzung</w:t>
              <w:br/>
              <w:t>Lesbare bzw. hörbare Darstellung; passende Gestaltung; zuverlässige Funktion; sprachliche Sorgfalt; angemessener Umfang und zugängliche Nutzung.</w:t>
            </w:r>
          </w:p>
        </w:tc>
        <w:tc>
          <w:tcPr>
            <w:tcW w:type="dxa" w:w="1134"/>
            <w:vAlign w:val="center"/>
            <w:shd w:fill="FFFFFF"/>
            <w:tcMar>
              <w:top w:w="65" w:type="dxa"/>
              <w:bottom w:w="65" w:type="dxa"/>
              <w:left w:w="85" w:type="dxa"/>
              <w:right w:w="85" w:type="dxa"/>
            </w:tcMar>
          </w:tcPr>
          <w:p>
            <w:pPr>
              <w:spacing w:line="264" w:lineRule="auto" w:after="20" w:before="20"/>
              <w:jc w:val="center"/>
            </w:pPr>
            <w:r>
              <w:rPr>
                <w:rFonts w:ascii="Inter" w:hAnsi="Inter"/>
                <w:b w:val="0"/>
                <w:color w:val="000000"/>
                <w:sz w:val="18"/>
              </w:rPr>
              <w:t>15</w:t>
            </w:r>
          </w:p>
        </w:tc>
        <w:tc>
          <w:tcPr>
            <w:tcW w:type="dxa" w:w="1134"/>
            <w:vAlign w:val="center"/>
            <w:shd w:fill="FFFFFF"/>
            <w:tcMar>
              <w:top w:w="65" w:type="dxa"/>
              <w:bottom w:w="65" w:type="dxa"/>
              <w:left w:w="85" w:type="dxa"/>
              <w:right w:w="85" w:type="dxa"/>
            </w:tcMar>
          </w:tcPr>
          <w:p>
            <w:pPr>
              <w:spacing w:line="264" w:lineRule="auto" w:after="20" w:before="20"/>
              <w:jc w:val="center"/>
            </w:pPr>
            <w:r>
              <w:rPr>
                <w:rFonts w:ascii="Inter" w:hAnsi="Inter"/>
                <w:b w:val="0"/>
                <w:color w:val="000000"/>
                <w:sz w:val="18"/>
              </w:rPr>
              <w:t>5</w:t>
            </w:r>
          </w:p>
        </w:tc>
        <w:tc>
          <w:tcPr>
            <w:tcW w:type="dxa" w:w="1134"/>
            <w:vAlign w:val="center"/>
            <w:shd w:fill="FFFFFF"/>
            <w:tcMar>
              <w:top w:w="65" w:type="dxa"/>
              <w:bottom w:w="65" w:type="dxa"/>
              <w:left w:w="85" w:type="dxa"/>
              <w:right w:w="85" w:type="dxa"/>
            </w:tcMar>
          </w:tcPr>
          <w:p>
            <w:pPr>
              <w:spacing w:line="264" w:lineRule="auto" w:after="20" w:before="20"/>
              <w:jc w:val="center"/>
            </w:pPr>
            <w:r>
              <w:rPr>
                <w:rFonts w:ascii="Inter" w:hAnsi="Inter"/>
                <w:b w:val="0"/>
                <w:color w:val="000000"/>
                <w:sz w:val="18"/>
              </w:rPr>
              <w:t>20</w:t>
            </w:r>
          </w:p>
        </w:tc>
      </w:tr>
      <w:tr>
        <w:trPr>
          <w:cantSplit/>
        </w:trPr>
        <w:tc>
          <w:tcPr>
            <w:tcW w:type="dxa" w:w="5669"/>
            <w:vAlign w:val="center"/>
            <w:shd w:fill="F5F8F9"/>
            <w:tcMar>
              <w:top w:w="65" w:type="dxa"/>
              <w:bottom w:w="65" w:type="dxa"/>
              <w:left w:w="85" w:type="dxa"/>
              <w:right w:w="85" w:type="dxa"/>
            </w:tcMar>
          </w:tcPr>
          <w:p>
            <w:pPr>
              <w:spacing w:line="264" w:lineRule="auto" w:after="20" w:before="20"/>
              <w:jc w:val="left"/>
            </w:pPr>
            <w:r>
              <w:rPr>
                <w:rFonts w:ascii="Inter" w:hAnsi="Inter"/>
                <w:b w:val="0"/>
                <w:color w:val="000000"/>
                <w:sz w:val="18"/>
              </w:rPr>
              <w:t>V Individuelle Vorstellung</w:t>
              <w:br/>
              <w:t>Fachliche Erklärung und Beantwortung von Rückfragen 15 BE; begründete Einordnung eigener fachlicher und medialer Entscheidungen 10 BE.</w:t>
            </w:r>
          </w:p>
        </w:tc>
        <w:tc>
          <w:tcPr>
            <w:tcW w:type="dxa" w:w="1134"/>
            <w:vAlign w:val="center"/>
            <w:shd w:fill="F5F8F9"/>
            <w:tcMar>
              <w:top w:w="65" w:type="dxa"/>
              <w:bottom w:w="65" w:type="dxa"/>
              <w:left w:w="85" w:type="dxa"/>
              <w:right w:w="85" w:type="dxa"/>
            </w:tcMar>
          </w:tcPr>
          <w:p>
            <w:pPr>
              <w:spacing w:line="264" w:lineRule="auto" w:after="20" w:before="20"/>
              <w:jc w:val="center"/>
            </w:pPr>
            <w:r>
              <w:rPr>
                <w:rFonts w:ascii="Inter" w:hAnsi="Inter"/>
                <w:b w:val="0"/>
                <w:color w:val="000000"/>
                <w:sz w:val="18"/>
              </w:rPr>
              <w:t>0</w:t>
            </w:r>
          </w:p>
        </w:tc>
        <w:tc>
          <w:tcPr>
            <w:tcW w:type="dxa" w:w="1134"/>
            <w:vAlign w:val="center"/>
            <w:shd w:fill="F5F8F9"/>
            <w:tcMar>
              <w:top w:w="65" w:type="dxa"/>
              <w:bottom w:w="65" w:type="dxa"/>
              <w:left w:w="85" w:type="dxa"/>
              <w:right w:w="85" w:type="dxa"/>
            </w:tcMar>
          </w:tcPr>
          <w:p>
            <w:pPr>
              <w:spacing w:line="264" w:lineRule="auto" w:after="20" w:before="20"/>
              <w:jc w:val="center"/>
            </w:pPr>
            <w:r>
              <w:rPr>
                <w:rFonts w:ascii="Inter" w:hAnsi="Inter"/>
                <w:b w:val="0"/>
                <w:color w:val="000000"/>
                <w:sz w:val="18"/>
              </w:rPr>
              <w:t>25</w:t>
            </w:r>
          </w:p>
        </w:tc>
        <w:tc>
          <w:tcPr>
            <w:tcW w:type="dxa" w:w="1134"/>
            <w:vAlign w:val="center"/>
            <w:shd w:fill="F5F8F9"/>
            <w:tcMar>
              <w:top w:w="65" w:type="dxa"/>
              <w:bottom w:w="65" w:type="dxa"/>
              <w:left w:w="85" w:type="dxa"/>
              <w:right w:w="85" w:type="dxa"/>
            </w:tcMar>
          </w:tcPr>
          <w:p>
            <w:pPr>
              <w:spacing w:line="264" w:lineRule="auto" w:after="20" w:before="20"/>
              <w:jc w:val="center"/>
            </w:pPr>
            <w:r>
              <w:rPr>
                <w:rFonts w:ascii="Inter" w:hAnsi="Inter"/>
                <w:b w:val="0"/>
                <w:color w:val="000000"/>
                <w:sz w:val="18"/>
              </w:rPr>
              <w:t>25</w:t>
            </w:r>
          </w:p>
        </w:tc>
      </w:tr>
      <w:tr>
        <w:trPr>
          <w:cantSplit/>
        </w:trPr>
        <w:tc>
          <w:tcPr>
            <w:tcW w:type="dxa" w:w="5669"/>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Summe</w:t>
            </w:r>
          </w:p>
        </w:tc>
        <w:tc>
          <w:tcPr>
            <w:tcW w:type="dxa" w:w="1134"/>
            <w:vAlign w:val="center"/>
            <w:shd w:fill="FFFFFF"/>
            <w:tcMar>
              <w:top w:w="65" w:type="dxa"/>
              <w:bottom w:w="65" w:type="dxa"/>
              <w:left w:w="85" w:type="dxa"/>
              <w:right w:w="85" w:type="dxa"/>
            </w:tcMar>
          </w:tcPr>
          <w:p>
            <w:pPr>
              <w:spacing w:line="264" w:lineRule="auto" w:after="20" w:before="20"/>
              <w:jc w:val="center"/>
            </w:pPr>
            <w:r>
              <w:rPr>
                <w:rFonts w:ascii="Inter" w:hAnsi="Inter"/>
                <w:b w:val="0"/>
                <w:color w:val="000000"/>
                <w:sz w:val="18"/>
              </w:rPr>
              <w:t>40</w:t>
            </w:r>
          </w:p>
        </w:tc>
        <w:tc>
          <w:tcPr>
            <w:tcW w:type="dxa" w:w="1134"/>
            <w:vAlign w:val="center"/>
            <w:shd w:fill="FFFFFF"/>
            <w:tcMar>
              <w:top w:w="65" w:type="dxa"/>
              <w:bottom w:w="65" w:type="dxa"/>
              <w:left w:w="85" w:type="dxa"/>
              <w:right w:w="85" w:type="dxa"/>
            </w:tcMar>
          </w:tcPr>
          <w:p>
            <w:pPr>
              <w:spacing w:line="264" w:lineRule="auto" w:after="20" w:before="20"/>
              <w:jc w:val="center"/>
            </w:pPr>
            <w:r>
              <w:rPr>
                <w:rFonts w:ascii="Inter" w:hAnsi="Inter"/>
                <w:b w:val="0"/>
                <w:color w:val="000000"/>
                <w:sz w:val="18"/>
              </w:rPr>
              <w:t>60</w:t>
            </w:r>
          </w:p>
        </w:tc>
        <w:tc>
          <w:tcPr>
            <w:tcW w:type="dxa" w:w="1134"/>
            <w:vAlign w:val="center"/>
            <w:shd w:fill="FFFFFF"/>
            <w:tcMar>
              <w:top w:w="65" w:type="dxa"/>
              <w:bottom w:w="65" w:type="dxa"/>
              <w:left w:w="85" w:type="dxa"/>
              <w:right w:w="85" w:type="dxa"/>
            </w:tcMar>
          </w:tcPr>
          <w:p>
            <w:pPr>
              <w:spacing w:line="264" w:lineRule="auto" w:after="20" w:before="20"/>
              <w:jc w:val="center"/>
            </w:pPr>
            <w:r>
              <w:rPr>
                <w:rFonts w:ascii="Inter" w:hAnsi="Inter"/>
                <w:b w:val="0"/>
                <w:color w:val="000000"/>
                <w:sz w:val="18"/>
              </w:rPr>
              <w:t>100</w:t>
            </w:r>
          </w:p>
        </w:tc>
      </w:tr>
    </w:tbl>
    <w:p>
      <w:pPr>
        <w:spacing w:after="0" w:before="0" w:line="240" w:lineRule="auto"/>
      </w:pPr>
      <w:r>
        <w:rPr>
          <w:sz w:val="6"/>
        </w:rPr>
      </w:r>
    </w:p>
    <w:p>
      <w:pPr>
        <w:keepLines/>
      </w:pPr>
      <w:r>
        <w:t>In A bis C bezieht sich der gemeinsame Anteil auf das Gesamtprodukt, der individuelle Anteil auf nachgewiesene eigene Beiträge. In Einzelarbeit gelten die vollen Höchstwerte A 25, B 30, C 20 und V 25 BE. B und C bewerten ausschließlich die fachbezogene Verständlichkeit und Funktion der Darstellung, nicht dekorativen Aufwand oder teure Technik. V beurteilt die eigenständige Erklärung. Identische Teilleistungen werden nicht mehrfach angerechnet.</w:t>
      </w:r>
    </w:p>
    <w:p>
      <w:pPr>
        <w:pStyle w:val="Heading3"/>
        <w:spacing w:before="260" w:after="140"/>
        <w:keepLines/>
        <w:jc w:val="left"/>
      </w:pPr>
      <w:r>
        <w:t>Eintragung und Begründung</w:t>
      </w:r>
    </w:p>
    <w:p>
      <w:pPr>
        <w:keepLines/>
      </w:pPr>
      <w:r>
        <w:t>Name __________________________  Halbjahr __________  Produkt __________________</w:t>
        <w:br/>
        <w:t>Rolle und eigener Beitrag _______________________________________________________</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47"/>
        <w:gridCol w:w="2268"/>
        <w:gridCol w:w="2268"/>
        <w:gridCol w:w="3288"/>
      </w:tblGrid>
      <w:tr>
        <w:trPr>
          <w:cantSplit/>
          <w:tblHeader/>
        </w:trPr>
        <w:tc>
          <w:tcPr>
            <w:tcW w:type="dxa" w:w="1247"/>
            <w:vAlign w:val="center"/>
            <w:shd w:fill="DDE9EC"/>
            <w:tcMar>
              <w:top w:w="65" w:type="dxa"/>
              <w:bottom w:w="65" w:type="dxa"/>
              <w:left w:w="85" w:type="dxa"/>
              <w:right w:w="85" w:type="dxa"/>
            </w:tcMar>
          </w:tcPr>
          <w:p>
            <w:pPr>
              <w:keepNext/>
              <w:spacing w:line="264" w:lineRule="auto" w:after="20" w:before="20"/>
              <w:jc w:val="center"/>
            </w:pPr>
            <w:r>
              <w:rPr>
                <w:rFonts w:ascii="Inter" w:hAnsi="Inter"/>
                <w:b/>
                <w:color w:val="000000"/>
                <w:sz w:val="18"/>
              </w:rPr>
              <w:t>Kriterium</w:t>
            </w:r>
          </w:p>
        </w:tc>
        <w:tc>
          <w:tcPr>
            <w:tcW w:type="dxa" w:w="2268"/>
            <w:vAlign w:val="center"/>
            <w:shd w:fill="DDE9EC"/>
            <w:tcMar>
              <w:top w:w="65" w:type="dxa"/>
              <w:bottom w:w="65" w:type="dxa"/>
              <w:left w:w="85" w:type="dxa"/>
              <w:right w:w="85" w:type="dxa"/>
            </w:tcMar>
          </w:tcPr>
          <w:p>
            <w:pPr>
              <w:keepNext/>
              <w:spacing w:line="264" w:lineRule="auto" w:after="20" w:before="20"/>
              <w:jc w:val="left"/>
            </w:pPr>
            <w:r>
              <w:rPr>
                <w:rFonts w:ascii="Inter" w:hAnsi="Inter"/>
                <w:b/>
                <w:color w:val="000000"/>
                <w:sz w:val="18"/>
              </w:rPr>
              <w:t>Gemeinsam erreicht</w:t>
            </w:r>
          </w:p>
        </w:tc>
        <w:tc>
          <w:tcPr>
            <w:tcW w:type="dxa" w:w="2268"/>
            <w:vAlign w:val="center"/>
            <w:shd w:fill="DDE9EC"/>
            <w:tcMar>
              <w:top w:w="65" w:type="dxa"/>
              <w:bottom w:w="65" w:type="dxa"/>
              <w:left w:w="85" w:type="dxa"/>
              <w:right w:w="85" w:type="dxa"/>
            </w:tcMar>
          </w:tcPr>
          <w:p>
            <w:pPr>
              <w:keepNext/>
              <w:spacing w:line="264" w:lineRule="auto" w:after="20" w:before="20"/>
              <w:jc w:val="left"/>
            </w:pPr>
            <w:r>
              <w:rPr>
                <w:rFonts w:ascii="Inter" w:hAnsi="Inter"/>
                <w:b/>
                <w:color w:val="000000"/>
                <w:sz w:val="18"/>
              </w:rPr>
              <w:t>Individuell erreicht</w:t>
            </w:r>
          </w:p>
        </w:tc>
        <w:tc>
          <w:tcPr>
            <w:tcW w:type="dxa" w:w="3288"/>
            <w:vAlign w:val="center"/>
            <w:shd w:fill="DDE9EC"/>
            <w:tcMar>
              <w:top w:w="65" w:type="dxa"/>
              <w:bottom w:w="65" w:type="dxa"/>
              <w:left w:w="85" w:type="dxa"/>
              <w:right w:w="85" w:type="dxa"/>
            </w:tcMar>
          </w:tcPr>
          <w:p>
            <w:pPr>
              <w:keepNext/>
              <w:spacing w:line="264" w:lineRule="auto" w:after="20" w:before="20"/>
              <w:jc w:val="left"/>
            </w:pPr>
            <w:r>
              <w:rPr>
                <w:rFonts w:ascii="Inter" w:hAnsi="Inter"/>
                <w:b/>
                <w:color w:val="000000"/>
                <w:sz w:val="18"/>
              </w:rPr>
              <w:t>Beleg</w:t>
            </w:r>
          </w:p>
        </w:tc>
      </w:tr>
      <w:tr>
        <w:trPr>
          <w:cantSplit/>
        </w:trPr>
        <w:tc>
          <w:tcPr>
            <w:tcW w:type="dxa" w:w="1247"/>
            <w:vAlign w:val="center"/>
            <w:shd w:fill="FFFFFF"/>
            <w:tcMar>
              <w:top w:w="65" w:type="dxa"/>
              <w:bottom w:w="65" w:type="dxa"/>
              <w:left w:w="85" w:type="dxa"/>
              <w:right w:w="85" w:type="dxa"/>
            </w:tcMar>
          </w:tcPr>
          <w:p>
            <w:pPr>
              <w:spacing w:line="264" w:lineRule="auto" w:after="20" w:before="20"/>
              <w:jc w:val="center"/>
            </w:pPr>
            <w:r>
              <w:rPr>
                <w:rFonts w:ascii="Inter" w:hAnsi="Inter"/>
                <w:b w:val="0"/>
                <w:color w:val="000000"/>
                <w:sz w:val="18"/>
              </w:rPr>
              <w:t>A</w:t>
            </w:r>
          </w:p>
        </w:tc>
        <w:tc>
          <w:tcPr>
            <w:tcW w:type="dxa" w:w="2268"/>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r>
          </w:p>
        </w:tc>
        <w:tc>
          <w:tcPr>
            <w:tcW w:type="dxa" w:w="2268"/>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r>
          </w:p>
        </w:tc>
        <w:tc>
          <w:tcPr>
            <w:tcW w:type="dxa" w:w="3288"/>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r>
          </w:p>
        </w:tc>
      </w:tr>
      <w:tr>
        <w:trPr>
          <w:cantSplit/>
        </w:trPr>
        <w:tc>
          <w:tcPr>
            <w:tcW w:type="dxa" w:w="1247"/>
            <w:vAlign w:val="center"/>
            <w:shd w:fill="F5F8F9"/>
            <w:tcMar>
              <w:top w:w="65" w:type="dxa"/>
              <w:bottom w:w="65" w:type="dxa"/>
              <w:left w:w="85" w:type="dxa"/>
              <w:right w:w="85" w:type="dxa"/>
            </w:tcMar>
          </w:tcPr>
          <w:p>
            <w:pPr>
              <w:spacing w:line="264" w:lineRule="auto" w:after="20" w:before="20"/>
              <w:jc w:val="center"/>
            </w:pPr>
            <w:r>
              <w:rPr>
                <w:rFonts w:ascii="Inter" w:hAnsi="Inter"/>
                <w:b w:val="0"/>
                <w:color w:val="000000"/>
                <w:sz w:val="18"/>
              </w:rPr>
              <w:t>B</w:t>
            </w:r>
          </w:p>
        </w:tc>
        <w:tc>
          <w:tcPr>
            <w:tcW w:type="dxa" w:w="2268"/>
            <w:vAlign w:val="center"/>
            <w:shd w:fill="F5F8F9"/>
            <w:tcMar>
              <w:top w:w="65" w:type="dxa"/>
              <w:bottom w:w="65" w:type="dxa"/>
              <w:left w:w="85" w:type="dxa"/>
              <w:right w:w="85" w:type="dxa"/>
            </w:tcMar>
          </w:tcPr>
          <w:p>
            <w:pPr>
              <w:spacing w:line="264" w:lineRule="auto" w:after="20" w:before="20"/>
              <w:jc w:val="left"/>
            </w:pPr>
            <w:r>
              <w:rPr>
                <w:rFonts w:ascii="Inter" w:hAnsi="Inter"/>
                <w:b w:val="0"/>
                <w:color w:val="000000"/>
                <w:sz w:val="18"/>
              </w:rPr>
            </w:r>
          </w:p>
        </w:tc>
        <w:tc>
          <w:tcPr>
            <w:tcW w:type="dxa" w:w="2268"/>
            <w:vAlign w:val="center"/>
            <w:shd w:fill="F5F8F9"/>
            <w:tcMar>
              <w:top w:w="65" w:type="dxa"/>
              <w:bottom w:w="65" w:type="dxa"/>
              <w:left w:w="85" w:type="dxa"/>
              <w:right w:w="85" w:type="dxa"/>
            </w:tcMar>
          </w:tcPr>
          <w:p>
            <w:pPr>
              <w:spacing w:line="264" w:lineRule="auto" w:after="20" w:before="20"/>
              <w:jc w:val="left"/>
            </w:pPr>
            <w:r>
              <w:rPr>
                <w:rFonts w:ascii="Inter" w:hAnsi="Inter"/>
                <w:b w:val="0"/>
                <w:color w:val="000000"/>
                <w:sz w:val="18"/>
              </w:rPr>
            </w:r>
          </w:p>
        </w:tc>
        <w:tc>
          <w:tcPr>
            <w:tcW w:type="dxa" w:w="3288"/>
            <w:vAlign w:val="center"/>
            <w:shd w:fill="F5F8F9"/>
            <w:tcMar>
              <w:top w:w="65" w:type="dxa"/>
              <w:bottom w:w="65" w:type="dxa"/>
              <w:left w:w="85" w:type="dxa"/>
              <w:right w:w="85" w:type="dxa"/>
            </w:tcMar>
          </w:tcPr>
          <w:p>
            <w:pPr>
              <w:spacing w:line="264" w:lineRule="auto" w:after="20" w:before="20"/>
              <w:jc w:val="left"/>
            </w:pPr>
            <w:r>
              <w:rPr>
                <w:rFonts w:ascii="Inter" w:hAnsi="Inter"/>
                <w:b w:val="0"/>
                <w:color w:val="000000"/>
                <w:sz w:val="18"/>
              </w:rPr>
            </w:r>
          </w:p>
        </w:tc>
      </w:tr>
      <w:tr>
        <w:trPr>
          <w:cantSplit/>
        </w:trPr>
        <w:tc>
          <w:tcPr>
            <w:tcW w:type="dxa" w:w="1247"/>
            <w:vAlign w:val="center"/>
            <w:shd w:fill="FFFFFF"/>
            <w:tcMar>
              <w:top w:w="65" w:type="dxa"/>
              <w:bottom w:w="65" w:type="dxa"/>
              <w:left w:w="85" w:type="dxa"/>
              <w:right w:w="85" w:type="dxa"/>
            </w:tcMar>
          </w:tcPr>
          <w:p>
            <w:pPr>
              <w:spacing w:line="264" w:lineRule="auto" w:after="20" w:before="20"/>
              <w:jc w:val="center"/>
            </w:pPr>
            <w:r>
              <w:rPr>
                <w:rFonts w:ascii="Inter" w:hAnsi="Inter"/>
                <w:b w:val="0"/>
                <w:color w:val="000000"/>
                <w:sz w:val="18"/>
              </w:rPr>
              <w:t>C</w:t>
            </w:r>
          </w:p>
        </w:tc>
        <w:tc>
          <w:tcPr>
            <w:tcW w:type="dxa" w:w="2268"/>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r>
          </w:p>
        </w:tc>
        <w:tc>
          <w:tcPr>
            <w:tcW w:type="dxa" w:w="2268"/>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r>
          </w:p>
        </w:tc>
        <w:tc>
          <w:tcPr>
            <w:tcW w:type="dxa" w:w="3288"/>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r>
          </w:p>
        </w:tc>
      </w:tr>
      <w:tr>
        <w:trPr>
          <w:cantSplit/>
        </w:trPr>
        <w:tc>
          <w:tcPr>
            <w:tcW w:type="dxa" w:w="1247"/>
            <w:vAlign w:val="center"/>
            <w:shd w:fill="F5F8F9"/>
            <w:tcMar>
              <w:top w:w="65" w:type="dxa"/>
              <w:bottom w:w="65" w:type="dxa"/>
              <w:left w:w="85" w:type="dxa"/>
              <w:right w:w="85" w:type="dxa"/>
            </w:tcMar>
          </w:tcPr>
          <w:p>
            <w:pPr>
              <w:spacing w:line="264" w:lineRule="auto" w:after="20" w:before="20"/>
              <w:jc w:val="center"/>
            </w:pPr>
            <w:r>
              <w:rPr>
                <w:rFonts w:ascii="Inter" w:hAnsi="Inter"/>
                <w:b w:val="0"/>
                <w:color w:val="000000"/>
                <w:sz w:val="18"/>
              </w:rPr>
              <w:t>V</w:t>
            </w:r>
          </w:p>
        </w:tc>
        <w:tc>
          <w:tcPr>
            <w:tcW w:type="dxa" w:w="2268"/>
            <w:vAlign w:val="center"/>
            <w:shd w:fill="F5F8F9"/>
            <w:tcMar>
              <w:top w:w="65" w:type="dxa"/>
              <w:bottom w:w="65" w:type="dxa"/>
              <w:left w:w="85" w:type="dxa"/>
              <w:right w:w="85" w:type="dxa"/>
            </w:tcMar>
          </w:tcPr>
          <w:p>
            <w:pPr>
              <w:spacing w:line="264" w:lineRule="auto" w:after="20" w:before="20"/>
              <w:jc w:val="left"/>
            </w:pPr>
            <w:r>
              <w:rPr>
                <w:rFonts w:ascii="Inter" w:hAnsi="Inter"/>
                <w:b w:val="0"/>
                <w:color w:val="000000"/>
                <w:sz w:val="18"/>
              </w:rPr>
              <w:t>entfällt</w:t>
            </w:r>
          </w:p>
        </w:tc>
        <w:tc>
          <w:tcPr>
            <w:tcW w:type="dxa" w:w="2268"/>
            <w:vAlign w:val="center"/>
            <w:shd w:fill="F5F8F9"/>
            <w:tcMar>
              <w:top w:w="65" w:type="dxa"/>
              <w:bottom w:w="65" w:type="dxa"/>
              <w:left w:w="85" w:type="dxa"/>
              <w:right w:w="85" w:type="dxa"/>
            </w:tcMar>
          </w:tcPr>
          <w:p>
            <w:pPr>
              <w:spacing w:line="264" w:lineRule="auto" w:after="20" w:before="20"/>
              <w:jc w:val="left"/>
            </w:pPr>
            <w:r>
              <w:rPr>
                <w:rFonts w:ascii="Inter" w:hAnsi="Inter"/>
                <w:b w:val="0"/>
                <w:color w:val="000000"/>
                <w:sz w:val="18"/>
              </w:rPr>
            </w:r>
          </w:p>
        </w:tc>
        <w:tc>
          <w:tcPr>
            <w:tcW w:type="dxa" w:w="3288"/>
            <w:vAlign w:val="center"/>
            <w:shd w:fill="F5F8F9"/>
            <w:tcMar>
              <w:top w:w="65" w:type="dxa"/>
              <w:bottom w:w="65" w:type="dxa"/>
              <w:left w:w="85" w:type="dxa"/>
              <w:right w:w="85" w:type="dxa"/>
            </w:tcMar>
          </w:tcPr>
          <w:p>
            <w:pPr>
              <w:spacing w:line="264" w:lineRule="auto" w:after="20" w:before="20"/>
              <w:jc w:val="left"/>
            </w:pPr>
            <w:r>
              <w:rPr>
                <w:rFonts w:ascii="Inter" w:hAnsi="Inter"/>
                <w:b w:val="0"/>
                <w:color w:val="000000"/>
                <w:sz w:val="18"/>
              </w:rPr>
            </w:r>
          </w:p>
        </w:tc>
      </w:tr>
      <w:tr>
        <w:trPr>
          <w:cantSplit/>
        </w:trPr>
        <w:tc>
          <w:tcPr>
            <w:tcW w:type="dxa" w:w="1247"/>
            <w:vAlign w:val="center"/>
            <w:shd w:fill="FFFFFF"/>
            <w:tcMar>
              <w:top w:w="65" w:type="dxa"/>
              <w:bottom w:w="65" w:type="dxa"/>
              <w:left w:w="85" w:type="dxa"/>
              <w:right w:w="85" w:type="dxa"/>
            </w:tcMar>
          </w:tcPr>
          <w:p>
            <w:pPr>
              <w:spacing w:line="264" w:lineRule="auto" w:after="20" w:before="20"/>
              <w:jc w:val="center"/>
            </w:pPr>
            <w:r>
              <w:rPr>
                <w:rFonts w:ascii="Inter" w:hAnsi="Inter"/>
                <w:b w:val="0"/>
                <w:color w:val="000000"/>
                <w:sz w:val="18"/>
              </w:rPr>
              <w:t>Gesamt</w:t>
            </w:r>
          </w:p>
        </w:tc>
        <w:tc>
          <w:tcPr>
            <w:tcW w:type="dxa" w:w="2268"/>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r>
          </w:p>
        </w:tc>
        <w:tc>
          <w:tcPr>
            <w:tcW w:type="dxa" w:w="2268"/>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r>
          </w:p>
        </w:tc>
        <w:tc>
          <w:tcPr>
            <w:tcW w:type="dxa" w:w="3288"/>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r>
          </w:p>
        </w:tc>
      </w:tr>
    </w:tbl>
    <w:p>
      <w:pPr>
        <w:spacing w:after="0" w:before="0" w:line="240" w:lineRule="auto"/>
      </w:pPr>
      <w:r>
        <w:rPr>
          <w:sz w:val="6"/>
        </w:rPr>
      </w:r>
    </w:p>
    <w:p>
      <w:pPr>
        <w:keepLines/>
      </w:pPr>
      <w:r>
        <w:t>Stärke _______________________________________________________________________</w:t>
        <w:br/>
        <w:t>Nächster Lernschritt ____________________________________________________________</w:t>
      </w:r>
    </w:p>
    <w:p>
      <w:bookmarkStart w:id="20" w:name="mitarbeitsraster"/>
      <w:pPr>
        <w:pStyle w:val="Heading2"/>
        <w:spacing w:before="260" w:after="140"/>
        <w:keepLines/>
        <w:jc w:val="left"/>
      </w:pPr>
      <w:r>
        <w:t>Sonstige Mitarbeit und individuelle Lernentwicklung</w:t>
      </w:r>
      <w:bookmarkEnd w:id="20"/>
    </w:p>
    <w:p>
      <w:pPr>
        <w:keepLines/>
      </w:pPr>
      <w:r>
        <w:t>Raster S | Mehrere Beobachtungen und angekündigte Nachweise werden zusammengeführt. Die Gewichtung gilt innerhalb der Sonstigen Mitarbeit, nicht für jedes kurze Gespräch. Bereits im Produkt bewertete Leistungen werden nicht nochmals berücksichtigt. Die Notenbildung richtet sich nach dem Jahrgang (Kapitel 2).</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54"/>
        <w:gridCol w:w="6009"/>
        <w:gridCol w:w="907"/>
      </w:tblGrid>
      <w:tr>
        <w:trPr>
          <w:cantSplit/>
          <w:tblHeader/>
        </w:trPr>
        <w:tc>
          <w:tcPr>
            <w:tcW w:type="dxa" w:w="2154"/>
            <w:vAlign w:val="center"/>
            <w:shd w:fill="DDE9EC"/>
            <w:tcMar>
              <w:top w:w="65" w:type="dxa"/>
              <w:bottom w:w="65" w:type="dxa"/>
              <w:left w:w="85" w:type="dxa"/>
              <w:right w:w="85" w:type="dxa"/>
            </w:tcMar>
          </w:tcPr>
          <w:p>
            <w:pPr>
              <w:keepNext/>
              <w:spacing w:line="264" w:lineRule="auto" w:after="20" w:before="20"/>
              <w:jc w:val="left"/>
            </w:pPr>
            <w:r>
              <w:rPr>
                <w:rFonts w:ascii="Inter" w:hAnsi="Inter"/>
                <w:b/>
                <w:color w:val="000000"/>
                <w:sz w:val="18"/>
              </w:rPr>
              <w:t>Kriterium</w:t>
            </w:r>
          </w:p>
        </w:tc>
        <w:tc>
          <w:tcPr>
            <w:tcW w:type="dxa" w:w="6009"/>
            <w:vAlign w:val="center"/>
            <w:shd w:fill="DDE9EC"/>
            <w:tcMar>
              <w:top w:w="65" w:type="dxa"/>
              <w:bottom w:w="65" w:type="dxa"/>
              <w:left w:w="85" w:type="dxa"/>
              <w:right w:w="85" w:type="dxa"/>
            </w:tcMar>
          </w:tcPr>
          <w:p>
            <w:pPr>
              <w:keepNext/>
              <w:spacing w:line="264" w:lineRule="auto" w:after="20" w:before="20"/>
              <w:jc w:val="left"/>
            </w:pPr>
            <w:r>
              <w:rPr>
                <w:rFonts w:ascii="Inter" w:hAnsi="Inter"/>
                <w:b/>
                <w:color w:val="000000"/>
                <w:sz w:val="18"/>
              </w:rPr>
              <w:t>Erwartete individuelle Leistung</w:t>
            </w:r>
          </w:p>
        </w:tc>
        <w:tc>
          <w:tcPr>
            <w:tcW w:type="dxa" w:w="907"/>
            <w:vAlign w:val="center"/>
            <w:shd w:fill="DDE9EC"/>
            <w:tcMar>
              <w:top w:w="65" w:type="dxa"/>
              <w:bottom w:w="65" w:type="dxa"/>
              <w:left w:w="85" w:type="dxa"/>
              <w:right w:w="85" w:type="dxa"/>
            </w:tcMar>
          </w:tcPr>
          <w:p>
            <w:pPr>
              <w:keepNext/>
              <w:spacing w:line="264" w:lineRule="auto" w:after="20" w:before="20"/>
              <w:jc w:val="center"/>
            </w:pPr>
            <w:r>
              <w:rPr>
                <w:rFonts w:ascii="Inter" w:hAnsi="Inter"/>
                <w:b/>
                <w:color w:val="000000"/>
                <w:sz w:val="18"/>
              </w:rPr>
              <w:t>Max. BE</w:t>
            </w:r>
          </w:p>
        </w:tc>
      </w:tr>
      <w:tr>
        <w:trPr>
          <w:cantSplit/>
        </w:trPr>
        <w:tc>
          <w:tcPr>
            <w:tcW w:type="dxa" w:w="2154"/>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D1 Fachliche Mitarbeit</w:t>
            </w:r>
          </w:p>
        </w:tc>
        <w:tc>
          <w:tcPr>
            <w:tcW w:type="dxa" w:w="6009"/>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Eigenständige fachliche Beiträge, begründete Fragen, Auswertung von Quellen und Erklärungen in Arbeits- und Beratungssituationen.</w:t>
            </w:r>
          </w:p>
        </w:tc>
        <w:tc>
          <w:tcPr>
            <w:tcW w:type="dxa" w:w="907"/>
            <w:vAlign w:val="center"/>
            <w:shd w:fill="FFFFFF"/>
            <w:tcMar>
              <w:top w:w="65" w:type="dxa"/>
              <w:bottom w:w="65" w:type="dxa"/>
              <w:left w:w="85" w:type="dxa"/>
              <w:right w:w="85" w:type="dxa"/>
            </w:tcMar>
          </w:tcPr>
          <w:p>
            <w:pPr>
              <w:spacing w:line="264" w:lineRule="auto" w:after="20" w:before="20"/>
              <w:jc w:val="center"/>
            </w:pPr>
            <w:r>
              <w:rPr>
                <w:rFonts w:ascii="Inter" w:hAnsi="Inter"/>
                <w:b w:val="0"/>
                <w:color w:val="000000"/>
                <w:sz w:val="18"/>
              </w:rPr>
              <w:t>20</w:t>
            </w:r>
          </w:p>
        </w:tc>
      </w:tr>
      <w:tr>
        <w:trPr>
          <w:cantSplit/>
        </w:trPr>
        <w:tc>
          <w:tcPr>
            <w:tcW w:type="dxa" w:w="2154"/>
            <w:vAlign w:val="center"/>
            <w:shd w:fill="F5F8F9"/>
            <w:tcMar>
              <w:top w:w="65" w:type="dxa"/>
              <w:bottom w:w="65" w:type="dxa"/>
              <w:left w:w="85" w:type="dxa"/>
              <w:right w:w="85" w:type="dxa"/>
            </w:tcMar>
          </w:tcPr>
          <w:p>
            <w:pPr>
              <w:spacing w:line="264" w:lineRule="auto" w:after="20" w:before="20"/>
              <w:jc w:val="left"/>
            </w:pPr>
            <w:r>
              <w:rPr>
                <w:rFonts w:ascii="Inter" w:hAnsi="Inter"/>
                <w:b w:val="0"/>
                <w:color w:val="000000"/>
                <w:sz w:val="18"/>
              </w:rPr>
              <w:t>D2 Planung und Steuerung</w:t>
            </w:r>
          </w:p>
        </w:tc>
        <w:tc>
          <w:tcPr>
            <w:tcW w:type="dxa" w:w="6009"/>
            <w:vAlign w:val="center"/>
            <w:shd w:fill="F5F8F9"/>
            <w:tcMar>
              <w:top w:w="65" w:type="dxa"/>
              <w:bottom w:w="65" w:type="dxa"/>
              <w:left w:w="85" w:type="dxa"/>
              <w:right w:w="85" w:type="dxa"/>
            </w:tcMar>
          </w:tcPr>
          <w:p>
            <w:pPr>
              <w:spacing w:line="264" w:lineRule="auto" w:after="20" w:before="20"/>
              <w:jc w:val="left"/>
            </w:pPr>
            <w:r>
              <w:rPr>
                <w:rFonts w:ascii="Inter" w:hAnsi="Inter"/>
                <w:b w:val="0"/>
                <w:color w:val="000000"/>
                <w:sz w:val="18"/>
              </w:rPr>
              <w:t>Realistische Arbeitsschritte, Prioritäten und Termine; frühzeitiger Umgang mit Hindernissen; nachvollziehbar angepasste Planung.</w:t>
            </w:r>
          </w:p>
        </w:tc>
        <w:tc>
          <w:tcPr>
            <w:tcW w:type="dxa" w:w="907"/>
            <w:vAlign w:val="center"/>
            <w:shd w:fill="F5F8F9"/>
            <w:tcMar>
              <w:top w:w="65" w:type="dxa"/>
              <w:bottom w:w="65" w:type="dxa"/>
              <w:left w:w="85" w:type="dxa"/>
              <w:right w:w="85" w:type="dxa"/>
            </w:tcMar>
          </w:tcPr>
          <w:p>
            <w:pPr>
              <w:spacing w:line="264" w:lineRule="auto" w:after="20" w:before="20"/>
              <w:jc w:val="center"/>
            </w:pPr>
            <w:r>
              <w:rPr>
                <w:rFonts w:ascii="Inter" w:hAnsi="Inter"/>
                <w:b w:val="0"/>
                <w:color w:val="000000"/>
                <w:sz w:val="18"/>
              </w:rPr>
              <w:t>15</w:t>
            </w:r>
          </w:p>
        </w:tc>
      </w:tr>
      <w:tr>
        <w:trPr>
          <w:cantSplit/>
        </w:trPr>
        <w:tc>
          <w:tcPr>
            <w:tcW w:type="dxa" w:w="2154"/>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D3 Zusammenarbeit und Feedback</w:t>
            </w:r>
          </w:p>
        </w:tc>
        <w:tc>
          <w:tcPr>
            <w:tcW w:type="dxa" w:w="6009"/>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Fachliche Absprachen einhalten, konstruktiv rückmelden, Übergaben sichern und Änderungen nach Rückmeldung begründen.</w:t>
            </w:r>
          </w:p>
        </w:tc>
        <w:tc>
          <w:tcPr>
            <w:tcW w:type="dxa" w:w="907"/>
            <w:vAlign w:val="center"/>
            <w:shd w:fill="FFFFFF"/>
            <w:tcMar>
              <w:top w:w="65" w:type="dxa"/>
              <w:bottom w:w="65" w:type="dxa"/>
              <w:left w:w="85" w:type="dxa"/>
              <w:right w:w="85" w:type="dxa"/>
            </w:tcMar>
          </w:tcPr>
          <w:p>
            <w:pPr>
              <w:spacing w:line="264" w:lineRule="auto" w:after="20" w:before="20"/>
              <w:jc w:val="center"/>
            </w:pPr>
            <w:r>
              <w:rPr>
                <w:rFonts w:ascii="Inter" w:hAnsi="Inter"/>
                <w:b w:val="0"/>
                <w:color w:val="000000"/>
                <w:sz w:val="18"/>
              </w:rPr>
              <w:t>15</w:t>
            </w:r>
          </w:p>
        </w:tc>
      </w:tr>
      <w:tr>
        <w:trPr>
          <w:cantSplit/>
        </w:trPr>
        <w:tc>
          <w:tcPr>
            <w:tcW w:type="dxa" w:w="2154"/>
            <w:vAlign w:val="center"/>
            <w:shd w:fill="F5F8F9"/>
            <w:tcMar>
              <w:top w:w="65" w:type="dxa"/>
              <w:bottom w:w="65" w:type="dxa"/>
              <w:left w:w="85" w:type="dxa"/>
              <w:right w:w="85" w:type="dxa"/>
            </w:tcMar>
          </w:tcPr>
          <w:p>
            <w:pPr>
              <w:spacing w:line="264" w:lineRule="auto" w:after="20" w:before="20"/>
              <w:jc w:val="left"/>
            </w:pPr>
            <w:r>
              <w:rPr>
                <w:rFonts w:ascii="Inter" w:hAnsi="Inter"/>
                <w:b w:val="0"/>
                <w:color w:val="000000"/>
                <w:sz w:val="18"/>
              </w:rPr>
              <w:t>D4 Prozessdokumentation</w:t>
            </w:r>
          </w:p>
        </w:tc>
        <w:tc>
          <w:tcPr>
            <w:tcW w:type="dxa" w:w="6009"/>
            <w:vAlign w:val="center"/>
            <w:shd w:fill="F5F8F9"/>
            <w:tcMar>
              <w:top w:w="65" w:type="dxa"/>
              <w:bottom w:w="65" w:type="dxa"/>
              <w:left w:w="85" w:type="dxa"/>
              <w:right w:w="85" w:type="dxa"/>
            </w:tcMar>
          </w:tcPr>
          <w:p>
            <w:pPr>
              <w:spacing w:line="264" w:lineRule="auto" w:after="20" w:before="20"/>
              <w:jc w:val="left"/>
            </w:pPr>
            <w:r>
              <w:rPr>
                <w:rFonts w:ascii="Inter" w:hAnsi="Inter"/>
                <w:b w:val="0"/>
                <w:color w:val="000000"/>
                <w:sz w:val="18"/>
              </w:rPr>
              <w:t>Datierte, aussagekräftige Nachweise zu Fortschritt, Entscheidungen und eigenem Beitrag; keine Bewertung bloßer Textmenge.</w:t>
            </w:r>
          </w:p>
        </w:tc>
        <w:tc>
          <w:tcPr>
            <w:tcW w:type="dxa" w:w="907"/>
            <w:vAlign w:val="center"/>
            <w:shd w:fill="F5F8F9"/>
            <w:tcMar>
              <w:top w:w="65" w:type="dxa"/>
              <w:bottom w:w="65" w:type="dxa"/>
              <w:left w:w="85" w:type="dxa"/>
              <w:right w:w="85" w:type="dxa"/>
            </w:tcMar>
          </w:tcPr>
          <w:p>
            <w:pPr>
              <w:spacing w:line="264" w:lineRule="auto" w:after="20" w:before="20"/>
              <w:jc w:val="center"/>
            </w:pPr>
            <w:r>
              <w:rPr>
                <w:rFonts w:ascii="Inter" w:hAnsi="Inter"/>
                <w:b w:val="0"/>
                <w:color w:val="000000"/>
                <w:sz w:val="18"/>
              </w:rPr>
              <w:t>10</w:t>
            </w:r>
          </w:p>
        </w:tc>
      </w:tr>
      <w:tr>
        <w:trPr>
          <w:cantSplit/>
        </w:trPr>
        <w:tc>
          <w:tcPr>
            <w:tcW w:type="dxa" w:w="2154"/>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E1 Kritische Reflexion</w:t>
            </w:r>
          </w:p>
        </w:tc>
        <w:tc>
          <w:tcPr>
            <w:tcW w:type="dxa" w:w="6009"/>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Stärken und Grenzen anhand konkreter Belege einschätzen und tragfähige Alternativen entwickeln.</w:t>
            </w:r>
          </w:p>
        </w:tc>
        <w:tc>
          <w:tcPr>
            <w:tcW w:type="dxa" w:w="907"/>
            <w:vAlign w:val="center"/>
            <w:shd w:fill="FFFFFF"/>
            <w:tcMar>
              <w:top w:w="65" w:type="dxa"/>
              <w:bottom w:w="65" w:type="dxa"/>
              <w:left w:w="85" w:type="dxa"/>
              <w:right w:w="85" w:type="dxa"/>
            </w:tcMar>
          </w:tcPr>
          <w:p>
            <w:pPr>
              <w:spacing w:line="264" w:lineRule="auto" w:after="20" w:before="20"/>
              <w:jc w:val="center"/>
            </w:pPr>
            <w:r>
              <w:rPr>
                <w:rFonts w:ascii="Inter" w:hAnsi="Inter"/>
                <w:b w:val="0"/>
                <w:color w:val="000000"/>
                <w:sz w:val="18"/>
              </w:rPr>
              <w:t>15</w:t>
            </w:r>
          </w:p>
        </w:tc>
      </w:tr>
      <w:tr>
        <w:trPr>
          <w:cantSplit/>
        </w:trPr>
        <w:tc>
          <w:tcPr>
            <w:tcW w:type="dxa" w:w="2154"/>
            <w:vAlign w:val="center"/>
            <w:shd w:fill="F5F8F9"/>
            <w:tcMar>
              <w:top w:w="65" w:type="dxa"/>
              <w:bottom w:w="65" w:type="dxa"/>
              <w:left w:w="85" w:type="dxa"/>
              <w:right w:w="85" w:type="dxa"/>
            </w:tcMar>
          </w:tcPr>
          <w:p>
            <w:pPr>
              <w:spacing w:line="264" w:lineRule="auto" w:after="20" w:before="20"/>
              <w:jc w:val="left"/>
            </w:pPr>
            <w:r>
              <w:rPr>
                <w:rFonts w:ascii="Inter" w:hAnsi="Inter"/>
                <w:b w:val="0"/>
                <w:color w:val="000000"/>
                <w:sz w:val="18"/>
              </w:rPr>
              <w:t>E2 Lernfortschritt und Transfer</w:t>
            </w:r>
          </w:p>
        </w:tc>
        <w:tc>
          <w:tcPr>
            <w:tcW w:type="dxa" w:w="6009"/>
            <w:vAlign w:val="center"/>
            <w:shd w:fill="F5F8F9"/>
            <w:tcMar>
              <w:top w:w="65" w:type="dxa"/>
              <w:bottom w:w="65" w:type="dxa"/>
              <w:left w:w="85" w:type="dxa"/>
              <w:right w:w="85" w:type="dxa"/>
            </w:tcMar>
          </w:tcPr>
          <w:p>
            <w:pPr>
              <w:spacing w:line="264" w:lineRule="auto" w:after="20" w:before="20"/>
              <w:jc w:val="left"/>
            </w:pPr>
            <w:r>
              <w:rPr>
                <w:rFonts w:ascii="Inter" w:hAnsi="Inter"/>
                <w:b w:val="0"/>
                <w:color w:val="000000"/>
                <w:sz w:val="18"/>
              </w:rPr>
              <w:t>Eigene Entwicklung erläutern, Strategien anpassen und Erkenntnisse auf einen neuen fachlichen oder kommunikativen Fall übertragen.</w:t>
            </w:r>
          </w:p>
        </w:tc>
        <w:tc>
          <w:tcPr>
            <w:tcW w:type="dxa" w:w="907"/>
            <w:vAlign w:val="center"/>
            <w:shd w:fill="F5F8F9"/>
            <w:tcMar>
              <w:top w:w="65" w:type="dxa"/>
              <w:bottom w:w="65" w:type="dxa"/>
              <w:left w:w="85" w:type="dxa"/>
              <w:right w:w="85" w:type="dxa"/>
            </w:tcMar>
          </w:tcPr>
          <w:p>
            <w:pPr>
              <w:spacing w:line="264" w:lineRule="auto" w:after="20" w:before="20"/>
              <w:jc w:val="center"/>
            </w:pPr>
            <w:r>
              <w:rPr>
                <w:rFonts w:ascii="Inter" w:hAnsi="Inter"/>
                <w:b w:val="0"/>
                <w:color w:val="000000"/>
                <w:sz w:val="18"/>
              </w:rPr>
              <w:t>15</w:t>
            </w:r>
          </w:p>
        </w:tc>
      </w:tr>
      <w:tr>
        <w:trPr>
          <w:cantSplit/>
        </w:trPr>
        <w:tc>
          <w:tcPr>
            <w:tcW w:type="dxa" w:w="2154"/>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E3 Werkzeug und KI Reflexion</w:t>
            </w:r>
          </w:p>
        </w:tc>
        <w:tc>
          <w:tcPr>
            <w:tcW w:type="dxa" w:w="6009"/>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Nutzen und Grenzen eingesetzter Werkzeuge sowie die eigene Prüfung und Überarbeitung nachvollziehbar beurteilen.</w:t>
            </w:r>
          </w:p>
        </w:tc>
        <w:tc>
          <w:tcPr>
            <w:tcW w:type="dxa" w:w="907"/>
            <w:vAlign w:val="center"/>
            <w:shd w:fill="FFFFFF"/>
            <w:tcMar>
              <w:top w:w="65" w:type="dxa"/>
              <w:bottom w:w="65" w:type="dxa"/>
              <w:left w:w="85" w:type="dxa"/>
              <w:right w:w="85" w:type="dxa"/>
            </w:tcMar>
          </w:tcPr>
          <w:p>
            <w:pPr>
              <w:spacing w:line="264" w:lineRule="auto" w:after="20" w:before="20"/>
              <w:jc w:val="center"/>
            </w:pPr>
            <w:r>
              <w:rPr>
                <w:rFonts w:ascii="Inter" w:hAnsi="Inter"/>
                <w:b w:val="0"/>
                <w:color w:val="000000"/>
                <w:sz w:val="18"/>
              </w:rPr>
              <w:t>10</w:t>
            </w:r>
          </w:p>
        </w:tc>
      </w:tr>
      <w:tr>
        <w:trPr>
          <w:cantSplit/>
        </w:trPr>
        <w:tc>
          <w:tcPr>
            <w:tcW w:type="dxa" w:w="2154"/>
            <w:vAlign w:val="center"/>
            <w:shd w:fill="F5F8F9"/>
            <w:tcMar>
              <w:top w:w="65" w:type="dxa"/>
              <w:bottom w:w="65" w:type="dxa"/>
              <w:left w:w="85" w:type="dxa"/>
              <w:right w:w="85" w:type="dxa"/>
            </w:tcMar>
          </w:tcPr>
          <w:p>
            <w:pPr>
              <w:spacing w:line="264" w:lineRule="auto" w:after="20" w:before="20"/>
              <w:jc w:val="left"/>
            </w:pPr>
            <w:r>
              <w:rPr>
                <w:rFonts w:ascii="Inter" w:hAnsi="Inter"/>
                <w:b w:val="0"/>
                <w:color w:val="000000"/>
                <w:sz w:val="18"/>
              </w:rPr>
              <w:t>Summe</w:t>
            </w:r>
          </w:p>
        </w:tc>
        <w:tc>
          <w:tcPr>
            <w:tcW w:type="dxa" w:w="6009"/>
            <w:vAlign w:val="center"/>
            <w:shd w:fill="F5F8F9"/>
            <w:tcMar>
              <w:top w:w="65" w:type="dxa"/>
              <w:bottom w:w="65" w:type="dxa"/>
              <w:left w:w="85" w:type="dxa"/>
              <w:right w:w="85" w:type="dxa"/>
            </w:tcMar>
          </w:tcPr>
          <w:p>
            <w:pPr>
              <w:spacing w:line="264" w:lineRule="auto" w:after="20" w:before="20"/>
              <w:jc w:val="left"/>
            </w:pPr>
            <w:r>
              <w:rPr>
                <w:rFonts w:ascii="Inter" w:hAnsi="Inter"/>
                <w:b w:val="0"/>
                <w:color w:val="000000"/>
                <w:sz w:val="18"/>
              </w:rPr>
              <w:t>D Arbeitsprozess und Mitarbeit 60 BE; E Reflexion 40 BE</w:t>
            </w:r>
          </w:p>
        </w:tc>
        <w:tc>
          <w:tcPr>
            <w:tcW w:type="dxa" w:w="907"/>
            <w:vAlign w:val="center"/>
            <w:shd w:fill="F5F8F9"/>
            <w:tcMar>
              <w:top w:w="65" w:type="dxa"/>
              <w:bottom w:w="65" w:type="dxa"/>
              <w:left w:w="85" w:type="dxa"/>
              <w:right w:w="85" w:type="dxa"/>
            </w:tcMar>
          </w:tcPr>
          <w:p>
            <w:pPr>
              <w:spacing w:line="264" w:lineRule="auto" w:after="20" w:before="20"/>
              <w:jc w:val="center"/>
            </w:pPr>
            <w:r>
              <w:rPr>
                <w:rFonts w:ascii="Inter" w:hAnsi="Inter"/>
                <w:b w:val="0"/>
                <w:color w:val="000000"/>
                <w:sz w:val="18"/>
              </w:rPr>
              <w:t>100</w:t>
            </w:r>
          </w:p>
        </w:tc>
      </w:tr>
    </w:tbl>
    <w:p>
      <w:pPr>
        <w:spacing w:after="0" w:before="0" w:line="240" w:lineRule="auto"/>
      </w:pPr>
      <w:r>
        <w:rPr>
          <w:sz w:val="6"/>
        </w:rPr>
      </w:r>
    </w:p>
    <w:p>
      <w:pPr>
        <w:keepLines/>
      </w:pPr>
      <w:r>
        <w:t>Wer ohne KI arbeitet, kann E3 gleichwertig durch eine begründete Werkzeugwahl, einen Vergleich möglicher Hilfen und die Prüfung eigener Darstellungen nachweisen. Bewertet wird reflektiertes Handeln, nicht die Nutzung eines bestimmten Produkts oder Anbieters.</w:t>
      </w:r>
    </w:p>
    <w:p>
      <w:pPr>
        <w:pStyle w:val="Heading3"/>
        <w:spacing w:before="260" w:after="140"/>
        <w:keepLines/>
        <w:jc w:val="left"/>
      </w:pPr>
      <w:r>
        <w:t>Lernraum und Bewertungsraum unterscheiden</w:t>
      </w:r>
    </w:p>
    <w:p>
      <w:pPr>
        <w:keepLines/>
      </w:pPr>
      <w:r>
        <w:t>Selbsteinschätzungsraster und persönliche Tagebucheinträge dienen zunächst der Lernsteuerung. Für die Bewertung werden vorab angekündigte Auszüge, fachliche Reflexionsaufträge und beobachtbare Handlungen herangezogen. Ehrlich benannte Fehler können Ausgangspunkt einer guten Reflexionsleistung sein. Eine persönliche Einstellung, private Offenheit oder vermeintliches Kreativitätstalent wird nicht benotet.</w:t>
      </w:r>
    </w:p>
    <w:p>
      <w:pPr>
        <w:keepLines/>
      </w:pPr>
      <w:r>
        <w:t>Rückmeldung zum Zwischenstand: tragfähiger Beitrag _________________________________</w:t>
        <w:br/>
        <w:t>Noch zu entwickelnde Kompetenz __________________________________________________</w:t>
        <w:br/>
        <w:t>Vereinbarter nächster Schritt und Termin ___________________________________________</w:t>
      </w:r>
    </w:p>
    <w:p>
      <w:bookmarkStart w:id="21" w:name="noten"/>
      <w:pPr>
        <w:pStyle w:val="Heading2"/>
        <w:spacing w:before="260" w:after="140"/>
        <w:keepLines/>
        <w:jc w:val="left"/>
      </w:pPr>
      <w:r>
        <w:t>Bewertungsmaßstäbe und nachvollziehbare Rückmeldung</w:t>
      </w:r>
      <w:bookmarkEnd w:id="21"/>
    </w:p>
    <w:p>
      <w:pPr>
        <w:keepLines/>
      </w:pPr>
      <w:r>
        <w:t>Erreichte BE werden je Kriterium fachlich begründet; ganze und halbe BE sind möglich. Die volle Punktzahl setzt die vereinbarte Leistung fachlich richtig, nachvollziehbar und selbstständig voraus. Relevante Fehler oder notwendige Hilfen werden nach ihrer Bedeutung berücksichtigt. Fehlende verwertbare Leistung ergibt für das jeweilige Kriterium null BE.</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087"/>
        <w:gridCol w:w="1984"/>
      </w:tblGrid>
      <w:tr>
        <w:trPr>
          <w:cantSplit/>
          <w:tblHeader/>
        </w:trPr>
        <w:tc>
          <w:tcPr>
            <w:tcW w:type="dxa" w:w="7087"/>
            <w:vAlign w:val="center"/>
            <w:shd w:fill="DDE9EC"/>
            <w:tcMar>
              <w:top w:w="65" w:type="dxa"/>
              <w:bottom w:w="65" w:type="dxa"/>
              <w:left w:w="85" w:type="dxa"/>
              <w:right w:w="85" w:type="dxa"/>
            </w:tcMar>
          </w:tcPr>
          <w:p>
            <w:pPr>
              <w:keepNext/>
              <w:spacing w:line="264" w:lineRule="auto" w:after="20" w:before="20"/>
              <w:jc w:val="left"/>
            </w:pPr>
            <w:r>
              <w:rPr>
                <w:rFonts w:ascii="Inter" w:hAnsi="Inter"/>
                <w:b/>
                <w:color w:val="000000"/>
                <w:sz w:val="18"/>
              </w:rPr>
              <w:t>Orientierung bei höchstens 10 BE</w:t>
            </w:r>
          </w:p>
        </w:tc>
        <w:tc>
          <w:tcPr>
            <w:tcW w:type="dxa" w:w="1984"/>
            <w:vAlign w:val="center"/>
            <w:shd w:fill="DDE9EC"/>
            <w:tcMar>
              <w:top w:w="65" w:type="dxa"/>
              <w:bottom w:w="65" w:type="dxa"/>
              <w:left w:w="85" w:type="dxa"/>
              <w:right w:w="85" w:type="dxa"/>
            </w:tcMar>
          </w:tcPr>
          <w:p>
            <w:pPr>
              <w:keepNext/>
              <w:spacing w:line="264" w:lineRule="auto" w:after="20" w:before="20"/>
              <w:jc w:val="left"/>
            </w:pPr>
            <w:r>
              <w:rPr>
                <w:rFonts w:ascii="Inter" w:hAnsi="Inter"/>
                <w:b/>
                <w:color w:val="000000"/>
                <w:sz w:val="18"/>
              </w:rPr>
              <w:t>Erreichte BE</w:t>
            </w:r>
          </w:p>
        </w:tc>
      </w:tr>
      <w:tr>
        <w:trPr>
          <w:cantSplit/>
        </w:trPr>
        <w:tc>
          <w:tcPr>
            <w:tcW w:type="dxa" w:w="7087"/>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Vollständig und überzeugend erfüllt</w:t>
            </w:r>
          </w:p>
        </w:tc>
        <w:tc>
          <w:tcPr>
            <w:tcW w:type="dxa" w:w="1984"/>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9 bis 10</w:t>
            </w:r>
          </w:p>
        </w:tc>
      </w:tr>
      <w:tr>
        <w:trPr>
          <w:cantSplit/>
        </w:trPr>
        <w:tc>
          <w:tcPr>
            <w:tcW w:type="dxa" w:w="7087"/>
            <w:vAlign w:val="center"/>
            <w:shd w:fill="F5F8F9"/>
            <w:tcMar>
              <w:top w:w="65" w:type="dxa"/>
              <w:bottom w:w="65" w:type="dxa"/>
              <w:left w:w="85" w:type="dxa"/>
              <w:right w:w="85" w:type="dxa"/>
            </w:tcMar>
          </w:tcPr>
          <w:p>
            <w:pPr>
              <w:spacing w:line="264" w:lineRule="auto" w:after="20" w:before="20"/>
              <w:jc w:val="left"/>
            </w:pPr>
            <w:r>
              <w:rPr>
                <w:rFonts w:ascii="Inter" w:hAnsi="Inter"/>
                <w:b w:val="0"/>
                <w:color w:val="000000"/>
                <w:sz w:val="18"/>
              </w:rPr>
              <w:t>Überwiegend erfüllt mit begrenzten Lücken</w:t>
            </w:r>
          </w:p>
        </w:tc>
        <w:tc>
          <w:tcPr>
            <w:tcW w:type="dxa" w:w="1984"/>
            <w:vAlign w:val="center"/>
            <w:shd w:fill="F5F8F9"/>
            <w:tcMar>
              <w:top w:w="65" w:type="dxa"/>
              <w:bottom w:w="65" w:type="dxa"/>
              <w:left w:w="85" w:type="dxa"/>
              <w:right w:w="85" w:type="dxa"/>
            </w:tcMar>
          </w:tcPr>
          <w:p>
            <w:pPr>
              <w:spacing w:line="264" w:lineRule="auto" w:after="20" w:before="20"/>
              <w:jc w:val="left"/>
            </w:pPr>
            <w:r>
              <w:rPr>
                <w:rFonts w:ascii="Inter" w:hAnsi="Inter"/>
                <w:b w:val="0"/>
                <w:color w:val="000000"/>
                <w:sz w:val="18"/>
              </w:rPr>
              <w:t>7 bis 8,5</w:t>
            </w:r>
          </w:p>
        </w:tc>
      </w:tr>
      <w:tr>
        <w:trPr>
          <w:cantSplit/>
        </w:trPr>
        <w:tc>
          <w:tcPr>
            <w:tcW w:type="dxa" w:w="7087"/>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Teilweise erfüllt mit relevanten Lücken</w:t>
            </w:r>
          </w:p>
        </w:tc>
        <w:tc>
          <w:tcPr>
            <w:tcW w:type="dxa" w:w="1984"/>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4 bis 6,5</w:t>
            </w:r>
          </w:p>
        </w:tc>
      </w:tr>
      <w:tr>
        <w:trPr>
          <w:cantSplit/>
        </w:trPr>
        <w:tc>
          <w:tcPr>
            <w:tcW w:type="dxa" w:w="7087"/>
            <w:vAlign w:val="center"/>
            <w:shd w:fill="F5F8F9"/>
            <w:tcMar>
              <w:top w:w="65" w:type="dxa"/>
              <w:bottom w:w="65" w:type="dxa"/>
              <w:left w:w="85" w:type="dxa"/>
              <w:right w:w="85" w:type="dxa"/>
            </w:tcMar>
          </w:tcPr>
          <w:p>
            <w:pPr>
              <w:spacing w:line="264" w:lineRule="auto" w:after="20" w:before="20"/>
              <w:jc w:val="left"/>
            </w:pPr>
            <w:r>
              <w:rPr>
                <w:rFonts w:ascii="Inter" w:hAnsi="Inter"/>
                <w:b w:val="0"/>
                <w:color w:val="000000"/>
                <w:sz w:val="18"/>
              </w:rPr>
              <w:t>Nur ansatzweise nachgewiesen</w:t>
            </w:r>
          </w:p>
        </w:tc>
        <w:tc>
          <w:tcPr>
            <w:tcW w:type="dxa" w:w="1984"/>
            <w:vAlign w:val="center"/>
            <w:shd w:fill="F5F8F9"/>
            <w:tcMar>
              <w:top w:w="65" w:type="dxa"/>
              <w:bottom w:w="65" w:type="dxa"/>
              <w:left w:w="85" w:type="dxa"/>
              <w:right w:w="85" w:type="dxa"/>
            </w:tcMar>
          </w:tcPr>
          <w:p>
            <w:pPr>
              <w:spacing w:line="264" w:lineRule="auto" w:after="20" w:before="20"/>
              <w:jc w:val="left"/>
            </w:pPr>
            <w:r>
              <w:rPr>
                <w:rFonts w:ascii="Inter" w:hAnsi="Inter"/>
                <w:b w:val="0"/>
                <w:color w:val="000000"/>
                <w:sz w:val="18"/>
              </w:rPr>
              <w:t>0,5 bis 3,5</w:t>
            </w:r>
          </w:p>
        </w:tc>
      </w:tr>
      <w:tr>
        <w:trPr>
          <w:cantSplit/>
        </w:trPr>
        <w:tc>
          <w:tcPr>
            <w:tcW w:type="dxa" w:w="7087"/>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Nicht nachgewiesen</w:t>
            </w:r>
          </w:p>
        </w:tc>
        <w:tc>
          <w:tcPr>
            <w:tcW w:type="dxa" w:w="1984"/>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0</w:t>
            </w:r>
          </w:p>
        </w:tc>
      </w:tr>
    </w:tbl>
    <w:p>
      <w:pPr>
        <w:spacing w:after="0" w:before="0" w:line="240" w:lineRule="auto"/>
      </w:pPr>
      <w:r>
        <w:rPr>
          <w:sz w:val="6"/>
        </w:rPr>
      </w:r>
    </w:p>
    <w:p>
      <w:pPr>
        <w:keepLines/>
      </w:pPr>
      <w:r>
        <w:t>Für die 100-BE-Raster wird die folgende schulinterne Zuordnung als Orientierung verwendet. Sie lehnt sich an die im Chemiecurriculum verwendeten naturwissenschaftlichen Klausurgrenzen an. Sie ist kein landesweit vorgeschriebenes Produktraster und ersetzt nicht die fachliche Gesamtbeurteilung nach den Notendefinitionen der APO-GOSt.</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2268"/>
        <w:gridCol w:w="2268"/>
        <w:gridCol w:w="2268"/>
      </w:tblGrid>
      <w:tr>
        <w:trPr>
          <w:cantSplit/>
          <w:tblHeader/>
        </w:trPr>
        <w:tc>
          <w:tcPr>
            <w:tcW w:type="dxa" w:w="2268"/>
            <w:vAlign w:val="center"/>
            <w:shd w:fill="DDE9EC"/>
            <w:tcMar>
              <w:top w:w="65" w:type="dxa"/>
              <w:bottom w:w="65" w:type="dxa"/>
              <w:left w:w="85" w:type="dxa"/>
              <w:right w:w="85" w:type="dxa"/>
            </w:tcMar>
          </w:tcPr>
          <w:p>
            <w:pPr>
              <w:keepNext/>
              <w:spacing w:line="264" w:lineRule="auto" w:after="20" w:before="20"/>
              <w:jc w:val="left"/>
            </w:pPr>
            <w:r>
              <w:rPr>
                <w:rFonts w:ascii="Inter" w:hAnsi="Inter"/>
                <w:b/>
                <w:color w:val="000000"/>
                <w:sz w:val="18"/>
              </w:rPr>
              <w:t>Notenpunkte</w:t>
            </w:r>
          </w:p>
        </w:tc>
        <w:tc>
          <w:tcPr>
            <w:tcW w:type="dxa" w:w="2268"/>
            <w:vAlign w:val="center"/>
            <w:shd w:fill="DDE9EC"/>
            <w:tcMar>
              <w:top w:w="65" w:type="dxa"/>
              <w:bottom w:w="65" w:type="dxa"/>
              <w:left w:w="85" w:type="dxa"/>
              <w:right w:w="85" w:type="dxa"/>
            </w:tcMar>
          </w:tcPr>
          <w:p>
            <w:pPr>
              <w:keepNext/>
              <w:spacing w:line="264" w:lineRule="auto" w:after="20" w:before="20"/>
              <w:jc w:val="left"/>
            </w:pPr>
            <w:r>
              <w:rPr>
                <w:rFonts w:ascii="Inter" w:hAnsi="Inter"/>
                <w:b/>
                <w:color w:val="000000"/>
                <w:sz w:val="18"/>
              </w:rPr>
              <w:t>Mindestanteil</w:t>
            </w:r>
          </w:p>
        </w:tc>
        <w:tc>
          <w:tcPr>
            <w:tcW w:type="dxa" w:w="2268"/>
            <w:vAlign w:val="center"/>
            <w:shd w:fill="DDE9EC"/>
            <w:tcMar>
              <w:top w:w="65" w:type="dxa"/>
              <w:bottom w:w="65" w:type="dxa"/>
              <w:left w:w="85" w:type="dxa"/>
              <w:right w:w="85" w:type="dxa"/>
            </w:tcMar>
          </w:tcPr>
          <w:p>
            <w:pPr>
              <w:keepNext/>
              <w:spacing w:line="264" w:lineRule="auto" w:after="20" w:before="20"/>
              <w:jc w:val="left"/>
            </w:pPr>
            <w:r>
              <w:rPr>
                <w:rFonts w:ascii="Inter" w:hAnsi="Inter"/>
                <w:b/>
                <w:color w:val="000000"/>
                <w:sz w:val="18"/>
              </w:rPr>
              <w:t>Notenpunkte</w:t>
            </w:r>
          </w:p>
        </w:tc>
        <w:tc>
          <w:tcPr>
            <w:tcW w:type="dxa" w:w="2268"/>
            <w:vAlign w:val="center"/>
            <w:shd w:fill="DDE9EC"/>
            <w:tcMar>
              <w:top w:w="65" w:type="dxa"/>
              <w:bottom w:w="65" w:type="dxa"/>
              <w:left w:w="85" w:type="dxa"/>
              <w:right w:w="85" w:type="dxa"/>
            </w:tcMar>
          </w:tcPr>
          <w:p>
            <w:pPr>
              <w:keepNext/>
              <w:spacing w:line="264" w:lineRule="auto" w:after="20" w:before="20"/>
              <w:jc w:val="left"/>
            </w:pPr>
            <w:r>
              <w:rPr>
                <w:rFonts w:ascii="Inter" w:hAnsi="Inter"/>
                <w:b/>
                <w:color w:val="000000"/>
                <w:sz w:val="18"/>
              </w:rPr>
              <w:t>Mindestanteil</w:t>
            </w:r>
          </w:p>
        </w:tc>
      </w:tr>
      <w:tr>
        <w:trPr>
          <w:cantSplit/>
        </w:trPr>
        <w:tc>
          <w:tcPr>
            <w:tcW w:type="dxa" w:w="2268"/>
            <w:vAlign w:val="center"/>
            <w:shd w:fill="FFFFFF"/>
            <w:tcMar>
              <w:top w:w="65" w:type="dxa"/>
              <w:bottom w:w="65" w:type="dxa"/>
              <w:left w:w="85" w:type="dxa"/>
              <w:right w:w="85" w:type="dxa"/>
            </w:tcMar>
          </w:tcPr>
          <w:p>
            <w:pPr>
              <w:spacing w:line="264" w:lineRule="auto" w:after="20" w:before="20"/>
              <w:jc w:val="left"/>
              <w:keepNext/>
            </w:pPr>
            <w:r>
              <w:rPr>
                <w:rFonts w:ascii="Inter" w:hAnsi="Inter"/>
                <w:b w:val="0"/>
                <w:color w:val="000000"/>
                <w:sz w:val="18"/>
              </w:rPr>
              <w:t>15</w:t>
            </w:r>
          </w:p>
        </w:tc>
        <w:tc>
          <w:tcPr>
            <w:tcW w:type="dxa" w:w="2268"/>
            <w:vAlign w:val="center"/>
            <w:shd w:fill="FFFFFF"/>
            <w:tcMar>
              <w:top w:w="65" w:type="dxa"/>
              <w:bottom w:w="65" w:type="dxa"/>
              <w:left w:w="85" w:type="dxa"/>
              <w:right w:w="85" w:type="dxa"/>
            </w:tcMar>
          </w:tcPr>
          <w:p>
            <w:pPr>
              <w:spacing w:line="264" w:lineRule="auto" w:after="20" w:before="20"/>
              <w:jc w:val="left"/>
              <w:keepNext/>
            </w:pPr>
            <w:r>
              <w:rPr>
                <w:rFonts w:ascii="Inter" w:hAnsi="Inter"/>
                <w:b w:val="0"/>
                <w:color w:val="000000"/>
                <w:sz w:val="18"/>
              </w:rPr>
              <w:t>95 %</w:t>
            </w:r>
          </w:p>
        </w:tc>
        <w:tc>
          <w:tcPr>
            <w:tcW w:type="dxa" w:w="2268"/>
            <w:vAlign w:val="center"/>
            <w:shd w:fill="FFFFFF"/>
            <w:tcMar>
              <w:top w:w="65" w:type="dxa"/>
              <w:bottom w:w="65" w:type="dxa"/>
              <w:left w:w="85" w:type="dxa"/>
              <w:right w:w="85" w:type="dxa"/>
            </w:tcMar>
          </w:tcPr>
          <w:p>
            <w:pPr>
              <w:spacing w:line="264" w:lineRule="auto" w:after="20" w:before="20"/>
              <w:jc w:val="left"/>
              <w:keepNext/>
            </w:pPr>
            <w:r>
              <w:rPr>
                <w:rFonts w:ascii="Inter" w:hAnsi="Inter"/>
                <w:b w:val="0"/>
                <w:color w:val="000000"/>
                <w:sz w:val="18"/>
              </w:rPr>
              <w:t>7</w:t>
            </w:r>
          </w:p>
        </w:tc>
        <w:tc>
          <w:tcPr>
            <w:tcW w:type="dxa" w:w="2268"/>
            <w:vAlign w:val="center"/>
            <w:shd w:fill="FFFFFF"/>
            <w:tcMar>
              <w:top w:w="65" w:type="dxa"/>
              <w:bottom w:w="65" w:type="dxa"/>
              <w:left w:w="85" w:type="dxa"/>
              <w:right w:w="85" w:type="dxa"/>
            </w:tcMar>
          </w:tcPr>
          <w:p>
            <w:pPr>
              <w:spacing w:line="264" w:lineRule="auto" w:after="20" w:before="20"/>
              <w:jc w:val="left"/>
              <w:keepNext/>
            </w:pPr>
            <w:r>
              <w:rPr>
                <w:rFonts w:ascii="Inter" w:hAnsi="Inter"/>
                <w:b w:val="0"/>
                <w:color w:val="000000"/>
                <w:sz w:val="18"/>
              </w:rPr>
              <w:t>55 %</w:t>
            </w:r>
          </w:p>
        </w:tc>
      </w:tr>
      <w:tr>
        <w:trPr>
          <w:cantSplit/>
        </w:trPr>
        <w:tc>
          <w:tcPr>
            <w:tcW w:type="dxa" w:w="2268"/>
            <w:vAlign w:val="center"/>
            <w:shd w:fill="F5F8F9"/>
            <w:tcMar>
              <w:top w:w="65" w:type="dxa"/>
              <w:bottom w:w="65" w:type="dxa"/>
              <w:left w:w="85" w:type="dxa"/>
              <w:right w:w="85" w:type="dxa"/>
            </w:tcMar>
          </w:tcPr>
          <w:p>
            <w:pPr>
              <w:spacing w:line="264" w:lineRule="auto" w:after="20" w:before="20"/>
              <w:jc w:val="left"/>
              <w:keepNext/>
            </w:pPr>
            <w:r>
              <w:rPr>
                <w:rFonts w:ascii="Inter" w:hAnsi="Inter"/>
                <w:b w:val="0"/>
                <w:color w:val="000000"/>
                <w:sz w:val="18"/>
              </w:rPr>
              <w:t>14</w:t>
            </w:r>
          </w:p>
        </w:tc>
        <w:tc>
          <w:tcPr>
            <w:tcW w:type="dxa" w:w="2268"/>
            <w:vAlign w:val="center"/>
            <w:shd w:fill="F5F8F9"/>
            <w:tcMar>
              <w:top w:w="65" w:type="dxa"/>
              <w:bottom w:w="65" w:type="dxa"/>
              <w:left w:w="85" w:type="dxa"/>
              <w:right w:w="85" w:type="dxa"/>
            </w:tcMar>
          </w:tcPr>
          <w:p>
            <w:pPr>
              <w:spacing w:line="264" w:lineRule="auto" w:after="20" w:before="20"/>
              <w:jc w:val="left"/>
              <w:keepNext/>
            </w:pPr>
            <w:r>
              <w:rPr>
                <w:rFonts w:ascii="Inter" w:hAnsi="Inter"/>
                <w:b w:val="0"/>
                <w:color w:val="000000"/>
                <w:sz w:val="18"/>
              </w:rPr>
              <w:t>90 %</w:t>
            </w:r>
          </w:p>
        </w:tc>
        <w:tc>
          <w:tcPr>
            <w:tcW w:type="dxa" w:w="2268"/>
            <w:vAlign w:val="center"/>
            <w:shd w:fill="F5F8F9"/>
            <w:tcMar>
              <w:top w:w="65" w:type="dxa"/>
              <w:bottom w:w="65" w:type="dxa"/>
              <w:left w:w="85" w:type="dxa"/>
              <w:right w:w="85" w:type="dxa"/>
            </w:tcMar>
          </w:tcPr>
          <w:p>
            <w:pPr>
              <w:spacing w:line="264" w:lineRule="auto" w:after="20" w:before="20"/>
              <w:jc w:val="left"/>
              <w:keepNext/>
            </w:pPr>
            <w:r>
              <w:rPr>
                <w:rFonts w:ascii="Inter" w:hAnsi="Inter"/>
                <w:b w:val="0"/>
                <w:color w:val="000000"/>
                <w:sz w:val="18"/>
              </w:rPr>
              <w:t>6</w:t>
            </w:r>
          </w:p>
        </w:tc>
        <w:tc>
          <w:tcPr>
            <w:tcW w:type="dxa" w:w="2268"/>
            <w:vAlign w:val="center"/>
            <w:shd w:fill="F5F8F9"/>
            <w:tcMar>
              <w:top w:w="65" w:type="dxa"/>
              <w:bottom w:w="65" w:type="dxa"/>
              <w:left w:w="85" w:type="dxa"/>
              <w:right w:w="85" w:type="dxa"/>
            </w:tcMar>
          </w:tcPr>
          <w:p>
            <w:pPr>
              <w:spacing w:line="264" w:lineRule="auto" w:after="20" w:before="20"/>
              <w:jc w:val="left"/>
              <w:keepNext/>
            </w:pPr>
            <w:r>
              <w:rPr>
                <w:rFonts w:ascii="Inter" w:hAnsi="Inter"/>
                <w:b w:val="0"/>
                <w:color w:val="000000"/>
                <w:sz w:val="18"/>
              </w:rPr>
              <w:t>50 %</w:t>
            </w:r>
          </w:p>
        </w:tc>
      </w:tr>
      <w:tr>
        <w:trPr>
          <w:cantSplit/>
        </w:trPr>
        <w:tc>
          <w:tcPr>
            <w:tcW w:type="dxa" w:w="2268"/>
            <w:vAlign w:val="center"/>
            <w:shd w:fill="FFFFFF"/>
            <w:tcMar>
              <w:top w:w="65" w:type="dxa"/>
              <w:bottom w:w="65" w:type="dxa"/>
              <w:left w:w="85" w:type="dxa"/>
              <w:right w:w="85" w:type="dxa"/>
            </w:tcMar>
          </w:tcPr>
          <w:p>
            <w:pPr>
              <w:spacing w:line="264" w:lineRule="auto" w:after="20" w:before="20"/>
              <w:jc w:val="left"/>
              <w:keepNext/>
            </w:pPr>
            <w:r>
              <w:rPr>
                <w:rFonts w:ascii="Inter" w:hAnsi="Inter"/>
                <w:b w:val="0"/>
                <w:color w:val="000000"/>
                <w:sz w:val="18"/>
              </w:rPr>
              <w:t>13</w:t>
            </w:r>
          </w:p>
        </w:tc>
        <w:tc>
          <w:tcPr>
            <w:tcW w:type="dxa" w:w="2268"/>
            <w:vAlign w:val="center"/>
            <w:shd w:fill="FFFFFF"/>
            <w:tcMar>
              <w:top w:w="65" w:type="dxa"/>
              <w:bottom w:w="65" w:type="dxa"/>
              <w:left w:w="85" w:type="dxa"/>
              <w:right w:w="85" w:type="dxa"/>
            </w:tcMar>
          </w:tcPr>
          <w:p>
            <w:pPr>
              <w:spacing w:line="264" w:lineRule="auto" w:after="20" w:before="20"/>
              <w:jc w:val="left"/>
              <w:keepNext/>
            </w:pPr>
            <w:r>
              <w:rPr>
                <w:rFonts w:ascii="Inter" w:hAnsi="Inter"/>
                <w:b w:val="0"/>
                <w:color w:val="000000"/>
                <w:sz w:val="18"/>
              </w:rPr>
              <w:t>85 %</w:t>
            </w:r>
          </w:p>
        </w:tc>
        <w:tc>
          <w:tcPr>
            <w:tcW w:type="dxa" w:w="2268"/>
            <w:vAlign w:val="center"/>
            <w:shd w:fill="FFFFFF"/>
            <w:tcMar>
              <w:top w:w="65" w:type="dxa"/>
              <w:bottom w:w="65" w:type="dxa"/>
              <w:left w:w="85" w:type="dxa"/>
              <w:right w:w="85" w:type="dxa"/>
            </w:tcMar>
          </w:tcPr>
          <w:p>
            <w:pPr>
              <w:spacing w:line="264" w:lineRule="auto" w:after="20" w:before="20"/>
              <w:jc w:val="left"/>
              <w:keepNext/>
            </w:pPr>
            <w:r>
              <w:rPr>
                <w:rFonts w:ascii="Inter" w:hAnsi="Inter"/>
                <w:b w:val="0"/>
                <w:color w:val="000000"/>
                <w:sz w:val="18"/>
              </w:rPr>
              <w:t>5</w:t>
            </w:r>
          </w:p>
        </w:tc>
        <w:tc>
          <w:tcPr>
            <w:tcW w:type="dxa" w:w="2268"/>
            <w:vAlign w:val="center"/>
            <w:shd w:fill="FFFFFF"/>
            <w:tcMar>
              <w:top w:w="65" w:type="dxa"/>
              <w:bottom w:w="65" w:type="dxa"/>
              <w:left w:w="85" w:type="dxa"/>
              <w:right w:w="85" w:type="dxa"/>
            </w:tcMar>
          </w:tcPr>
          <w:p>
            <w:pPr>
              <w:spacing w:line="264" w:lineRule="auto" w:after="20" w:before="20"/>
              <w:jc w:val="left"/>
              <w:keepNext/>
            </w:pPr>
            <w:r>
              <w:rPr>
                <w:rFonts w:ascii="Inter" w:hAnsi="Inter"/>
                <w:b w:val="0"/>
                <w:color w:val="000000"/>
                <w:sz w:val="18"/>
              </w:rPr>
              <w:t>45 %</w:t>
            </w:r>
          </w:p>
        </w:tc>
      </w:tr>
      <w:tr>
        <w:trPr>
          <w:cantSplit/>
        </w:trPr>
        <w:tc>
          <w:tcPr>
            <w:tcW w:type="dxa" w:w="2268"/>
            <w:vAlign w:val="center"/>
            <w:shd w:fill="F5F8F9"/>
            <w:tcMar>
              <w:top w:w="65" w:type="dxa"/>
              <w:bottom w:w="65" w:type="dxa"/>
              <w:left w:w="85" w:type="dxa"/>
              <w:right w:w="85" w:type="dxa"/>
            </w:tcMar>
          </w:tcPr>
          <w:p>
            <w:pPr>
              <w:spacing w:line="264" w:lineRule="auto" w:after="20" w:before="20"/>
              <w:jc w:val="left"/>
              <w:keepNext/>
            </w:pPr>
            <w:r>
              <w:rPr>
                <w:rFonts w:ascii="Inter" w:hAnsi="Inter"/>
                <w:b w:val="0"/>
                <w:color w:val="000000"/>
                <w:sz w:val="18"/>
              </w:rPr>
              <w:t>12</w:t>
            </w:r>
          </w:p>
        </w:tc>
        <w:tc>
          <w:tcPr>
            <w:tcW w:type="dxa" w:w="2268"/>
            <w:vAlign w:val="center"/>
            <w:shd w:fill="F5F8F9"/>
            <w:tcMar>
              <w:top w:w="65" w:type="dxa"/>
              <w:bottom w:w="65" w:type="dxa"/>
              <w:left w:w="85" w:type="dxa"/>
              <w:right w:w="85" w:type="dxa"/>
            </w:tcMar>
          </w:tcPr>
          <w:p>
            <w:pPr>
              <w:spacing w:line="264" w:lineRule="auto" w:after="20" w:before="20"/>
              <w:jc w:val="left"/>
              <w:keepNext/>
            </w:pPr>
            <w:r>
              <w:rPr>
                <w:rFonts w:ascii="Inter" w:hAnsi="Inter"/>
                <w:b w:val="0"/>
                <w:color w:val="000000"/>
                <w:sz w:val="18"/>
              </w:rPr>
              <w:t>80 %</w:t>
            </w:r>
          </w:p>
        </w:tc>
        <w:tc>
          <w:tcPr>
            <w:tcW w:type="dxa" w:w="2268"/>
            <w:vAlign w:val="center"/>
            <w:shd w:fill="F5F8F9"/>
            <w:tcMar>
              <w:top w:w="65" w:type="dxa"/>
              <w:bottom w:w="65" w:type="dxa"/>
              <w:left w:w="85" w:type="dxa"/>
              <w:right w:w="85" w:type="dxa"/>
            </w:tcMar>
          </w:tcPr>
          <w:p>
            <w:pPr>
              <w:spacing w:line="264" w:lineRule="auto" w:after="20" w:before="20"/>
              <w:jc w:val="left"/>
              <w:keepNext/>
            </w:pPr>
            <w:r>
              <w:rPr>
                <w:rFonts w:ascii="Inter" w:hAnsi="Inter"/>
                <w:b w:val="0"/>
                <w:color w:val="000000"/>
                <w:sz w:val="18"/>
              </w:rPr>
              <w:t>4</w:t>
            </w:r>
          </w:p>
        </w:tc>
        <w:tc>
          <w:tcPr>
            <w:tcW w:type="dxa" w:w="2268"/>
            <w:vAlign w:val="center"/>
            <w:shd w:fill="F5F8F9"/>
            <w:tcMar>
              <w:top w:w="65" w:type="dxa"/>
              <w:bottom w:w="65" w:type="dxa"/>
              <w:left w:w="85" w:type="dxa"/>
              <w:right w:w="85" w:type="dxa"/>
            </w:tcMar>
          </w:tcPr>
          <w:p>
            <w:pPr>
              <w:spacing w:line="264" w:lineRule="auto" w:after="20" w:before="20"/>
              <w:jc w:val="left"/>
              <w:keepNext/>
            </w:pPr>
            <w:r>
              <w:rPr>
                <w:rFonts w:ascii="Inter" w:hAnsi="Inter"/>
                <w:b w:val="0"/>
                <w:color w:val="000000"/>
                <w:sz w:val="18"/>
              </w:rPr>
              <w:t>40 %</w:t>
            </w:r>
          </w:p>
        </w:tc>
      </w:tr>
      <w:tr>
        <w:trPr>
          <w:cantSplit/>
        </w:trPr>
        <w:tc>
          <w:tcPr>
            <w:tcW w:type="dxa" w:w="2268"/>
            <w:vAlign w:val="center"/>
            <w:shd w:fill="FFFFFF"/>
            <w:tcMar>
              <w:top w:w="65" w:type="dxa"/>
              <w:bottom w:w="65" w:type="dxa"/>
              <w:left w:w="85" w:type="dxa"/>
              <w:right w:w="85" w:type="dxa"/>
            </w:tcMar>
          </w:tcPr>
          <w:p>
            <w:pPr>
              <w:spacing w:line="264" w:lineRule="auto" w:after="20" w:before="20"/>
              <w:jc w:val="left"/>
              <w:keepNext/>
            </w:pPr>
            <w:r>
              <w:rPr>
                <w:rFonts w:ascii="Inter" w:hAnsi="Inter"/>
                <w:b w:val="0"/>
                <w:color w:val="000000"/>
                <w:sz w:val="18"/>
              </w:rPr>
              <w:t>11</w:t>
            </w:r>
          </w:p>
        </w:tc>
        <w:tc>
          <w:tcPr>
            <w:tcW w:type="dxa" w:w="2268"/>
            <w:vAlign w:val="center"/>
            <w:shd w:fill="FFFFFF"/>
            <w:tcMar>
              <w:top w:w="65" w:type="dxa"/>
              <w:bottom w:w="65" w:type="dxa"/>
              <w:left w:w="85" w:type="dxa"/>
              <w:right w:w="85" w:type="dxa"/>
            </w:tcMar>
          </w:tcPr>
          <w:p>
            <w:pPr>
              <w:spacing w:line="264" w:lineRule="auto" w:after="20" w:before="20"/>
              <w:jc w:val="left"/>
              <w:keepNext/>
            </w:pPr>
            <w:r>
              <w:rPr>
                <w:rFonts w:ascii="Inter" w:hAnsi="Inter"/>
                <w:b w:val="0"/>
                <w:color w:val="000000"/>
                <w:sz w:val="18"/>
              </w:rPr>
              <w:t>75 %</w:t>
            </w:r>
          </w:p>
        </w:tc>
        <w:tc>
          <w:tcPr>
            <w:tcW w:type="dxa" w:w="2268"/>
            <w:vAlign w:val="center"/>
            <w:shd w:fill="FFFFFF"/>
            <w:tcMar>
              <w:top w:w="65" w:type="dxa"/>
              <w:bottom w:w="65" w:type="dxa"/>
              <w:left w:w="85" w:type="dxa"/>
              <w:right w:w="85" w:type="dxa"/>
            </w:tcMar>
          </w:tcPr>
          <w:p>
            <w:pPr>
              <w:spacing w:line="264" w:lineRule="auto" w:after="20" w:before="20"/>
              <w:jc w:val="left"/>
              <w:keepNext/>
            </w:pPr>
            <w:r>
              <w:rPr>
                <w:rFonts w:ascii="Inter" w:hAnsi="Inter"/>
                <w:b w:val="0"/>
                <w:color w:val="000000"/>
                <w:sz w:val="18"/>
              </w:rPr>
              <w:t>3</w:t>
            </w:r>
          </w:p>
        </w:tc>
        <w:tc>
          <w:tcPr>
            <w:tcW w:type="dxa" w:w="2268"/>
            <w:vAlign w:val="center"/>
            <w:shd w:fill="FFFFFF"/>
            <w:tcMar>
              <w:top w:w="65" w:type="dxa"/>
              <w:bottom w:w="65" w:type="dxa"/>
              <w:left w:w="85" w:type="dxa"/>
              <w:right w:w="85" w:type="dxa"/>
            </w:tcMar>
          </w:tcPr>
          <w:p>
            <w:pPr>
              <w:spacing w:line="264" w:lineRule="auto" w:after="20" w:before="20"/>
              <w:jc w:val="left"/>
              <w:keepNext/>
            </w:pPr>
            <w:r>
              <w:rPr>
                <w:rFonts w:ascii="Inter" w:hAnsi="Inter"/>
                <w:b w:val="0"/>
                <w:color w:val="000000"/>
                <w:sz w:val="18"/>
              </w:rPr>
              <w:t>33 %</w:t>
            </w:r>
          </w:p>
        </w:tc>
      </w:tr>
      <w:tr>
        <w:trPr>
          <w:cantSplit/>
        </w:trPr>
        <w:tc>
          <w:tcPr>
            <w:tcW w:type="dxa" w:w="2268"/>
            <w:vAlign w:val="center"/>
            <w:shd w:fill="F5F8F9"/>
            <w:tcMar>
              <w:top w:w="65" w:type="dxa"/>
              <w:bottom w:w="65" w:type="dxa"/>
              <w:left w:w="85" w:type="dxa"/>
              <w:right w:w="85" w:type="dxa"/>
            </w:tcMar>
          </w:tcPr>
          <w:p>
            <w:pPr>
              <w:spacing w:line="264" w:lineRule="auto" w:after="20" w:before="20"/>
              <w:jc w:val="left"/>
              <w:keepNext/>
            </w:pPr>
            <w:r>
              <w:rPr>
                <w:rFonts w:ascii="Inter" w:hAnsi="Inter"/>
                <w:b w:val="0"/>
                <w:color w:val="000000"/>
                <w:sz w:val="18"/>
              </w:rPr>
              <w:t>10</w:t>
            </w:r>
          </w:p>
        </w:tc>
        <w:tc>
          <w:tcPr>
            <w:tcW w:type="dxa" w:w="2268"/>
            <w:vAlign w:val="center"/>
            <w:shd w:fill="F5F8F9"/>
            <w:tcMar>
              <w:top w:w="65" w:type="dxa"/>
              <w:bottom w:w="65" w:type="dxa"/>
              <w:left w:w="85" w:type="dxa"/>
              <w:right w:w="85" w:type="dxa"/>
            </w:tcMar>
          </w:tcPr>
          <w:p>
            <w:pPr>
              <w:spacing w:line="264" w:lineRule="auto" w:after="20" w:before="20"/>
              <w:jc w:val="left"/>
              <w:keepNext/>
            </w:pPr>
            <w:r>
              <w:rPr>
                <w:rFonts w:ascii="Inter" w:hAnsi="Inter"/>
                <w:b w:val="0"/>
                <w:color w:val="000000"/>
                <w:sz w:val="18"/>
              </w:rPr>
              <w:t>70 %</w:t>
            </w:r>
          </w:p>
        </w:tc>
        <w:tc>
          <w:tcPr>
            <w:tcW w:type="dxa" w:w="2268"/>
            <w:vAlign w:val="center"/>
            <w:shd w:fill="F5F8F9"/>
            <w:tcMar>
              <w:top w:w="65" w:type="dxa"/>
              <w:bottom w:w="65" w:type="dxa"/>
              <w:left w:w="85" w:type="dxa"/>
              <w:right w:w="85" w:type="dxa"/>
            </w:tcMar>
          </w:tcPr>
          <w:p>
            <w:pPr>
              <w:spacing w:line="264" w:lineRule="auto" w:after="20" w:before="20"/>
              <w:jc w:val="left"/>
              <w:keepNext/>
            </w:pPr>
            <w:r>
              <w:rPr>
                <w:rFonts w:ascii="Inter" w:hAnsi="Inter"/>
                <w:b w:val="0"/>
                <w:color w:val="000000"/>
                <w:sz w:val="18"/>
              </w:rPr>
              <w:t>2</w:t>
            </w:r>
          </w:p>
        </w:tc>
        <w:tc>
          <w:tcPr>
            <w:tcW w:type="dxa" w:w="2268"/>
            <w:vAlign w:val="center"/>
            <w:shd w:fill="F5F8F9"/>
            <w:tcMar>
              <w:top w:w="65" w:type="dxa"/>
              <w:bottom w:w="65" w:type="dxa"/>
              <w:left w:w="85" w:type="dxa"/>
              <w:right w:w="85" w:type="dxa"/>
            </w:tcMar>
          </w:tcPr>
          <w:p>
            <w:pPr>
              <w:spacing w:line="264" w:lineRule="auto" w:after="20" w:before="20"/>
              <w:jc w:val="left"/>
              <w:keepNext/>
            </w:pPr>
            <w:r>
              <w:rPr>
                <w:rFonts w:ascii="Inter" w:hAnsi="Inter"/>
                <w:b w:val="0"/>
                <w:color w:val="000000"/>
                <w:sz w:val="18"/>
              </w:rPr>
              <w:t>27 %</w:t>
            </w:r>
          </w:p>
        </w:tc>
      </w:tr>
      <w:tr>
        <w:trPr>
          <w:cantSplit/>
        </w:trPr>
        <w:tc>
          <w:tcPr>
            <w:tcW w:type="dxa" w:w="2268"/>
            <w:vAlign w:val="center"/>
            <w:shd w:fill="FFFFFF"/>
            <w:tcMar>
              <w:top w:w="65" w:type="dxa"/>
              <w:bottom w:w="65" w:type="dxa"/>
              <w:left w:w="85" w:type="dxa"/>
              <w:right w:w="85" w:type="dxa"/>
            </w:tcMar>
          </w:tcPr>
          <w:p>
            <w:pPr>
              <w:spacing w:line="264" w:lineRule="auto" w:after="20" w:before="20"/>
              <w:jc w:val="left"/>
              <w:keepNext/>
            </w:pPr>
            <w:r>
              <w:rPr>
                <w:rFonts w:ascii="Inter" w:hAnsi="Inter"/>
                <w:b w:val="0"/>
                <w:color w:val="000000"/>
                <w:sz w:val="18"/>
              </w:rPr>
              <w:t>9</w:t>
            </w:r>
          </w:p>
        </w:tc>
        <w:tc>
          <w:tcPr>
            <w:tcW w:type="dxa" w:w="2268"/>
            <w:vAlign w:val="center"/>
            <w:shd w:fill="FFFFFF"/>
            <w:tcMar>
              <w:top w:w="65" w:type="dxa"/>
              <w:bottom w:w="65" w:type="dxa"/>
              <w:left w:w="85" w:type="dxa"/>
              <w:right w:w="85" w:type="dxa"/>
            </w:tcMar>
          </w:tcPr>
          <w:p>
            <w:pPr>
              <w:spacing w:line="264" w:lineRule="auto" w:after="20" w:before="20"/>
              <w:jc w:val="left"/>
              <w:keepNext/>
            </w:pPr>
            <w:r>
              <w:rPr>
                <w:rFonts w:ascii="Inter" w:hAnsi="Inter"/>
                <w:b w:val="0"/>
                <w:color w:val="000000"/>
                <w:sz w:val="18"/>
              </w:rPr>
              <w:t>65 %</w:t>
            </w:r>
          </w:p>
        </w:tc>
        <w:tc>
          <w:tcPr>
            <w:tcW w:type="dxa" w:w="2268"/>
            <w:vAlign w:val="center"/>
            <w:shd w:fill="FFFFFF"/>
            <w:tcMar>
              <w:top w:w="65" w:type="dxa"/>
              <w:bottom w:w="65" w:type="dxa"/>
              <w:left w:w="85" w:type="dxa"/>
              <w:right w:w="85" w:type="dxa"/>
            </w:tcMar>
          </w:tcPr>
          <w:p>
            <w:pPr>
              <w:spacing w:line="264" w:lineRule="auto" w:after="20" w:before="20"/>
              <w:jc w:val="left"/>
              <w:keepNext/>
            </w:pPr>
            <w:r>
              <w:rPr>
                <w:rFonts w:ascii="Inter" w:hAnsi="Inter"/>
                <w:b w:val="0"/>
                <w:color w:val="000000"/>
                <w:sz w:val="18"/>
              </w:rPr>
              <w:t>1</w:t>
            </w:r>
          </w:p>
        </w:tc>
        <w:tc>
          <w:tcPr>
            <w:tcW w:type="dxa" w:w="2268"/>
            <w:vAlign w:val="center"/>
            <w:shd w:fill="FFFFFF"/>
            <w:tcMar>
              <w:top w:w="65" w:type="dxa"/>
              <w:bottom w:w="65" w:type="dxa"/>
              <w:left w:w="85" w:type="dxa"/>
              <w:right w:w="85" w:type="dxa"/>
            </w:tcMar>
          </w:tcPr>
          <w:p>
            <w:pPr>
              <w:spacing w:line="264" w:lineRule="auto" w:after="20" w:before="20"/>
              <w:jc w:val="left"/>
              <w:keepNext/>
            </w:pPr>
            <w:r>
              <w:rPr>
                <w:rFonts w:ascii="Inter" w:hAnsi="Inter"/>
                <w:b w:val="0"/>
                <w:color w:val="000000"/>
                <w:sz w:val="18"/>
              </w:rPr>
              <w:t>20 %</w:t>
            </w:r>
          </w:p>
        </w:tc>
      </w:tr>
      <w:tr>
        <w:trPr>
          <w:cantSplit/>
        </w:trPr>
        <w:tc>
          <w:tcPr>
            <w:tcW w:type="dxa" w:w="2268"/>
            <w:vAlign w:val="center"/>
            <w:shd w:fill="F5F8F9"/>
            <w:tcMar>
              <w:top w:w="65" w:type="dxa"/>
              <w:bottom w:w="65" w:type="dxa"/>
              <w:left w:w="85" w:type="dxa"/>
              <w:right w:w="85" w:type="dxa"/>
            </w:tcMar>
          </w:tcPr>
          <w:p>
            <w:pPr>
              <w:spacing w:line="264" w:lineRule="auto" w:after="20" w:before="20"/>
              <w:jc w:val="left"/>
              <w:keepNext/>
            </w:pPr>
            <w:r>
              <w:rPr>
                <w:rFonts w:ascii="Inter" w:hAnsi="Inter"/>
                <w:b w:val="0"/>
                <w:color w:val="000000"/>
                <w:sz w:val="18"/>
              </w:rPr>
              <w:t>8</w:t>
            </w:r>
          </w:p>
        </w:tc>
        <w:tc>
          <w:tcPr>
            <w:tcW w:type="dxa" w:w="2268"/>
            <w:vAlign w:val="center"/>
            <w:shd w:fill="F5F8F9"/>
            <w:tcMar>
              <w:top w:w="65" w:type="dxa"/>
              <w:bottom w:w="65" w:type="dxa"/>
              <w:left w:w="85" w:type="dxa"/>
              <w:right w:w="85" w:type="dxa"/>
            </w:tcMar>
          </w:tcPr>
          <w:p>
            <w:pPr>
              <w:spacing w:line="264" w:lineRule="auto" w:after="20" w:before="20"/>
              <w:jc w:val="left"/>
              <w:keepNext/>
            </w:pPr>
            <w:r>
              <w:rPr>
                <w:rFonts w:ascii="Inter" w:hAnsi="Inter"/>
                <w:b w:val="0"/>
                <w:color w:val="000000"/>
                <w:sz w:val="18"/>
              </w:rPr>
              <w:t>60 %</w:t>
            </w:r>
          </w:p>
        </w:tc>
        <w:tc>
          <w:tcPr>
            <w:tcW w:type="dxa" w:w="2268"/>
            <w:vAlign w:val="center"/>
            <w:shd w:fill="F5F8F9"/>
            <w:tcMar>
              <w:top w:w="65" w:type="dxa"/>
              <w:bottom w:w="65" w:type="dxa"/>
              <w:left w:w="85" w:type="dxa"/>
              <w:right w:w="85" w:type="dxa"/>
            </w:tcMar>
          </w:tcPr>
          <w:p>
            <w:pPr>
              <w:spacing w:line="264" w:lineRule="auto" w:after="20" w:before="20"/>
              <w:jc w:val="left"/>
              <w:keepNext/>
            </w:pPr>
            <w:r>
              <w:rPr>
                <w:rFonts w:ascii="Inter" w:hAnsi="Inter"/>
                <w:b w:val="0"/>
                <w:color w:val="000000"/>
                <w:sz w:val="18"/>
              </w:rPr>
              <w:t>0</w:t>
            </w:r>
          </w:p>
        </w:tc>
        <w:tc>
          <w:tcPr>
            <w:tcW w:type="dxa" w:w="2268"/>
            <w:vAlign w:val="center"/>
            <w:shd w:fill="F5F8F9"/>
            <w:tcMar>
              <w:top w:w="65" w:type="dxa"/>
              <w:bottom w:w="65" w:type="dxa"/>
              <w:left w:w="85" w:type="dxa"/>
              <w:right w:w="85" w:type="dxa"/>
            </w:tcMar>
          </w:tcPr>
          <w:p>
            <w:pPr>
              <w:spacing w:line="264" w:lineRule="auto" w:after="20" w:before="20"/>
              <w:jc w:val="left"/>
            </w:pPr>
            <w:r>
              <w:rPr>
                <w:rFonts w:ascii="Inter" w:hAnsi="Inter"/>
                <w:b w:val="0"/>
                <w:color w:val="000000"/>
                <w:sz w:val="18"/>
              </w:rPr>
              <w:t>0 %</w:t>
            </w:r>
          </w:p>
        </w:tc>
      </w:tr>
    </w:tbl>
    <w:p>
      <w:pPr>
        <w:spacing w:after="0" w:before="0" w:line="240" w:lineRule="auto"/>
      </w:pPr>
      <w:r>
        <w:rPr>
          <w:sz w:val="6"/>
        </w:rPr>
      </w:r>
    </w:p>
    <w:p>
      <w:pPr>
        <w:pStyle w:val="Heading3"/>
        <w:spacing w:before="260" w:after="140"/>
        <w:keepLines/>
        <w:jc w:val="left"/>
      </w:pPr>
      <w:r>
        <w:t>Beispiel für unterschiedliche Individualleistungen</w:t>
      </w:r>
    </w:p>
    <w:p>
      <w:pPr>
        <w:keepLines/>
      </w:pPr>
      <w:r>
        <w:t>Ein Team erhält für die gemeinsamen Anteile 32 von 40 BE. Person A erreicht individuell 48 von 60 BE und damit im Produktraster 80 BE. Person B erreicht individuell 36 von 60 BE und damit 68 BE. Daraus ergeben sich nach der Orientierung 12 bzw. 9 Notenpunkte für die Produktleistung. Die Sonstige Mitarbeit wird für beide unabhängig davon beurteilt.</w:t>
      </w:r>
    </w:p>
    <w:p>
      <w:pPr>
        <w:keepLines/>
      </w:pPr>
      <w:r>
        <w:t>Ein Beleg kann lauten: Die Person erklärt das gewählte Teilchenmodell fachlich korrekt und begründet die Farbwahl. Eine wesentliche Modellgrenze kann sie erst nach einem Hinweis erläutern. Dieser Befund wird dem passenden individuellen Kriterium zugeordnet. Rückmeldungen benennen die beobachtete Leistung und deren Bedeutung, statt nur pauschale Adjektive zu vergeben.</w:t>
      </w:r>
    </w:p>
    <w:p>
      <w:pPr>
        <w:keepLines/>
      </w:pPr>
      <w:r>
        <w:t>Die jahrgangsbezogene Notenbildung wird gesondert dokumentiert: Im neuen Modell stehen die Endnoten beider Beurteilungsbereiche, die Gesamtentwicklung und die begründete Halbjahresnote nebeneinander; im bisherigen Modell werden die Sonstige Mitarbeit beider Halbjahre und die Jahresdokumentation zur Jahresnote zusammengeführt. Der ergänzende PDF-Bogen ist in der Onlinefassung abrufbar.</w:t>
      </w:r>
    </w:p>
    <w:p>
      <w:bookmarkStart w:id="22" w:name="abitur"/>
      <w:pPr>
        <w:pStyle w:val="Heading1"/>
        <w:spacing w:before="260" w:after="140"/>
        <w:keepLines/>
        <w:jc w:val="left"/>
      </w:pPr>
      <w:r>
        <w:t>10 Vorbereitung auf das fünfte Abiturfach</w:t>
      </w:r>
      <w:bookmarkEnd w:id="22"/>
    </w:p>
    <w:p>
      <w:pPr>
        <w:spacing w:after="80"/>
        <w:keepLines/>
      </w:pPr>
      <w:r>
        <w:t>Für die neuen Jahrgänge kann das zu Beginn der Q2 festgelegte Referenzfach fünftes Abiturfach sein. Es muss in der EF als Grundkurs und ab Q1 mit schriftlichen Arbeiten belegt sein. Alle fünf Abiturfächer müssen verschieden sein; ein bereits im Abitur geprüftes Fach kann daher nicht erneut fünftes Fach sein. Dies schließt ein bereits als Leistungskurs geprüftes Referenzfach aus. Die Laufbahnberatung prüft auch Aufgabenfelder und Fächerkombination. [1, § 12]</w:t>
      </w:r>
    </w:p>
    <w:p>
      <w:pPr>
        <w:pStyle w:val="Heading3"/>
        <w:spacing w:before="260" w:after="140"/>
        <w:keepLines/>
        <w:jc w:val="left"/>
      </w:pPr>
      <w:r>
        <w:t>Präsentationsprüfung</w:t>
      </w:r>
    </w:p>
    <w:p>
      <w:pPr>
        <w:spacing w:after="80"/>
        <w:keepLines/>
      </w:pPr>
      <w:r>
        <w:t>Die Einzelprüfung dauert 20 bis 30 Minuten, davon zehn Minuten für den zusammenhängenden Vortrag. Im zweiten Teil werden fachliche Zusammenhänge und Reflexion im Gespräch vertieft. Beide Teile zählen gleichwertig; die Prüfung darf keine frühere Leistung lediglich wiederholen. Je zusätzlichem Prüfling wird eine Gruppenprüfung um 10 bis 30 Minuten verlängert. Die individuelle Leistung muss überwiegend erkennbar und bewertbar sein. [1, § 35; VV 35.4.2]</w:t>
      </w:r>
    </w:p>
    <w:p>
      <w:pPr>
        <w:spacing w:after="80"/>
        <w:keepLines/>
      </w:pPr>
      <w:r>
        <w:t>Im zweiten Teil muss die prüfende Lehrkraft spontan an Argumentation, Ergebnisse und offene Fragen der tatsächlich gezeigten Präsentation anknüpfen. Dies erfordert hohe fachliche Flexibilität: Festlegungen und Leistungsnachweise sind vorab bekannt, die konkrete Ausgestaltung und Darbietung der Präsentation jedoch nicht. Vorbereitete Frageimpulse müssen deshalb situativ angepasst werden.</w:t>
      </w:r>
    </w:p>
    <w:p>
      <w:pPr>
        <w:spacing w:after="80"/>
        <w:keepLines/>
      </w:pPr>
      <w:r>
        <w:t>Vorbereitete Materialien, auch mit KI-Unterstützung erstellt, dürfen nach den Vorgaben eingesetzt werden und werden Teil der Prüfungsunterlagen. Die eigene Erklärung bleibt entscheidend. Der Fachprüfungsausschuss setzt die Note anhand der amtlichen Anlage 22a und ihrer prüfungsspezifischen Konkretisierung fest. Bei höchstens drei Punkten im zweiten Teil ist die Gesamtnote auf höchstens vier Punkte begrenzt. Die Kursraster P und S sind hierfür nicht anzuwenden. [1, § 35; VV 35.2, 35.5 und 35.6]</w:t>
      </w:r>
    </w:p>
    <w:p>
      <w:pPr>
        <w:pStyle w:val="Heading3"/>
        <w:spacing w:before="260" w:after="140"/>
        <w:keepLines/>
        <w:jc w:val="left"/>
      </w:pPr>
      <w:r>
        <w:t>Festlegungen und amtliche Prüfungsunterlagen</w:t>
      </w:r>
    </w:p>
    <w:p>
      <w:pPr>
        <w:keepLines/>
      </w:pPr>
      <w:r>
        <w:t>Grundlage der Präsentationsprüfung sind die beiden Produkte aus Q2.1 und Q2.2. Sie werden zueinander und zu einem Rahmenthema oder Leitaspekt in Beziehung gesetzt; daraus werden eigenständige Schlussfolgerungen entwickelt. Die konkretisierte Passepartout-Aufgabe und die Festlegungen werden in der amtlichen Anlage 21 dokumentiert. Beide Leistungsnachweise werden beigefügt. [1, Anlage 21]</w:t>
      </w:r>
    </w:p>
    <w:p>
      <w:pPr>
        <w:keepLines/>
      </w:pPr>
      <w:r>
        <w:t>Der Prüfling füllt Anlage 21 eigenständig mit Beratung der Fachlehrkraft aus und reicht sie spätestens am letzten Tag der Leistungsbewertung in Q2.2 unterschrieben ein. Das Original bleibt in der Schule, der Prüfling erhält eine Kopie. Nach Einreichung ist eine weitere Beratung durch die Fachlehrkraft nicht mehr vorgesehen. Eine Gruppenprüfung ist spätestens eine Woche vor diesem letzten Tag anzukündigen. Maßgeblich ist der amtliche Abiturkalender. [1, Anlage 21]</w:t>
      </w:r>
    </w:p>
    <w:p>
      <w:pPr>
        <w:keepLines/>
      </w:pPr>
      <w:r>
        <w:t>In Anlage 22a wird Teil 1 über Gestaltung, Performanz, Kontextualisierung und Reflexion beurteilt, Teil 2 über Performanz, Fachlichkeit und Reflexion. Die Kriterienmittelwerte der Teile werden zunächst nicht gerundet; erst das gleichwertig gebildete Gesamtergebnis wird gegebenenfalls gerundet. Die Begrenzung bei höchstens drei Punkten im Fachgespräch bleibt verbindlich. [1, Anlage 22a; VV 35.6.1]</w:t>
      </w:r>
    </w:p>
    <w:p>
      <w:pPr>
        <w:keepLines/>
      </w:pPr>
      <w:hyperlink r:id="rIdAudit17">
        <w:r>
          <w:rPr>
            <w:rStyle w:val="Hyperlink"/>
          </w:rPr>
          <w:t>Externe amtliche Formulare: Anlage 21 – Festlegungen zur Präsentationsprüfung</w:t>
        </w:r>
      </w:hyperlink>
    </w:p>
    <w:p>
      <w:pPr>
        <w:keepLines/>
      </w:pPr>
      <w:hyperlink r:id="rIdAudit18">
        <w:r>
          <w:rPr>
            <w:rStyle w:val="Hyperlink"/>
          </w:rPr>
          <w:t>Externe amtliche Formulare: Anlage 22a – Bewertungsraster der Präsentationsprüfung</w:t>
        </w:r>
      </w:hyperlink>
    </w:p>
    <w:p>
      <w:pPr>
        <w:pStyle w:val="Heading3"/>
        <w:spacing w:before="260" w:after="140"/>
        <w:keepLines/>
        <w:jc w:val="left"/>
      </w:pPr>
      <w:r>
        <w:t>Übertragbare Aufgabenstruktur für die Vorbereitung</w:t>
      </w:r>
    </w:p>
    <w:p>
      <w:pPr>
        <w:spacing w:after="80"/>
        <w:keepLines/>
      </w:pPr>
      <w:r>
        <w:t>Die folgende Übung konkretisiert die Verknüpfung beider Produkte und ersetzt nicht die amtlichen Festlegungen: Stellen Sie dar, wie Produkt 1 und Produkt 2 gemeinsam Ihre fachliche Leitfrage beantworten. Erläutern Sie einen zentralen Zusammenhang mit einem geeigneten Modell. Begründen Sie die Zielgruppenansprache und leiten Sie Schlussfolgerungen ab. Prüfen Sie, welche Änderungen eine neue Datengrundlage oder Randbedingung erfordert.</w:t>
      </w:r>
    </w:p>
    <w:p>
      <w:pPr>
        <w:pStyle w:val="Heading3"/>
        <w:spacing w:before="260" w:after="140"/>
        <w:keepLines/>
        <w:jc w:val="left"/>
      </w:pPr>
      <w:r>
        <w:t>Besondere Lernleistung</w:t>
      </w:r>
    </w:p>
    <w:p>
      <w:pPr>
        <w:spacing w:after="80"/>
        <w:keepLines/>
      </w:pPr>
      <w:r>
        <w:t>Eine Besondere Lernleistung umfasst zwei Schulhalbjahre und ist spätestens zu Beginn der Q2 anzumelden. Über die Zulassung entscheidet die Schulleitung. Die Arbeit oder Dokumentation wird spätestens am letzten Tag der Leistungsbewertung eingereicht. Das Kolloquium dauert 20 bis 30 Minuten; Arbeit und Kolloquium bilden eine Gesamtnote. Zuordnung, Eigenleistung und Abgrenzung zu bereits bewerteten Leistungen werden vorab geklärt. Dieses eigenständige Prüfungsformat folgt §§ 17 und 36, nicht automatisch den Regeln der Präsentationsprüfung. [1]</w:t>
      </w:r>
    </w:p>
    <w:p>
      <w:pPr>
        <w:spacing w:after="80"/>
        <w:keepLines/>
      </w:pPr>
      <w:r>
        <w:t>Die Termine richten sich nach dem jeweiligen Abiturkalender. Unterrichtliche Probevorstellungen sind Übung und Rückmeldung; sie nehmen weder die konkrete Prüfungsaufgabe noch die Entscheidung des Fachprüfungsausschusses vorweg.</w:t>
      </w:r>
    </w:p>
    <w:p>
      <w:pPr>
        <w:keepLines/>
      </w:pPr>
      <w:r>
        <w:t>Die Einbringung in die Gesamtqualifikation ist von der Wahl des fünften Abiturfachs zu unterscheiden. Nach der neuen Ordnung werden beide Projektkurshalbjahre in Block I eingebracht. Wird sein Referenzfach fünftes Abiturfach, kommen die beiden Q1-Halbjahre des Referenzfachs hinzu. Eine Anbindung an einen Leistungskurs schließt die Projektkursleistungen nicht generell aus Block I aus. [1, § 26 Absätze 2 und 3]</w:t>
      </w:r>
    </w:p>
    <w:p>
      <w:bookmarkStart w:id="23" w:name="beispiele"/>
      <w:pPr>
        <w:pStyle w:val="Heading1"/>
        <w:spacing w:before="260" w:after="140"/>
        <w:keepLines/>
        <w:jc w:val="left"/>
      </w:pPr>
      <w:r>
        <w:t>11 Fachliche Themen und mögliche Projekte</w:t>
      </w:r>
      <w:bookmarkEnd w:id="23"/>
    </w:p>
    <w:p>
      <w:pPr>
        <w:keepLines/>
      </w:pPr>
      <w:r>
        <w:t>Die Beispiele eröffnen Wahlmöglichkeiten. Jedes Projekt benötigt eine eingegrenzte Leitfrage, überprüfbare Quellen und eine individuelle fachliche Vertiefung. Gesellschaftliche Anschlussfragen werden auf einer geklärten naturwissenschaftlichen Grundlage behandelt.</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3061"/>
        <w:gridCol w:w="3742"/>
      </w:tblGrid>
      <w:tr>
        <w:trPr>
          <w:cantSplit/>
          <w:tblHeader/>
        </w:trPr>
        <w:tc>
          <w:tcPr>
            <w:tcW w:type="dxa" w:w="2268"/>
            <w:vAlign w:val="center"/>
            <w:shd w:fill="DDE9EC"/>
            <w:tcMar>
              <w:top w:w="65" w:type="dxa"/>
              <w:bottom w:w="65" w:type="dxa"/>
              <w:left w:w="85" w:type="dxa"/>
              <w:right w:w="85" w:type="dxa"/>
            </w:tcMar>
          </w:tcPr>
          <w:p>
            <w:pPr>
              <w:keepNext/>
              <w:spacing w:line="264" w:lineRule="auto" w:after="20" w:before="20"/>
              <w:jc w:val="left"/>
            </w:pPr>
            <w:r>
              <w:rPr>
                <w:rFonts w:ascii="Inter" w:hAnsi="Inter"/>
                <w:b/>
                <w:color w:val="000000"/>
                <w:sz w:val="18"/>
              </w:rPr>
              <w:t>Referenzfach und Thema</w:t>
            </w:r>
          </w:p>
        </w:tc>
        <w:tc>
          <w:tcPr>
            <w:tcW w:type="dxa" w:w="3061"/>
            <w:vAlign w:val="center"/>
            <w:shd w:fill="DDE9EC"/>
            <w:tcMar>
              <w:top w:w="65" w:type="dxa"/>
              <w:bottom w:w="65" w:type="dxa"/>
              <w:left w:w="85" w:type="dxa"/>
              <w:right w:w="85" w:type="dxa"/>
            </w:tcMar>
          </w:tcPr>
          <w:p>
            <w:pPr>
              <w:keepNext/>
              <w:spacing w:line="264" w:lineRule="auto" w:after="20" w:before="20"/>
              <w:jc w:val="left"/>
            </w:pPr>
            <w:r>
              <w:rPr>
                <w:rFonts w:ascii="Inter" w:hAnsi="Inter"/>
                <w:b/>
                <w:color w:val="000000"/>
                <w:sz w:val="18"/>
              </w:rPr>
              <w:t>Kommunikationsprodukt</w:t>
            </w:r>
          </w:p>
        </w:tc>
        <w:tc>
          <w:tcPr>
            <w:tcW w:type="dxa" w:w="3742"/>
            <w:vAlign w:val="center"/>
            <w:shd w:fill="DDE9EC"/>
            <w:tcMar>
              <w:top w:w="65" w:type="dxa"/>
              <w:bottom w:w="65" w:type="dxa"/>
              <w:left w:w="85" w:type="dxa"/>
              <w:right w:w="85" w:type="dxa"/>
            </w:tcMar>
          </w:tcPr>
          <w:p>
            <w:pPr>
              <w:keepNext/>
              <w:spacing w:line="264" w:lineRule="auto" w:after="20" w:before="20"/>
              <w:jc w:val="left"/>
            </w:pPr>
            <w:r>
              <w:rPr>
                <w:rFonts w:ascii="Inter" w:hAnsi="Inter"/>
                <w:b/>
                <w:color w:val="000000"/>
                <w:sz w:val="18"/>
              </w:rPr>
              <w:t>Vertiefung und möglicher Transfer</w:t>
            </w:r>
          </w:p>
        </w:tc>
      </w:tr>
      <w:tr>
        <w:trPr>
          <w:cantSplit/>
        </w:trPr>
        <w:tc>
          <w:tcPr>
            <w:tcW w:type="dxa" w:w="2268"/>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Chemie</w:t>
              <w:br/>
              <w:t>Biobasierte Verpackungen</w:t>
            </w:r>
          </w:p>
        </w:tc>
        <w:tc>
          <w:tcPr>
            <w:tcW w:type="dxa" w:w="3061"/>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Infografikserie für die Schulgemeinschaft zu Struktur, Nutzung und Entsorgung von PE, PLA und stärkebasierten Materialien.</w:t>
            </w:r>
          </w:p>
        </w:tc>
        <w:tc>
          <w:tcPr>
            <w:tcW w:type="dxa" w:w="3742"/>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Struktur und Eigenschaften erklären; biobasiert, biologisch abbaubar und kompostierbar unterscheiden; Empfehlung bei geändertem Nutzungsszenario prüfen.</w:t>
            </w:r>
          </w:p>
        </w:tc>
      </w:tr>
      <w:tr>
        <w:trPr>
          <w:cantSplit/>
        </w:trPr>
        <w:tc>
          <w:tcPr>
            <w:tcW w:type="dxa" w:w="2268"/>
            <w:vAlign w:val="center"/>
            <w:shd w:fill="F5F8F9"/>
            <w:tcMar>
              <w:top w:w="65" w:type="dxa"/>
              <w:bottom w:w="65" w:type="dxa"/>
              <w:left w:w="85" w:type="dxa"/>
              <w:right w:w="85" w:type="dxa"/>
            </w:tcMar>
          </w:tcPr>
          <w:p>
            <w:pPr>
              <w:spacing w:line="264" w:lineRule="auto" w:after="20" w:before="20"/>
              <w:jc w:val="left"/>
            </w:pPr>
            <w:r>
              <w:rPr>
                <w:rFonts w:ascii="Inter" w:hAnsi="Inter"/>
                <w:b w:val="0"/>
                <w:color w:val="000000"/>
                <w:sz w:val="18"/>
              </w:rPr>
              <w:t>Chemie</w:t>
              <w:br/>
              <w:t>Säuregehalt im Alltag</w:t>
            </w:r>
          </w:p>
        </w:tc>
        <w:tc>
          <w:tcPr>
            <w:tcW w:type="dxa" w:w="3061"/>
            <w:vAlign w:val="center"/>
            <w:shd w:fill="F5F8F9"/>
            <w:tcMar>
              <w:top w:w="65" w:type="dxa"/>
              <w:bottom w:w="65" w:type="dxa"/>
              <w:left w:w="85" w:type="dxa"/>
              <w:right w:w="85" w:type="dxa"/>
            </w:tcMar>
          </w:tcPr>
          <w:p>
            <w:pPr>
              <w:spacing w:line="264" w:lineRule="auto" w:after="20" w:before="20"/>
              <w:jc w:val="left"/>
            </w:pPr>
            <w:r>
              <w:rPr>
                <w:rFonts w:ascii="Inter" w:hAnsi="Inter"/>
                <w:b w:val="0"/>
                <w:color w:val="000000"/>
                <w:sz w:val="18"/>
              </w:rPr>
              <w:t>Erklärvideo mit freigegebenem Experiment oder nachvollziehbarer Datenauswertung zur titrierbaren Gesamtsäure.</w:t>
            </w:r>
          </w:p>
        </w:tc>
        <w:tc>
          <w:tcPr>
            <w:tcW w:type="dxa" w:w="3742"/>
            <w:vAlign w:val="center"/>
            <w:shd w:fill="F5F8F9"/>
            <w:tcMar>
              <w:top w:w="65" w:type="dxa"/>
              <w:bottom w:w="65" w:type="dxa"/>
              <w:left w:w="85" w:type="dxa"/>
              <w:right w:w="85" w:type="dxa"/>
            </w:tcMar>
          </w:tcPr>
          <w:p>
            <w:pPr>
              <w:spacing w:line="264" w:lineRule="auto" w:after="20" w:before="20"/>
              <w:jc w:val="left"/>
            </w:pPr>
            <w:r>
              <w:rPr>
                <w:rFonts w:ascii="Inter" w:hAnsi="Inter"/>
                <w:b w:val="0"/>
                <w:color w:val="000000"/>
                <w:sz w:val="18"/>
              </w:rPr>
              <w:t>Verdünnung, Stöchiometrie und Messunsicherheit erklären; Reichweite einer Titration bei einem Säuregemisch begrenzen.</w:t>
            </w:r>
          </w:p>
        </w:tc>
      </w:tr>
      <w:tr>
        <w:trPr>
          <w:cantSplit/>
        </w:trPr>
        <w:tc>
          <w:tcPr>
            <w:tcW w:type="dxa" w:w="2268"/>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Physik</w:t>
              <w:br/>
              <w:t>Warum der Himmel blau erscheint</w:t>
            </w:r>
          </w:p>
        </w:tc>
        <w:tc>
          <w:tcPr>
            <w:tcW w:type="dxa" w:w="3061"/>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Animierte Erklärung für die Sekundarstufe I mit einem begründeten Modell der Lichtstreuung.</w:t>
            </w:r>
          </w:p>
        </w:tc>
        <w:tc>
          <w:tcPr>
            <w:tcW w:type="dxa" w:w="3742"/>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Abhängigkeit von der Wellenlänge und Modellgrenzen erläutern; Transfer auf Abendrot oder trübe Medien.</w:t>
            </w:r>
          </w:p>
        </w:tc>
      </w:tr>
      <w:tr>
        <w:trPr>
          <w:cantSplit/>
        </w:trPr>
        <w:tc>
          <w:tcPr>
            <w:tcW w:type="dxa" w:w="2268"/>
            <w:vAlign w:val="center"/>
            <w:shd w:fill="F5F8F9"/>
            <w:tcMar>
              <w:top w:w="65" w:type="dxa"/>
              <w:bottom w:w="65" w:type="dxa"/>
              <w:left w:w="85" w:type="dxa"/>
              <w:right w:w="85" w:type="dxa"/>
            </w:tcMar>
          </w:tcPr>
          <w:p>
            <w:pPr>
              <w:spacing w:line="264" w:lineRule="auto" w:after="20" w:before="20"/>
              <w:jc w:val="left"/>
            </w:pPr>
            <w:r>
              <w:rPr>
                <w:rFonts w:ascii="Inter" w:hAnsi="Inter"/>
                <w:b w:val="0"/>
                <w:color w:val="000000"/>
                <w:sz w:val="18"/>
              </w:rPr>
              <w:t>Physik</w:t>
              <w:br/>
              <w:t>Energie speichern und nutzen</w:t>
            </w:r>
          </w:p>
        </w:tc>
        <w:tc>
          <w:tcPr>
            <w:tcW w:type="dxa" w:w="3061"/>
            <w:vAlign w:val="center"/>
            <w:shd w:fill="F5F8F9"/>
            <w:tcMar>
              <w:top w:w="65" w:type="dxa"/>
              <w:bottom w:w="65" w:type="dxa"/>
              <w:left w:w="85" w:type="dxa"/>
              <w:right w:w="85" w:type="dxa"/>
            </w:tcMar>
          </w:tcPr>
          <w:p>
            <w:pPr>
              <w:spacing w:line="264" w:lineRule="auto" w:after="20" w:before="20"/>
              <w:jc w:val="left"/>
            </w:pPr>
            <w:r>
              <w:rPr>
                <w:rFonts w:ascii="Inter" w:hAnsi="Inter"/>
                <w:b w:val="0"/>
                <w:color w:val="000000"/>
                <w:sz w:val="18"/>
              </w:rPr>
              <w:t>Interaktive Darstellung einer Energiekette mit einstellbaren Wirkungsgraden.</w:t>
            </w:r>
          </w:p>
        </w:tc>
        <w:tc>
          <w:tcPr>
            <w:tcW w:type="dxa" w:w="3742"/>
            <w:vAlign w:val="center"/>
            <w:shd w:fill="F5F8F9"/>
            <w:tcMar>
              <w:top w:w="65" w:type="dxa"/>
              <w:bottom w:w="65" w:type="dxa"/>
              <w:left w:w="85" w:type="dxa"/>
              <w:right w:w="85" w:type="dxa"/>
            </w:tcMar>
          </w:tcPr>
          <w:p>
            <w:pPr>
              <w:spacing w:line="264" w:lineRule="auto" w:after="20" w:before="20"/>
              <w:jc w:val="left"/>
            </w:pPr>
            <w:r>
              <w:rPr>
                <w:rFonts w:ascii="Inter" w:hAnsi="Inter"/>
                <w:b w:val="0"/>
                <w:color w:val="000000"/>
                <w:sz w:val="18"/>
              </w:rPr>
              <w:t>Systemgrenzen und Energieerhaltung erklären; unterschiedliche Nutzungsszenarien anhand überprüfter Daten vergleichen.</w:t>
            </w:r>
          </w:p>
        </w:tc>
      </w:tr>
      <w:tr>
        <w:trPr>
          <w:cantSplit/>
        </w:trPr>
        <w:tc>
          <w:tcPr>
            <w:tcW w:type="dxa" w:w="2268"/>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Biologie</w:t>
              <w:br/>
              <w:t>Genetische Information</w:t>
            </w:r>
          </w:p>
        </w:tc>
        <w:tc>
          <w:tcPr>
            <w:tcW w:type="dxa" w:w="3061"/>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Podcast mit ergänzender Grafik zu Transkription, Translation und der Rolle von mRNA.</w:t>
            </w:r>
          </w:p>
        </w:tc>
        <w:tc>
          <w:tcPr>
            <w:tcW w:type="dxa" w:w="3742"/>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Informationsfluss und Modellgrenzen erklären; eine verbreitete Fehlvorstellung anhand belegter Mechanismen prüfen.</w:t>
            </w:r>
          </w:p>
        </w:tc>
      </w:tr>
      <w:tr>
        <w:trPr>
          <w:cantSplit/>
        </w:trPr>
        <w:tc>
          <w:tcPr>
            <w:tcW w:type="dxa" w:w="2268"/>
            <w:vAlign w:val="center"/>
            <w:shd w:fill="F5F8F9"/>
            <w:tcMar>
              <w:top w:w="65" w:type="dxa"/>
              <w:bottom w:w="65" w:type="dxa"/>
              <w:left w:w="85" w:type="dxa"/>
              <w:right w:w="85" w:type="dxa"/>
            </w:tcMar>
          </w:tcPr>
          <w:p>
            <w:pPr>
              <w:spacing w:line="264" w:lineRule="auto" w:after="20" w:before="20"/>
              <w:jc w:val="left"/>
            </w:pPr>
            <w:r>
              <w:rPr>
                <w:rFonts w:ascii="Inter" w:hAnsi="Inter"/>
                <w:b w:val="0"/>
                <w:color w:val="000000"/>
                <w:sz w:val="18"/>
              </w:rPr>
              <w:t>Biologie</w:t>
              <w:br/>
              <w:t>Biodiversität vor Ort</w:t>
            </w:r>
          </w:p>
        </w:tc>
        <w:tc>
          <w:tcPr>
            <w:tcW w:type="dxa" w:w="3061"/>
            <w:vAlign w:val="center"/>
            <w:shd w:fill="F5F8F9"/>
            <w:tcMar>
              <w:top w:w="65" w:type="dxa"/>
              <w:bottom w:w="65" w:type="dxa"/>
              <w:left w:w="85" w:type="dxa"/>
              <w:right w:w="85" w:type="dxa"/>
            </w:tcMar>
          </w:tcPr>
          <w:p>
            <w:pPr>
              <w:spacing w:line="264" w:lineRule="auto" w:after="20" w:before="20"/>
              <w:jc w:val="left"/>
            </w:pPr>
            <w:r>
              <w:rPr>
                <w:rFonts w:ascii="Inter" w:hAnsi="Inter"/>
                <w:b w:val="0"/>
                <w:color w:val="000000"/>
                <w:sz w:val="18"/>
              </w:rPr>
              <w:t>Wissenschaftsblog über eine angeleitete Beobachtung oder einen geeigneten offenen Datensatz.</w:t>
            </w:r>
          </w:p>
        </w:tc>
        <w:tc>
          <w:tcPr>
            <w:tcW w:type="dxa" w:w="3742"/>
            <w:vAlign w:val="center"/>
            <w:shd w:fill="F5F8F9"/>
            <w:tcMar>
              <w:top w:w="65" w:type="dxa"/>
              <w:bottom w:w="65" w:type="dxa"/>
              <w:left w:w="85" w:type="dxa"/>
              <w:right w:w="85" w:type="dxa"/>
            </w:tcMar>
          </w:tcPr>
          <w:p>
            <w:pPr>
              <w:spacing w:line="264" w:lineRule="auto" w:after="20" w:before="20"/>
              <w:jc w:val="left"/>
            </w:pPr>
            <w:r>
              <w:rPr>
                <w:rFonts w:ascii="Inter" w:hAnsi="Inter"/>
                <w:b w:val="0"/>
                <w:color w:val="000000"/>
                <w:sz w:val="18"/>
              </w:rPr>
              <w:t>Stichprobe, Erfassungsmethode und Störfaktoren erklären; Zusammenhang und Ursache unterscheiden.</w:t>
            </w:r>
          </w:p>
        </w:tc>
      </w:tr>
    </w:tbl>
    <w:p>
      <w:pPr>
        <w:spacing w:after="0" w:before="0" w:line="240" w:lineRule="auto"/>
      </w:pPr>
      <w:r>
        <w:rPr>
          <w:sz w:val="6"/>
        </w:rPr>
      </w:r>
    </w:p>
    <w:p>
      <w:pPr>
        <w:keepLines/>
      </w:pPr>
      <w:r>
        <w:t>Für ein fächerübergreifendes Projekt zum Treibhauseffekt können Moleküleigenschaften, Strahlungsprozesse und ökologische Folgen verbunden werden. Die fachliche Verantwortung wird einem Referenzfach zugeordnet; Beiträge anderer Fächer erweitern die Erklärung. Verknüpfungen ersetzen nicht die vertiefte Bearbeitung eines klaren fachlichen Kerns.</w:t>
      </w:r>
    </w:p>
    <w:p>
      <w:bookmarkStart w:id="24" w:name="dokumentation"/>
      <w:pPr>
        <w:pStyle w:val="Heading1"/>
        <w:spacing w:before="260" w:after="140"/>
        <w:keepLines/>
        <w:jc w:val="left"/>
      </w:pPr>
      <w:r>
        <w:t>12 Projektantrag und Arbeitsdokumentation</w:t>
      </w:r>
      <w:bookmarkEnd w:id="24"/>
    </w:p>
    <w:p>
      <w:pPr>
        <w:keepLines/>
      </w:pPr>
      <w:r>
        <w:t>Die folgenden Vorlagen begleiten Unterricht, Rückmeldung und Leistungsdokumentation. Sie ersetzen weder die amtliche Anlage 21 für die Präsentationsprüfung noch deren Bewertungsraster. Der Projektantrag hält den geltenden Jahrgang, das Referenzfach, den Produkt- oder Jahresprojektbezug sowie individuelle Beiträge und Bewertungskriterien fest.</w:t>
      </w:r>
    </w:p>
    <w:p>
      <w:pPr>
        <w:keepLines/>
      </w:pPr>
      <w:r>
        <w:t>Für die Übernahme aus der Kanban-Lehrkraft-Auswertung wird der exportierte JSON-Stand geöffnet. Im Formular werden Projekt und Gruppe, JSON-Dateiname und Exportdatum festgehalten; anschließend werden passende Kartentitel bzw. Kennungen, Zuständigkeiten, Fälligkeiten, Fertig-Kriterien, Prüfergebnisse und gegebenenfalls datierte Historieneinträge übernommen. Die Angaben werden mit dem fachlichen Ergebnis und der individuellen Erläuterung abgeglichen. Der JSON-Stand bleibt als zugehöriger Beleg erhalten; die Formulare dokumentieren die ausgewählten Nachweise, Rückmeldungen und das begründete Urteil.</w:t>
      </w:r>
    </w:p>
    <w:p>
      <w:pPr>
        <w:pStyle w:val="Heading3"/>
        <w:spacing w:before="260" w:after="140"/>
        <w:keepLines/>
        <w:jc w:val="left"/>
      </w:pPr>
      <w:r>
        <w:t>Projektantrag</w:t>
      </w:r>
    </w:p>
    <w:p>
      <w:pPr>
        <w:keepLines/>
      </w:pPr>
      <w:r>
        <w:t>Name und Team __________________________  Referenzfach __________________________</w:t>
        <w:br/>
        <w:t>Halbjahr __________  Arbeitstitel _________________________________________________</w:t>
      </w:r>
    </w:p>
    <w:p>
      <w:pPr>
        <w:pStyle w:val="ListBullet"/>
        <w:keepLines/>
      </w:pPr>
      <w:r>
        <w:t>Leitfrage: Welche eingegrenzte naturwissenschaftliche Frage wird bearbeitet?</w:t>
      </w:r>
    </w:p>
    <w:p>
      <w:pPr>
        <w:pStyle w:val="ListBullet"/>
        <w:keepLines/>
      </w:pPr>
      <w:r>
        <w:t>Fachlicher Kern: Welche Begriffe, Modelle und Daten sind notwendig? Welche Kompetenzen werden vertieft?</w:t>
      </w:r>
    </w:p>
    <w:p>
      <w:pPr>
        <w:pStyle w:val="ListBullet"/>
        <w:keepLines/>
      </w:pPr>
      <w:r>
        <w:t>Zielgruppe: Welches Vorwissen und welchen Informationsbedarf hat das Publikum? Wie wird dies überprüft?</w:t>
      </w:r>
    </w:p>
    <w:p>
      <w:pPr>
        <w:pStyle w:val="ListBullet"/>
        <w:keepLines/>
      </w:pPr>
      <w:r>
        <w:t>Produkt: Welches Format und welcher Umfang sind sinnvoll? Welche Alternative wurde erwogen?</w:t>
      </w:r>
    </w:p>
    <w:p>
      <w:pPr>
        <w:pStyle w:val="ListBullet"/>
        <w:keepLines/>
      </w:pPr>
      <w:r>
        <w:t>Belege und Ressourcen: Welche Startquellen, Werkzeuge und gegebenenfalls freigegebenen Experimente werden benötigt?</w:t>
      </w:r>
    </w:p>
    <w:p>
      <w:pPr>
        <w:pStyle w:val="ListBullet"/>
        <w:keepLines/>
      </w:pPr>
      <w:r>
        <w:t>Verantwortung: Welche individuellen Beiträge, Rollen, Hilfsmittel und KI-Nutzungen sind vorgesehen?</w:t>
      </w:r>
    </w:p>
    <w:p>
      <w:pPr>
        <w:pStyle w:val="ListBullet"/>
        <w:keepLines/>
      </w:pPr>
      <w:r>
        <w:t>Meilensteine: Wann liegen Recherche, Konzept, Prototyp, Test, Überarbeitung und Endfassung vor?</w:t>
      </w:r>
    </w:p>
    <w:p>
      <w:pPr>
        <w:pStyle w:val="ListBullet"/>
        <w:keepLines/>
      </w:pPr>
      <w:r>
        <w:t>Bewertung und Abgabe: Welche Kriterien, Dateien, Nachweise und Vorstellungstermine sind vereinbart?</w:t>
      </w:r>
    </w:p>
    <w:p>
      <w:pPr>
        <w:keepLines/>
      </w:pPr>
      <w:r>
        <w:t>Vereinbarung mit der Lehrkraft am __________  Nächster Beratungstermin __________</w:t>
      </w:r>
    </w:p>
    <w:p>
      <w:pPr>
        <w:pStyle w:val="Heading3"/>
        <w:spacing w:before="260" w:after="140"/>
        <w:keepLines/>
        <w:jc w:val="left"/>
      </w:pPr>
      <w:r>
        <w:t>Sprint Protokoll und Wochenbericht</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85"/>
        <w:gridCol w:w="5386"/>
      </w:tblGrid>
      <w:tr>
        <w:trPr>
          <w:cantSplit/>
          <w:tblHeader/>
        </w:trPr>
        <w:tc>
          <w:tcPr>
            <w:tcW w:type="dxa" w:w="3685"/>
            <w:vAlign w:val="center"/>
            <w:shd w:fill="DDE9EC"/>
            <w:tcMar>
              <w:top w:w="65" w:type="dxa"/>
              <w:bottom w:w="65" w:type="dxa"/>
              <w:left w:w="85" w:type="dxa"/>
              <w:right w:w="85" w:type="dxa"/>
            </w:tcMar>
          </w:tcPr>
          <w:p>
            <w:pPr>
              <w:keepNext/>
              <w:spacing w:line="264" w:lineRule="auto" w:after="20" w:before="20"/>
              <w:jc w:val="left"/>
            </w:pPr>
            <w:r>
              <w:rPr>
                <w:rFonts w:ascii="Inter" w:hAnsi="Inter"/>
                <w:b/>
                <w:color w:val="000000"/>
                <w:sz w:val="18"/>
              </w:rPr>
              <w:t>Feld</w:t>
            </w:r>
          </w:p>
        </w:tc>
        <w:tc>
          <w:tcPr>
            <w:tcW w:type="dxa" w:w="5386"/>
            <w:vAlign w:val="center"/>
            <w:shd w:fill="DDE9EC"/>
            <w:tcMar>
              <w:top w:w="65" w:type="dxa"/>
              <w:bottom w:w="65" w:type="dxa"/>
              <w:left w:w="85" w:type="dxa"/>
              <w:right w:w="85" w:type="dxa"/>
            </w:tcMar>
          </w:tcPr>
          <w:p>
            <w:pPr>
              <w:keepNext/>
              <w:spacing w:line="264" w:lineRule="auto" w:after="20" w:before="20"/>
              <w:jc w:val="left"/>
            </w:pPr>
            <w:r>
              <w:rPr>
                <w:rFonts w:ascii="Inter" w:hAnsi="Inter"/>
                <w:b/>
                <w:color w:val="000000"/>
                <w:sz w:val="18"/>
              </w:rPr>
              <w:t>Eintragung</w:t>
            </w:r>
          </w:p>
        </w:tc>
      </w:tr>
      <w:tr>
        <w:trPr>
          <w:cantSplit/>
        </w:trPr>
        <w:tc>
          <w:tcPr>
            <w:tcW w:type="dxa" w:w="3685"/>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Zeitraum, Boardstand und Ziel</w:t>
            </w:r>
          </w:p>
        </w:tc>
        <w:tc>
          <w:tcPr>
            <w:tcW w:type="dxa" w:w="5386"/>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r>
          </w:p>
        </w:tc>
      </w:tr>
      <w:tr>
        <w:trPr>
          <w:cantSplit/>
        </w:trPr>
        <w:tc>
          <w:tcPr>
            <w:tcW w:type="dxa" w:w="3685"/>
            <w:vAlign w:val="center"/>
            <w:shd w:fill="F5F8F9"/>
            <w:tcMar>
              <w:top w:w="65" w:type="dxa"/>
              <w:bottom w:w="65" w:type="dxa"/>
              <w:left w:w="85" w:type="dxa"/>
              <w:right w:w="85" w:type="dxa"/>
            </w:tcMar>
          </w:tcPr>
          <w:p>
            <w:pPr>
              <w:spacing w:line="264" w:lineRule="auto" w:after="20" w:before="20"/>
              <w:jc w:val="left"/>
            </w:pPr>
            <w:r>
              <w:rPr>
                <w:rFonts w:ascii="Inter" w:hAnsi="Inter"/>
                <w:b w:val="0"/>
                <w:color w:val="000000"/>
                <w:sz w:val="18"/>
              </w:rPr>
              <w:t>Eigene Aufgaben und überprüfbares Ergebnis</w:t>
            </w:r>
          </w:p>
        </w:tc>
        <w:tc>
          <w:tcPr>
            <w:tcW w:type="dxa" w:w="5386"/>
            <w:vAlign w:val="center"/>
            <w:shd w:fill="F5F8F9"/>
            <w:tcMar>
              <w:top w:w="65" w:type="dxa"/>
              <w:bottom w:w="65" w:type="dxa"/>
              <w:left w:w="85" w:type="dxa"/>
              <w:right w:w="85" w:type="dxa"/>
            </w:tcMar>
          </w:tcPr>
          <w:p>
            <w:pPr>
              <w:spacing w:line="264" w:lineRule="auto" w:after="20" w:before="20"/>
              <w:jc w:val="left"/>
            </w:pPr>
            <w:r>
              <w:rPr>
                <w:rFonts w:ascii="Inter" w:hAnsi="Inter"/>
                <w:b w:val="0"/>
                <w:color w:val="000000"/>
                <w:sz w:val="18"/>
              </w:rPr>
            </w:r>
          </w:p>
        </w:tc>
      </w:tr>
      <w:tr>
        <w:trPr>
          <w:cantSplit/>
        </w:trPr>
        <w:tc>
          <w:tcPr>
            <w:tcW w:type="dxa" w:w="3685"/>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Quellen und fachliche Entscheidungen</w:t>
            </w:r>
          </w:p>
        </w:tc>
        <w:tc>
          <w:tcPr>
            <w:tcW w:type="dxa" w:w="5386"/>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r>
          </w:p>
        </w:tc>
      </w:tr>
      <w:tr>
        <w:trPr>
          <w:cantSplit/>
        </w:trPr>
        <w:tc>
          <w:tcPr>
            <w:tcW w:type="dxa" w:w="3685"/>
            <w:vAlign w:val="center"/>
            <w:shd w:fill="F5F8F9"/>
            <w:tcMar>
              <w:top w:w="65" w:type="dxa"/>
              <w:bottom w:w="65" w:type="dxa"/>
              <w:left w:w="85" w:type="dxa"/>
              <w:right w:w="85" w:type="dxa"/>
            </w:tcMar>
          </w:tcPr>
          <w:p>
            <w:pPr>
              <w:spacing w:line="264" w:lineRule="auto" w:after="20" w:before="20"/>
              <w:jc w:val="left"/>
            </w:pPr>
            <w:r>
              <w:rPr>
                <w:rFonts w:ascii="Inter" w:hAnsi="Inter"/>
                <w:b w:val="0"/>
                <w:color w:val="000000"/>
                <w:sz w:val="18"/>
              </w:rPr>
              <w:t>Blockierte Karte, Grund und vereinbarte Hilfe</w:t>
            </w:r>
          </w:p>
        </w:tc>
        <w:tc>
          <w:tcPr>
            <w:tcW w:type="dxa" w:w="5386"/>
            <w:vAlign w:val="center"/>
            <w:shd w:fill="F5F8F9"/>
            <w:tcMar>
              <w:top w:w="65" w:type="dxa"/>
              <w:bottom w:w="65" w:type="dxa"/>
              <w:left w:w="85" w:type="dxa"/>
              <w:right w:w="85" w:type="dxa"/>
            </w:tcMar>
          </w:tcPr>
          <w:p>
            <w:pPr>
              <w:spacing w:line="264" w:lineRule="auto" w:after="20" w:before="20"/>
              <w:jc w:val="left"/>
            </w:pPr>
            <w:r>
              <w:rPr>
                <w:rFonts w:ascii="Inter" w:hAnsi="Inter"/>
                <w:b w:val="0"/>
                <w:color w:val="000000"/>
                <w:sz w:val="18"/>
              </w:rPr>
            </w:r>
          </w:p>
        </w:tc>
      </w:tr>
      <w:tr>
        <w:trPr>
          <w:cantSplit/>
        </w:trPr>
        <w:tc>
          <w:tcPr>
            <w:tcW w:type="dxa" w:w="3685"/>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t>Feedback und daraus folgende Änderung</w:t>
            </w:r>
          </w:p>
        </w:tc>
        <w:tc>
          <w:tcPr>
            <w:tcW w:type="dxa" w:w="5386"/>
            <w:vAlign w:val="center"/>
            <w:shd w:fill="FFFFFF"/>
            <w:tcMar>
              <w:top w:w="65" w:type="dxa"/>
              <w:bottom w:w="65" w:type="dxa"/>
              <w:left w:w="85" w:type="dxa"/>
              <w:right w:w="85" w:type="dxa"/>
            </w:tcMar>
          </w:tcPr>
          <w:p>
            <w:pPr>
              <w:spacing w:line="264" w:lineRule="auto" w:after="20" w:before="20"/>
              <w:jc w:val="left"/>
            </w:pPr>
            <w:r>
              <w:rPr>
                <w:rFonts w:ascii="Inter" w:hAnsi="Inter"/>
                <w:b w:val="0"/>
                <w:color w:val="000000"/>
                <w:sz w:val="18"/>
              </w:rPr>
            </w:r>
          </w:p>
        </w:tc>
      </w:tr>
      <w:tr>
        <w:trPr>
          <w:cantSplit/>
        </w:trPr>
        <w:tc>
          <w:tcPr>
            <w:tcW w:type="dxa" w:w="3685"/>
            <w:vAlign w:val="center"/>
            <w:shd w:fill="F5F8F9"/>
            <w:tcMar>
              <w:top w:w="65" w:type="dxa"/>
              <w:bottom w:w="65" w:type="dxa"/>
              <w:left w:w="85" w:type="dxa"/>
              <w:right w:w="85" w:type="dxa"/>
            </w:tcMar>
          </w:tcPr>
          <w:p>
            <w:pPr>
              <w:spacing w:line="264" w:lineRule="auto" w:after="20" w:before="20"/>
              <w:jc w:val="left"/>
            </w:pPr>
            <w:r>
              <w:rPr>
                <w:rFonts w:ascii="Inter" w:hAnsi="Inter"/>
                <w:b w:val="0"/>
                <w:color w:val="000000"/>
                <w:sz w:val="18"/>
              </w:rPr>
              <w:t>Nächster Schritt und Termin</w:t>
            </w:r>
          </w:p>
        </w:tc>
        <w:tc>
          <w:tcPr>
            <w:tcW w:type="dxa" w:w="5386"/>
            <w:vAlign w:val="center"/>
            <w:shd w:fill="F5F8F9"/>
            <w:tcMar>
              <w:top w:w="65" w:type="dxa"/>
              <w:bottom w:w="65" w:type="dxa"/>
              <w:left w:w="85" w:type="dxa"/>
              <w:right w:w="85" w:type="dxa"/>
            </w:tcMar>
          </w:tcPr>
          <w:p>
            <w:pPr>
              <w:spacing w:line="264" w:lineRule="auto" w:after="20" w:before="20"/>
              <w:jc w:val="left"/>
            </w:pPr>
            <w:r>
              <w:rPr>
                <w:rFonts w:ascii="Inter" w:hAnsi="Inter"/>
                <w:b w:val="0"/>
                <w:color w:val="000000"/>
                <w:sz w:val="18"/>
              </w:rPr>
            </w:r>
          </w:p>
        </w:tc>
      </w:tr>
    </w:tbl>
    <w:p>
      <w:pPr>
        <w:spacing w:after="0" w:before="0" w:line="240" w:lineRule="auto"/>
      </w:pPr>
      <w:r>
        <w:rPr>
          <w:sz w:val="6"/>
        </w:rPr>
      </w:r>
    </w:p>
    <w:p>
      <w:pPr>
        <w:keepLines/>
      </w:pPr>
      <w:r>
        <w:t>Einträge erfolgen knapp und regelmäßig, mindestens wöchentlich; nach jedem Sprint werden Ergebnis und nächste Planung gesichert. Dateien und Versionen erhalten eindeutige Namen und Datumsangaben. Das Protokoll belegt Entscheidungen und Beiträge, nicht nur aufgewendete Zeit.</w:t>
      </w:r>
    </w:p>
    <w:p>
      <w:bookmarkStart w:id="25" w:name="feedback"/>
      <w:pPr>
        <w:pStyle w:val="Heading2"/>
        <w:spacing w:before="260" w:after="140"/>
        <w:keepLines/>
        <w:jc w:val="left"/>
      </w:pPr>
      <w:r>
        <w:t>Feedback Reflexion und Prüfung vor der Abgabe</w:t>
      </w:r>
      <w:bookmarkEnd w:id="25"/>
    </w:p>
    <w:p>
      <w:pPr>
        <w:pStyle w:val="Heading3"/>
        <w:spacing w:before="260" w:after="140"/>
        <w:keepLines/>
        <w:jc w:val="left"/>
      </w:pPr>
      <w:r>
        <w:t>Peer Feedback und Zielgruppentest</w:t>
      </w:r>
    </w:p>
    <w:p>
      <w:pPr>
        <w:pStyle w:val="ListBullet"/>
        <w:keepLines/>
      </w:pPr>
      <w:r>
        <w:t>Welcher wissenschaftliche Zusammenhang ist verständlich geworden? Eine konkrete Stelle nennen.</w:t>
      </w:r>
    </w:p>
    <w:p>
      <w:pPr>
        <w:pStyle w:val="ListBullet"/>
        <w:keepLines/>
      </w:pPr>
      <w:r>
        <w:t>Wo bleiben fachliche Fragen oder mögliche Fehlvorstellungen? Aussage und Belegstelle angeben.</w:t>
      </w:r>
    </w:p>
    <w:p>
      <w:pPr>
        <w:pStyle w:val="ListBullet"/>
        <w:keepLines/>
      </w:pPr>
      <w:r>
        <w:t>Welche Darstellung, Analogie oder Interaktion hilft? Welche lenkt ab oder verfälscht?</w:t>
      </w:r>
    </w:p>
    <w:p>
      <w:pPr>
        <w:pStyle w:val="ListBullet"/>
        <w:keepLines/>
      </w:pPr>
      <w:r>
        <w:t>Welche konkrete Änderung würde den größten Nutzen bringen? Fachliches und gestalterisches Feedback trennen.</w:t>
      </w:r>
    </w:p>
    <w:p>
      <w:pPr>
        <w:keepLines/>
      </w:pPr>
      <w:r>
        <w:t>Beim Test mit der Zielgruppe werden Beobachtung, wörtliche Rückmeldung und eigene Interpretation getrennt notiert. Kurze Verständnisfragen prüfen den angestrebten Lernertrag. Eine kleine Testgruppe liefert Hinweise zur Überarbeitung, aber keinen allgemeinen Wirksamkeitsnachweis.</w:t>
      </w:r>
    </w:p>
    <w:p>
      <w:pPr>
        <w:pStyle w:val="Heading3"/>
        <w:spacing w:before="260" w:after="140"/>
        <w:keepLines/>
        <w:jc w:val="left"/>
      </w:pPr>
      <w:r>
        <w:t>Individuelle Reflexion</w:t>
      </w:r>
    </w:p>
    <w:p>
      <w:pPr>
        <w:pStyle w:val="ListBullet"/>
        <w:keepLines/>
      </w:pPr>
      <w:r>
        <w:t>Welche fachliche Erkenntnis kann ich jetzt selbstständig erklären und womit belege ich sie?</w:t>
      </w:r>
    </w:p>
    <w:p>
      <w:pPr>
        <w:pStyle w:val="ListBullet"/>
        <w:keepLines/>
      </w:pPr>
      <w:r>
        <w:t>Welche Entscheidung habe ich getroffen, welche Alternative geprüft und warum umgeplant?</w:t>
      </w:r>
    </w:p>
    <w:p>
      <w:pPr>
        <w:pStyle w:val="ListBullet"/>
        <w:keepLines/>
      </w:pPr>
      <w:r>
        <w:t>Welche Rückmeldung habe ich übernommen oder begründet verworfen?</w:t>
      </w:r>
    </w:p>
    <w:p>
      <w:pPr>
        <w:pStyle w:val="ListBullet"/>
        <w:keepLines/>
      </w:pPr>
      <w:r>
        <w:t>Was war mein eigener Beitrag zum gemeinsamen Ergebnis?</w:t>
      </w:r>
    </w:p>
    <w:p>
      <w:pPr>
        <w:pStyle w:val="ListBullet"/>
        <w:keepLines/>
      </w:pPr>
      <w:r>
        <w:t>Welche Hilfen oder KI-Werkzeuge habe ich genutzt, wie habe ich deren Ergebnisse geprüft und was selbst verändert?</w:t>
      </w:r>
    </w:p>
    <w:p>
      <w:pPr>
        <w:pStyle w:val="ListBullet"/>
        <w:keepLines/>
      </w:pPr>
      <w:r>
        <w:t>Was würde ich bei einer neuen Fragestellung anders tun?</w:t>
      </w:r>
    </w:p>
    <w:p>
      <w:pPr>
        <w:pStyle w:val="Heading3"/>
        <w:spacing w:before="260" w:after="140"/>
        <w:keepLines/>
        <w:jc w:val="left"/>
      </w:pPr>
      <w:r>
        <w:t>KI und Mediennachweis</w:t>
      </w:r>
    </w:p>
    <w:p>
      <w:pPr>
        <w:keepLines/>
      </w:pPr>
      <w:r>
        <w:t>Werkzeug und Datum ____________________  Zweck ________________________________</w:t>
        <w:br/>
        <w:t>Relevante Eingabe oder Auftrag __________________________________________________</w:t>
        <w:br/>
        <w:t>Verwendete Ausgabe und eigene Änderung _________________________________________</w:t>
        <w:br/>
        <w:t>Prüfquelle und Ergebnis der Kontrolle ______________________________________________</w:t>
        <w:br/>
        <w:t>Kennzeichnung im Produkt _______________________________________________________</w:t>
      </w:r>
    </w:p>
    <w:p>
      <w:pPr>
        <w:pStyle w:val="Heading3"/>
        <w:spacing w:before="260" w:after="140"/>
        <w:keepLines/>
        <w:jc w:val="left"/>
      </w:pPr>
      <w:r>
        <w:t>Prüfung vor der Abgabe</w:t>
      </w:r>
    </w:p>
    <w:p>
      <w:pPr>
        <w:keepLines/>
      </w:pPr>
      <w:r>
        <w:t>Fachliche Aussagen und Quellen sind kontrolliert. Unsicherheiten und Modellgrenzen sind erkennbar. Sprache, Struktur, Bild und Ton passen zur Zielgruppe. Daten haben Bezugsgrößen und Einheiten. Links, Medien und Interaktionen funktionieren. Fremde und synthetische Anteile sind gekennzeichnet; Rechte sind geklärt. Eine sichere Abgabe- oder Ersatzfassung liegt vor. Individuelle Beiträge und die erforderlichen Prozessnachweise sind nachvollziehbar dokumentiert.</w:t>
      </w:r>
    </w:p>
    <w:p>
      <w:bookmarkStart w:id="26" w:name="qualitaet"/>
      <w:pPr>
        <w:pStyle w:val="Heading1"/>
        <w:spacing w:before="160" w:after="80"/>
        <w:keepLines/>
        <w:jc w:val="left"/>
      </w:pPr>
      <w:r>
        <w:t>13 Qualitätssicherung und Ressourcen</w:t>
      </w:r>
      <w:bookmarkEnd w:id="26"/>
    </w:p>
    <w:p>
      <w:pPr>
        <w:keepLines/>
        <w:spacing w:after="80"/>
      </w:pPr>
      <w:r>
        <w:t>Die Kursleitung stimmt fachliche Anforderungen bei Bedarf mit den Fachschaften Physik, Chemie und Biologie ab. Die schulische Oberstufenkoordination begleitet Laufbahn- und Prüfungsfragen. Für Aufnahme, Schnitt und Präsentation werden verfügbare schulische Geräte oder ein einfaches mobiles Setup genutzt; eine besondere Studioausstattung wird nicht vorausgesetzt. Externe Fachleute können geeignete Projekte bereichern, sind aber keine Voraussetzung für deren Gelingen.</w:t>
      </w:r>
    </w:p>
    <w:p>
      <w:pPr>
        <w:pStyle w:val="Heading3"/>
        <w:spacing w:before="160" w:after="80"/>
        <w:keepLines/>
        <w:jc w:val="left"/>
      </w:pPr>
      <w:r>
        <w:t>Evaluation des Kurses</w:t>
      </w:r>
    </w:p>
    <w:p>
      <w:pPr>
        <w:keepLines/>
        <w:spacing w:after="80"/>
      </w:pPr>
      <w:r>
        <w:t>Nach jedem Halbjahr werden Produktqualität, fachliche Lernentwicklung, Zielgruppenrückmeldungen und die Passung der Zeitplanung ausgewertet. Die Kursleitung prüft insbesondere, ob alle Kompetenzen bearbeitet wurden, individuelle Leistungen nachvollziehbar sind und die gewählten Medien eine vertiefte fachliche Auseinandersetzung ermöglichen. Erfahrungen fließen in Aufgaben, Hilfen und Zeitansätze des folgenden Durchgangs ein.</w:t>
      </w:r>
    </w:p>
    <w:p>
      <w:pPr>
        <w:pStyle w:val="Heading3"/>
        <w:spacing w:before="160" w:after="80"/>
        <w:keepLines/>
        <w:jc w:val="left"/>
      </w:pPr>
      <w:r>
        <w:t>Digitale Materialien</w:t>
      </w:r>
    </w:p>
    <w:p>
      <w:pPr>
        <w:keepLines/>
        <w:spacing w:after="80"/>
      </w:pPr>
      <w:r>
        <w:t>Digitale Lernanwendungen können als Gegenstand einer Qualitätsanalyse, als Modellbeispiel oder als fachliche Unterstützung dienen. Die Lernenden prüfen auch bei vorhandenen Apps fachliche Grenzen, Quellen und die Eignung für eine bestimmte Zielgruppe. Die Chemieauswahl ergänzt den Projektkurs um passende Modelle und Übungsmöglichkeiten.</w:t>
      </w:r>
    </w:p>
    <w:p>
      <w:pPr>
        <w:jc w:val="left"/>
        <w:keepLines/>
        <w:spacing w:after="80"/>
      </w:pPr>
      <w:hyperlink r:id="rId12">
        <w:r>
          <w:rPr>
            <w:color w:val="17594E"/>
          </w:rPr>
          <w:t>Chemie LearningApps und fachbezogene Materialien</w:t>
        </w:r>
      </w:hyperlink>
    </w:p>
    <w:p>
      <w:pPr>
        <w:jc w:val="left"/>
        <w:keepLines/>
        <w:spacing w:after="80"/>
      </w:pPr>
      <w:hyperlink r:id="rId13">
        <w:r>
          <w:rPr>
            <w:color w:val="17594E"/>
          </w:rPr>
          <w:t>Schulinterner Lehrplan Chemie</w:t>
        </w:r>
      </w:hyperlink>
    </w:p>
    <w:p>
      <w:pPr>
        <w:pStyle w:val="Heading3"/>
        <w:spacing w:before="160" w:after="80"/>
        <w:keepLines/>
        <w:jc w:val="left"/>
      </w:pPr>
      <w:r>
        <w:t>Grundlagen des Curriculums</w:t>
      </w:r>
    </w:p>
    <w:p>
      <w:pPr>
        <w:keepLines/>
        <w:spacing w:after="80"/>
      </w:pPr>
      <w:r>
        <w:t>Die schulischen Materialien von Claus Unterberg bilden die fachliche und methodische Grundlage: Wissenschaft verständlich machen - Ein Leitfaden für den Projektkurs Wissenschaftskommunikation; Von der Wissensvermittlung zur Lernbegleitung - Methodenübersicht für Projektkurse; Übersicht zur Projektkursidee Wissenschaftskommunikation; Kursbeschreibung Projektkurs Wissenschaftskommunikation. Die Themen, Methoden und Dokumentationsformen werden in diesem Curriculum zu einem durchgehenden Kursaufbau verbunden.</w:t>
      </w:r>
    </w:p>
    <w:p>
      <w:pPr>
        <w:keepLines/>
        <w:spacing w:after="80"/>
      </w:pPr>
      <w:r>
        <w:t>Rechtlicher und redaktioneller Stand: 27. September 2026. Vor jedem neuen Durchgang werden die für den Jahrgang geltenden Vorgaben, amtlichen Formulare und der Abiturkalender geprüft.</w:t>
      </w:r>
    </w:p>
    <w:p>
      <w:bookmarkStart w:id="27" w:name="quellen"/>
      <w:pPr>
        <w:pStyle w:val="Heading2"/>
        <w:spacing w:before="160" w:after="80"/>
        <w:keepLines/>
        <w:jc w:val="left"/>
        <w:pageBreakBefore/>
      </w:pPr>
      <w:r>
        <w:t>Rechtsgrundlagen und konzeptionelle Bezüge</w:t>
      </w:r>
      <w:bookmarkEnd w:id="27"/>
    </w:p>
    <w:p>
      <w:pPr>
        <w:keepLines/>
        <w:spacing w:after="80"/>
      </w:pPr>
      <w:r>
        <w:t>[1] Ministerium für Schule und Bildung NRW: Ausbildungs- und Prüfungsordnung für die gymnasiale Oberstufe und das Abitur vom 16. Juli 2026 mit Verwaltungsvorschriften. Maßgeblich insbesondere §§ 6, 11 bis 17, 35 und 36 sowie VV 14.3.4 und 35. Geltung erstmals für den EF-Jahrgang 2027/28.</w:t>
      </w:r>
    </w:p>
    <w:p>
      <w:pPr>
        <w:jc w:val="left"/>
        <w:keepLines/>
        <w:spacing w:after="80"/>
      </w:pPr>
      <w:hyperlink r:id="rId14">
        <w:r>
          <w:rPr>
            <w:color w:val="17594E"/>
          </w:rPr>
          <w:t>APO GOSt 2027 und Verwaltungsvorschriften</w:t>
        </w:r>
      </w:hyperlink>
    </w:p>
    <w:p>
      <w:pPr>
        <w:keepLines/>
        <w:spacing w:after="80"/>
      </w:pPr>
      <w:r>
        <w:t>[2] Ministerium für Schule und Bildung NRW: Bisherige APO-GOSt mit Verwaltungsvorschriften. Für die früher eingetretenen Jahrgänge insbesondere § 11 Absatz 8 und § 14 Absatz 7 zur Organisation und Jahresbewertung der Projektkurse.</w:t>
      </w:r>
    </w:p>
    <w:p>
      <w:pPr>
        <w:jc w:val="left"/>
        <w:keepLines/>
        <w:spacing w:after="80"/>
      </w:pPr>
      <w:hyperlink r:id="rId15">
        <w:r>
          <w:rPr>
            <w:color w:val="17594E"/>
          </w:rPr>
          <w:t>Bisherige APO GOSt</w:t>
        </w:r>
      </w:hyperlink>
    </w:p>
    <w:p>
      <w:pPr>
        <w:keepLines/>
        <w:spacing w:after="80"/>
      </w:pPr>
      <w:r>
        <w:t>[3] Die jeweils für den Jahrgang geltenden Kernlehrpläne der Referenzfächer Physik, Chemie und Biologie und die zugehörigen schulinternen Lehrpläne bilden den fachlichen Bezugsrahmen. Im Projektantrag werden die berührten Fachinhalte und Kompetenzen konkret benannt. Der Projektkurs ersetzt nicht den regulären Fachunterricht oder dessen vollständige curriculare Abdeckung.</w:t>
      </w:r>
    </w:p>
    <w:p>
      <w:pPr>
        <w:keepLines/>
        <w:spacing w:after="80"/>
      </w:pPr>
      <w:r>
        <w:t>[4] Claus Unterberg: Die vier schulischen Ausgangsmaterialien zum Projektkurs, zum Kursprofil und zur Methodenwahl; Arbeitsfassung der vorliegenden Materialien. Die Kompetenzkennungen F, E, K, M und R sowie die Modulzuordnungen bezeichnen die Ausgestaltung dieses Curriculums.</w:t>
      </w:r>
    </w:p>
    <w:p>
      <w:pPr>
        <w:keepLines/>
        <w:spacing w:after="80"/>
      </w:pPr>
      <w:r>
        <w:t>[5] Battelle for Kids: Framework for 21st Century Learning. Die vier K werden als fachbezogene Lern- und Innovationskompetenzen aufgegriffen.</w:t>
      </w:r>
    </w:p>
    <w:p>
      <w:pPr>
        <w:jc w:val="left"/>
        <w:keepLines/>
        <w:spacing w:after="80"/>
      </w:pPr>
      <w:hyperlink r:id="rId16">
        <w:r>
          <w:rPr>
            <w:color w:val="17594E"/>
          </w:rPr>
          <w:t>P21 Framework</w:t>
        </w:r>
      </w:hyperlink>
    </w:p>
    <w:p>
      <w:pPr>
        <w:keepLines/>
        <w:spacing w:after="80"/>
      </w:pPr>
      <w:r>
        <w:t>[6] Deeper Learning wird im Anschluss an die vorliegenden Kursmaterialien als Verbindung von vertieftem Fachwissen, Transfer, Kommunikation, Kooperation und Selbststeuerung verstanden. Es dient der Begründung des Kursaufbaus; aus dem Begriff wird keine automatische Wirksamkeit einer bestimmten Unterrichtsmethode abgeleitet.</w:t>
      </w:r>
    </w:p>
    <w:p>
      <w:pPr>
        <w:pStyle w:val="Heading3"/>
        <w:spacing w:before="160" w:after="80"/>
        <w:keepLines/>
        <w:jc w:val="left"/>
      </w:pPr>
      <w:r>
        <w:t>Onlinefassung</w:t>
      </w:r>
    </w:p>
    <w:p>
      <w:pPr>
        <w:jc w:val="left"/>
        <w:keepLines/>
        <w:spacing w:after="80"/>
      </w:pPr>
      <w:hyperlink r:id="rId11">
        <w:r>
          <w:rPr>
            <w:color w:val="17594E"/>
          </w:rPr>
          <w:t>Curriculum Projektkurs Wissenschaftskommunikation</w:t>
        </w:r>
      </w:hyperlink>
    </w:p>
    <w:sectPr w:rsidR="00FC693F" w:rsidRPr="0006063C" w:rsidSect="00034616">
      <w:headerReference w:type="default" r:id="rId9"/>
      <w:footerReference w:type="default" r:id="rId10"/>
      <w:pgSz w:w="11906" w:h="16838"/>
      <w:pgMar w:top="1417" w:right="1417" w:bottom="1531" w:left="1417" w:header="709" w:footer="73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Inter">
    <w:family w:val="swiss"/>
    <w:pitch w:val="variable"/>
    <w:embedRegular r:id="rIdEmbed1" w:fontKey="{4BF39587-A3F7-4B1B-B893-ED4B9FED9314}" w:subsetted="0"/>
    <w:embedBold r:id="rIdEmbed1" w:fontKey="{4BF39587-A3F7-4B1B-B893-ED4B9FED9314}" w:subsetted="0"/>
    <w:embedItalic r:id="rIdEmbed2" w:fontKey="{105A3437-BDC2-4461-8498-95A1DF32818C}" w:subsetted="0"/>
    <w:embedBoldItalic r:id="rIdEmbed2" w:fontKey="{105A3437-BDC2-4461-8498-95A1DF32818C}" w:subsetted="0"/>
  </w:font>
  <w:font w:name="Poppins">
    <w:family w:val="swiss"/>
    <w:pitch w:val="variable"/>
    <w:embedRegular r:id="rIdEmbed3" w:fontKey="{0CD068BD-9D70-45FD-A25D-75ED04CCFF8A}" w:subsetted="0"/>
    <w:embedBold r:id="rIdEmbed4" w:fontKey="{D04A4AF0-4E12-43B1-A01B-D7611A66292A}" w:subsetted="0"/>
    <w:embedItalic r:id="rIdEmbed5" w:fontKey="{4DF1F3DA-1BD4-421C-818A-7E6FE57A3D3F}" w:subsetted="0"/>
    <w:embedBoldItalic r:id="rIdEmbed6" w:fontKey="{84312FF1-D42A-48C9-9255-3A6EA0113C6A}"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Stand 27.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THOMAEUM KEMPEN  |  PROJEKTKURS WISSENSCHAFTSKOMMUNIKATION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embedTrueTypeFonts w:val="1"/>
  <w:saveSubsetFonts w:val="0"/>
  <w:doNotEmbedSystemFonts w:val="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doNotExpandShiftReturn/>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40"/>
      <w:jc w:val="both"/>
    </w:pPr>
    <w:rPr>
      <w:rFonts w:ascii="Inter" w:hAnsi="Inter"/>
      <w:color w:val="000000"/>
      <w:sz w:val="21"/>
      <w:lang w:val="de-DE"/>
    </w:rPr>
  </w:style>
  <w:style w:type="paragraph" w:styleId="Header">
    <w:name w:val="header"/>
    <w:basedOn w:val="Normal"/>
    <w:link w:val="HeaderChar"/>
    <w:uiPriority w:val="99"/>
    <w:unhideWhenUsed/>
    <w:rsid w:val="00E618BF"/>
    <w:pPr>
      <w:widowControl/>
      <w:tabs>
        <w:tab w:val="center" w:pos="4680"/>
        <w:tab w:val="right" w:pos="9360"/>
      </w:tabs>
      <w:spacing w:after="140" w:line="276" w:lineRule="auto"/>
    </w:pPr>
    <w:rPr>
      <w:rFonts w:ascii="Inter" w:hAnsi="Inter"/>
      <w:color w:val="000000"/>
      <w:sz w:val="16"/>
      <w:lang w:val="de-DE"/>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76" w:lineRule="auto"/>
    </w:pPr>
    <w:rPr>
      <w:rFonts w:ascii="Inter" w:hAnsi="Inter"/>
      <w:color w:val="000000"/>
      <w:sz w:val="16"/>
      <w:lang w:val="de-DE"/>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280" w:line="276" w:lineRule="auto"/>
      <w:outlineLvl w:val="0"/>
    </w:pPr>
    <w:rPr>
      <w:rFonts w:ascii="Poppins" w:hAnsi="Poppins" w:eastAsia="Poppins" w:cs="Poppins"/>
      <w:b/>
      <w:bCs/>
      <w:color w:val="000000"/>
      <w:sz w:val="38"/>
      <w:szCs w:val="28"/>
      <w:lang w:val="de-DE"/>
    </w:rPr>
  </w:style>
  <w:style w:type="paragraph" w:styleId="Heading2">
    <w:name w:val="heading 2"/>
    <w:basedOn w:val="Normal"/>
    <w:next w:val="Normal"/>
    <w:link w:val="Heading2Char"/>
    <w:uiPriority w:val="9"/>
    <w:unhideWhenUsed/>
    <w:qFormat/>
    <w:rsid w:val="00FC693F"/>
    <w:pPr>
      <w:keepNext/>
      <w:keepLines/>
      <w:widowControl/>
      <w:spacing w:before="0" w:after="280" w:line="276" w:lineRule="auto"/>
      <w:outlineLvl w:val="1"/>
    </w:pPr>
    <w:rPr>
      <w:rFonts w:ascii="Poppins" w:hAnsi="Poppins" w:eastAsia="Poppins" w:cs="Poppins"/>
      <w:b/>
      <w:bCs/>
      <w:color w:val="000000"/>
      <w:sz w:val="32"/>
      <w:szCs w:val="26"/>
      <w:lang w:val="de-DE"/>
    </w:rPr>
  </w:style>
  <w:style w:type="paragraph" w:styleId="Heading3">
    <w:name w:val="heading 3"/>
    <w:basedOn w:val="Normal"/>
    <w:next w:val="Normal"/>
    <w:link w:val="Heading3Char"/>
    <w:uiPriority w:val="9"/>
    <w:unhideWhenUsed/>
    <w:qFormat/>
    <w:rsid w:val="00FC693F"/>
    <w:pPr>
      <w:keepNext/>
      <w:keepLines/>
      <w:widowControl/>
      <w:spacing w:before="240" w:after="160" w:line="276" w:lineRule="auto"/>
      <w:outlineLvl w:val="2"/>
    </w:pPr>
    <w:rPr>
      <w:rFonts w:ascii="Poppins" w:hAnsi="Poppins" w:eastAsia="Poppins" w:cs="Poppins"/>
      <w:b/>
      <w:bCs/>
      <w:color w:val="000000"/>
      <w:sz w:val="23"/>
      <w:lang w:val="de-D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76" w:lineRule="auto"/>
      <w:contextualSpacing/>
    </w:pPr>
    <w:rPr>
      <w:b w:val="1"/>
      <w:rFonts w:ascii="Poppins" w:hAnsi="Poppins" w:eastAsia="Poppins" w:cs="Poppins"/>
      <w:color w:val="000000"/>
      <w:spacing w:val="5"/>
      <w:kern w:val="28"/>
      <w:sz w:val="60"/>
      <w:szCs w:val="52"/>
      <w:lang w:val="de-D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line="276" w:lineRule="auto" w:after="140"/>
    </w:pPr>
    <w:rPr>
      <w:rFonts w:asciiTheme="majorHAnsi" w:eastAsiaTheme="majorEastAsia" w:hAnsiTheme="majorHAnsi" w:cstheme="majorBidi" w:ascii="Inter" w:hAnsi="Inter"/>
      <w:i/>
      <w:iCs/>
      <w:color w:val="000000"/>
      <w:spacing w:val="15"/>
      <w:sz w:val="30"/>
      <w:szCs w:val="24"/>
      <w:lang w:val="de-D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line="276" w:lineRule="auto" w:after="140"/>
      <w:contextualSpacing/>
    </w:pPr>
    <w:rPr>
      <w:rFonts w:ascii="Inter" w:hAnsi="Inter"/>
      <w:color w:val="000000"/>
      <w:sz w:val="21"/>
      <w:lang w:val="de-DE"/>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enaiedu.github.io/LearningApps2/projektkurs-wissenschaftskommunikation.html" TargetMode="External"/><Relationship Id="rId12" Type="http://schemas.openxmlformats.org/officeDocument/2006/relationships/hyperlink" Target="https://genaiedu.github.io/LearningApps2/chemie-apps.html" TargetMode="External"/><Relationship Id="rId13" Type="http://schemas.openxmlformats.org/officeDocument/2006/relationships/hyperlink" Target="https://genaiedu.github.io/LearningApps2/chemie-curriculum.html" TargetMode="External"/><Relationship Id="rId14" Type="http://schemas.openxmlformats.org/officeDocument/2006/relationships/hyperlink" Target="https://bass.schule.nrw/20319.htm" TargetMode="External"/><Relationship Id="rId15" Type="http://schemas.openxmlformats.org/officeDocument/2006/relationships/hyperlink" Target="https://bass.schule.nrw/9607.htm" TargetMode="External"/><Relationship Id="rId16" Type="http://schemas.openxmlformats.org/officeDocument/2006/relationships/hyperlink" Target="https://www.battelleforkids.org/wp-content/uploads/2023/11/P21_Framework_Brief.pdf" TargetMode="External"/><Relationship Id="rId17" Type="http://schemas.openxmlformats.org/officeDocument/2006/relationships/hyperlink" Target="https://genaiedu.github.io/LearningApps2/projektkurs-wissenschaftskommunikation.html" TargetMode="External"/><Relationship Id="rIdAudit17" Type="http://schemas.openxmlformats.org/officeDocument/2006/relationships/hyperlink" Target="https://bass.schule.nrw/anlagen/20319-23.pdf" TargetMode="External"/><Relationship Id="rIdAudit18" Type="http://schemas.openxmlformats.org/officeDocument/2006/relationships/hyperlink" Target="https://bass.schule.nrw/anlagen/20319-24.pdf" TargetMode="External"/><Relationship Id="rIdCalendar19" Type="http://schemas.openxmlformats.org/officeDocument/2006/relationships/hyperlink" Target="https://genaiedu.github.io/LearningApps2/projektkurs-kalender-2027.html" TargetMode="External"/><Relationship Id="rIdCalendar20" Type="http://schemas.openxmlformats.org/officeDocument/2006/relationships/hyperlink" Target="https://genaiedu.github.io/LearningApps2/downloads/Projektkurs_Kurskalender_2027_2028.pdf?v=20260927-kalender" TargetMode="External"/><Relationship Id="rIdCalendar21" Type="http://schemas.openxmlformats.org/officeDocument/2006/relationships/hyperlink" Target="https://bass.schule.nrw/191.htm" TargetMode="External"/><Relationship Id="rIdCalendar22" Type="http://schemas.openxmlformats.org/officeDocument/2006/relationships/hyperlink" Target="https://bass.schule.nrw/9607.htm" TargetMode="External"/><Relationship Id="rIdKanban23" Type="http://schemas.openxmlformats.org/officeDocument/2006/relationships/hyperlink" Target="https://genaiedu.github.io/LearningApps/kanban-projektwerkstatt.html" TargetMode="External"/><Relationship Id="rIdKanban24" Type="http://schemas.openxmlformats.org/officeDocument/2006/relationships/hyperlink" Target="https://genaiedu.github.io/LearningApps/kanban-board.html" TargetMode="External"/><Relationship Id="rIdKanban25" Type="http://schemas.openxmlformats.org/officeDocument/2006/relationships/hyperlink" Target="https://genaiedu.github.io/LearningApps/kanban-lehrer.html" TargetMode="External"/><Relationship Id="rIdCourseLinks0" Type="http://schemas.openxmlformats.org/officeDocument/2006/relationships/hyperlink" Target="https://genaiedu.github.io/LearningApps2/projektkurs-kalender-2027.html" TargetMode="External"/><Relationship Id="rIdCourseLinks1" Type="http://schemas.openxmlformats.org/officeDocument/2006/relationships/hyperlink" Target="https://genaiedu.github.io/LearningApps/kanban-projektwerkstatt.html" TargetMode="External"/><Relationship Id="rIdCourseLinks2" Type="http://schemas.openxmlformats.org/officeDocument/2006/relationships/hyperlink" Target="https://genaiedu.github.io/LearningApps/kanban-board.html" TargetMode="External"/><Relationship Id="rIdCourseLinks3" Type="http://schemas.openxmlformats.org/officeDocument/2006/relationships/hyperlink" Target="https://genaiedu.github.io/LearningApps/kanban-lehrer.html" TargetMode="External"/></Relationships>
</file>

<file path=word/_rels/fontTable.xml.rels><?xml version='1.0' encoding='UTF-8' standalone='yes'?>
<Relationships xmlns="http://schemas.openxmlformats.org/package/2006/relationships"><Relationship Id="rIdEmbed1" Type="http://schemas.openxmlformats.org/officeDocument/2006/relationships/font" Target="fonts/font1.odttf"/><Relationship Id="rIdEmbed2" Type="http://schemas.openxmlformats.org/officeDocument/2006/relationships/font" Target="fonts/font2.odttf"/><Relationship Id="rIdEmbed3" Type="http://schemas.openxmlformats.org/officeDocument/2006/relationships/font" Target="fonts/font3.odttf"/><Relationship Id="rIdEmbed4" Type="http://schemas.openxmlformats.org/officeDocument/2006/relationships/font" Target="fonts/font4.odttf"/><Relationship Id="rIdEmbed5" Type="http://schemas.openxmlformats.org/officeDocument/2006/relationships/font" Target="fonts/font5.odttf"/><Relationship Id="rIdEmbed6" Type="http://schemas.openxmlformats.org/officeDocument/2006/relationships/font" Target="fonts/font6.odttf"/></Relationships>
</file>

<file path=word/fonts/Inter-OFL.txt>Copyright 2020 The Inter Project Authors (https://github.com/rsms/inter)

This Font Software is licensed under the SIL Open Font License, Version 1.1.
This license is copied below, and is also available with a FAQ at:
https://scripts.sil.org/OFL


-----------------------------------------------------------
SIL OPEN FONT LICENSE Version 1.1 - 26 February 2007
-----------------------------------------------------------

PREAMBLE
The goals of the Open Font License (OFL) are to stimulate worldwide
development of collaborative font projects, to support the font creation
efforts of academic and linguistic communities, and to provide a free and
open framework in which fonts may be shared and improved in partnership
with others.

The OFL allows the licensed fonts to be used, studied, modified and
redistributed freely as long as they are not sold by themselves. The
fonts, including any derivative works, can be bundled, embedded, 
redistributed and/or sold with any software provided that any reserved
names are not used by derivative works. The fonts and derivatives,
however, cannot be released under any other type of license. The
requirement for fonts to remain under this license does not apply
to any document created using the fonts or their derivatives.

DEFINITIONS
"Font Software" refers to the set of files released by the Copyright
Holder(s) under this license and clearly marked as such. This may
include source files, build scripts and documentation.

"Reserved Font Name" refers to any names specified as such after the
copyright statement(s).

"Original Version" refers to the collection of Font Software components as
distributed by the Copyright Holder(s).

"Modified Version" refers to any derivative made by adding to, deleting,
or substituting -- in part or in whole -- any of the components of the
Original Version, by changing formats or by porting the Font Software to a
new environment.

"Author" refers to any designer, engineer, programmer, technical
writer or other person who contributed to the Font Software.

PERMISSION & CONDITIONS
Permission is hereby granted, free of charge, to any person obtaining
a copy of the Font Software, to use, study, copy, merge, embed, modify,
redistribute, and sell modified and unmodified copies of the Font
Software, subject to the following conditions:

1) Neither the Font Software nor any of its individual components,
in Original or Modified Versions, may be sold by itself.

2) Original or Modified Versions of the Font Software may be bundled,
redistributed and/or sold with any software, provided that each copy
contains the above copyright notice and this license. These can be
included either as stand-alone text files, human-readable headers or
in the appropriate machine-readable metadata fields within text or
binary files as long as those fields can be easily viewed by the user.

3) No Modified Version of the Font Software may use the Reserved Font
Name(s) unless explicit written permission is granted by the corresponding
Copyright Holder. This restriction only applies to the primary font name as
presented to the users.

4) The name(s) of the Copyright Holder(s) or the Author(s) of the Font
Software shall not be used to promote, endorse or advertise any
Modified Version, except to acknowledge the contribution(s) of the
Copyright Holder(s) and the Author(s) or with their explicit written
permission.

5) The Font Software, modified or unmodified, in part or in whole,
must be distributed entirely under this license, and must not be
distributed under any other license. The requirement for fonts to
remain under this license does not apply to any document created
using the Font Software.

TERMINATION
This license becomes null and void if any of the above conditions are
not met.

DISCLAIMER
THE FONT SOFTWARE IS PROVIDED "AS IS", WITHOUT WARRANTY OF ANY KIND,
EXPRESS OR IMPLIED, INCLUDING BUT NOT LIMITED TO ANY WARRANTIES OF
MERCHANTABILITY, FITNESS FOR A PARTICULAR PURPOSE AND NONINFRINGEMENT
OF COPYRIGHT, PATENT, TRADEMARK, OR OTHER RIGHT. IN NO EVENT SHALL THE
COPYRIGHT HOLDER BE LIABLE FOR ANY CLAIM, DAMAGES OR OTHER LIABILITY,
INCLUDING ANY GENERAL, SPECIAL, INDIRECT, INCIDENTAL, OR CONSEQUENTIAL
DAMAGES, WHETHER IN AN ACTION OF CONTRACT, TORT OR OTHERWISE, ARISING
FROM, OUT OF THE USE OR INABILITY TO USE THE FONT SOFTWARE OR FROM
OTHER DEALINGS IN THE FONT SOFTWARE.

</file>

<file path=word/fonts/Poppins-OFL.txt>Copyright 2020 The Poppins Project Authors (https://github.com/itfoundry/Poppins)

This Font Software is licensed under the SIL Open Font License, Version 1.1.
This license is copied below, and is also available with a FAQ at:
http://scripts.sil.org/OFL


-----------------------------------------------------------
SIL OPEN FONT LICENSE Version 1.1 - 26 February 2007
-----------------------------------------------------------

PREAMBLE
The goals of the Open Font License (OFL) are to stimulate worldwide
development of collaborative font projects, to support the font creation
efforts of academic and linguistic communities, and to provide a free and
open framework in which fonts may be shared and improved in partnership
with others.

The OFL allows the licensed fonts to be used, studied, modified and
redistributed freely as long as they are not sold by themselves. The
fonts, including any derivative works, can be bundled, embedded, 
redistributed and/or sold with any software provided that any reserved
names are not used by derivative works. The fonts and derivatives,
however, cannot be released under any other type of license. The
requirement for fonts to remain under this license does not apply
to any document created using the fonts or their derivatives.

DEFINITIONS
"Font Software" refers to the set of files released by the Copyright
Holder(s) under this license and clearly marked as such. This may
include source files, build scripts and documentation.

"Reserved Font Name" refers to any names specified as such after the
copyright statement(s).

"Original Version" refers to the collection of Font Software components as
distributed by the Copyright Holder(s).

"Modified Version" refers to any derivative made by adding to, deleting,
or substituting -- in part or in whole -- any of the components of the
Original Version, by changing formats or by porting the Font Software to a
new environment.

"Author" refers to any designer, engineer, programmer, technical
writer or other person who contributed to the Font Software.

PERMISSION & CONDITIONS
Permission is hereby granted, free of charge, to any person obtaining
a copy of the Font Software, to use, study, copy, merge, embed, modify,
redistribute, and sell modified and unmodified copies of the Font
Software, subject to the following conditions:

1) Neither the Font Software nor any of its individual components,
in Original or Modified Versions, may be sold by itself.

2) Original or Modified Versions of the Font Software may be bundled,
redistributed and/or sold with any software, provided that each copy
contains the above copyright notice and this license. These can be
included either as stand-alone text files, human-readable headers or
in the appropriate machine-readable metadata fields within text or
binary files as long as those fields can be easily viewed by the user.

3) No Modified Version of the Font Software may use the Reserved Font
Name(s) unless explicit written permission is granted by the corresponding
Copyright Holder. This restriction only applies to the primary font name as
presented to the users.

4) The name(s) of the Copyright Holder(s) or the Author(s) of the Font
Software shall not be used to promote, endorse or advertise any
Modified Version, except to acknowledge the contribution(s) of the
Copyright Holder(s) and the Author(s) or with their explicit written
permission.

5) The Font Software, modified or unmodified, in part or in whole,
must be distributed entirely under this license, and must not be
distributed under any other license. The requirement for fonts to
remain under this license does not apply to any document created
using the Font Software.

TERMINATION
This license becomes null and void if any of the above conditions are
not met.

DISCLAIMER
THE FONT SOFTWARE IS PROVIDED "AS IS", WITHOUT WARRANTY OF ANY KIND,
EXPRESS OR IMPLIED, INCLUDING BUT NOT LIMITED TO ANY WARRANTIES OF
MERCHANTABILITY, FITNESS FOR A PARTICULAR PURPOSE AND NONINFRINGEMENT
OF COPYRIGHT, PATENT, TRADEMARK, OR OTHER RIGHT. IN NO EVENT SHALL THE
COPYRIGHT HOLDER BE LIABLE FOR ANY CLAIM, DAMAGES OR OTHER LIABILITY,
INCLUDING ANY GENERAL, SPECIAL, INDIRECT, INCIDENTAL, OR CONSEQUENTIAL
DAMAGES, WHETHER IN AN ACTION OF CONTRACT, TORT OR OTHERWISE, ARISING
FROM, OUT OF THE USE OR INABILITY TO USE THE FONT SOFTWARE OR FROM
OTHER DEALINGS IN THE FONT SOFTWARE.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Poppins"/>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Inter"/>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Projektkurs Wissenschaftskommunikation</dc:title>
  <dc:subject>Gymnasium Thomaeum Kempen</dc:subject>
  <dc:creator>Dr. Claus Unterberg</dc:creator>
  <cp:keywords/>
  <dc:description>generated by python-docx</dc:description>
  <cp:lastModifiedBy/>
  <cp:revision>1</cp:revision>
  <dcterms:created xsi:type="dcterms:W3CDTF">2013-12-23T23:15:00Z</dcterms:created>
  <dcterms:modified xsi:type="dcterms:W3CDTF">2013-12-23T23:15:00Z</dcterms:modified>
  <cp:category/>
</cp:coreProperties>
</file>