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Compact"/>
        <w:spacing w:before="280"/>
      </w:pPr>
      <w:r>
        <w:rPr>
          <w:b/>
        </w:rPr>
        <w:t>Onlinefassung des Curriculums</w:t>
        <w:br/>
      </w:r>
      <w:hyperlink r:id="rId46">
        <w:r>
          <w:rPr>
            <w:color w:val="245F73"/>
            <w:u w:val="single"/>
          </w:rPr>
          <w:t>https://genaiedu.github.io/LearningApps2/chemie-curriculum.html</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gkl">
        <w:r>
          <w:rPr>
            <w:color w:val="174D72"/>
          </w:rPr>
          <w:t>13 Gleichwertige komplexe Leistungsnachweise: Aufgaben und Bewertungsraster</w:t>
        </w:r>
      </w:hyperlink>
      <w:r>
        <w:tab/>
      </w:r>
      <w:fldSimple w:instr="PAGEREF gkl \h"/>
    </w:p>
    <w:p>
      <w:pPr>
        <w:keepNext/>
        <w:tabs>
          <w:tab w:pos="9074" w:val="right" w:leader="dot"/>
        </w:tabs>
        <w:suppressAutoHyphens w:val="1"/>
      </w:pPr>
      <w:r/>
      <w:hyperlink w:anchor="fuenftes">
        <w:r>
          <w:rPr>
            <w:color w:val="174D72"/>
          </w:rPr>
          <w:t>14 Vorbereitung auf das fünfte Abiturfach</w:t>
        </w:r>
      </w:hyperlink>
      <w:r>
        <w:tab/>
      </w:r>
      <w:fldSimple w:instr="PAGEREF fuenftes \h"/>
    </w:p>
    <w:p>
      <w:pPr>
        <w:keepNext/>
        <w:tabs>
          <w:tab w:pos="9074" w:val="right" w:leader="dot"/>
        </w:tabs>
        <w:suppressAutoHyphens w:val="1"/>
      </w:pPr>
      <w:r/>
      <w:hyperlink w:anchor="ki">
        <w:r>
          <w:rPr>
            <w:color w:val="174D72"/>
          </w:rPr>
          <w:t>15 Mit KI lernen und Ergebnisse verantwortlich prüfen</w:t>
        </w:r>
      </w:hyperlink>
      <w:r>
        <w:tab/>
      </w:r>
      <w:fldSimple w:instr="PAGEREF ki \h"/>
    </w:p>
    <w:p>
      <w:pPr>
        <w:pStyle w:val="Compact"/>
        <w:suppressAutoHyphens w:val="1"/>
      </w:pPr>
      <w:r>
        <w:t>Die Kapitel und Unterrichtsvorhaben sind über die Word-Navigation erreichbar. Das Kompetenzregister nennt für jede konkretisierte Erwartung die zugehörigen Vorhaben; deren vollständiger Wortlaut steht unmittelbar in den jeweiligen Planungen. Übergeordnete Kompetenzen sind in Kapitel 10 vollständig ausgeschrieben.</w:t>
      </w:r>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 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rPr>
          <w:lang w:val="de-DE"/>
        </w:rP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 Generative KI verstärkt die Bedeutung eigenständigen Prüfens und Verantwortens: Ein überzeugend formulierter Text ist noch kein belastbarer chemischer Befund. Fachwissen und experimentelle Erfahrung bilden deshalb die Grundlage der vier K.</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Arial" w:hAnsi="Arial"/>
                <w:b/>
                <w:sz w:val="18"/>
              </w:rPr>
              <w:t>Vier K</w:t>
            </w:r>
          </w:p>
        </w:tc>
        <w:tc>
          <w:tcPr>
            <w:tcW w:type="dxa" w:w="3068"/>
            <w:shd w:fill="E3ECE8"/>
          </w:tcPr>
          <w:p>
            <w:pPr>
              <w:spacing w:after="100" w:before="80"/>
              <w:suppressAutoHyphens w:val="1"/>
            </w:pPr>
            <w:r>
              <w:rPr>
                <w:rFonts w:ascii="Arial" w:hAnsi="Arial"/>
                <w:b/>
                <w:sz w:val="18"/>
              </w:rPr>
              <w:t>Fachbezogene Bedeutung</w:t>
            </w:r>
          </w:p>
        </w:tc>
        <w:tc>
          <w:tcPr>
            <w:tcW w:type="dxa" w:w="4374"/>
            <w:shd w:fill="E3ECE8"/>
          </w:tcPr>
          <w:p>
            <w:pPr>
              <w:spacing w:after="100" w:before="80"/>
              <w:suppressAutoHyphens w:val="1"/>
            </w:pPr>
            <w:r>
              <w:rPr>
                <w:rFonts w:ascii="Arial" w:hAnsi="Arial"/>
                <w:b/>
                <w:sz w:val="18"/>
              </w:rPr>
              <w:t>Beispiel einer Lernhandlung</w:t>
            </w:r>
          </w:p>
        </w:tc>
      </w:tr>
      <w:tr>
        <w:trPr>
          <w:cantSplit/>
        </w:trPr>
        <w:tc>
          <w:tcPr>
            <w:tcW w:type="dxa" w:w="1632"/>
            <w:shd w:fill="FFFFFF"/>
          </w:tcPr>
          <w:p>
            <w:pPr>
              <w:spacing w:after="100" w:before="80"/>
              <w:suppressAutoHyphens w:val="1"/>
            </w:pPr>
            <w:r>
              <w:rPr>
                <w:rFonts w:ascii="Arial" w:hAnsi="Arial"/>
                <w:b w:val="0"/>
                <w:sz w:val="18"/>
              </w:rPr>
              <w:t>Kreativität</w:t>
            </w:r>
          </w:p>
        </w:tc>
        <w:tc>
          <w:tcPr>
            <w:tcW w:type="dxa" w:w="3068"/>
            <w:shd w:fill="FFFFFF"/>
          </w:tcPr>
          <w:p>
            <w:pPr>
              <w:spacing w:after="100" w:before="80"/>
              <w:suppressAutoHyphens w:val="1"/>
            </w:pPr>
            <w:r>
              <w:rPr>
                <w:rFonts w:ascii="Arial" w:hAnsi="Arial"/>
                <w:b w:val="0"/>
                <w:sz w:val="18"/>
              </w:rPr>
              <w:t>Geeignete Ideen entwickeln, erproben und begründet verbessern.</w:t>
            </w:r>
          </w:p>
        </w:tc>
        <w:tc>
          <w:tcPr>
            <w:tcW w:type="dxa" w:w="4374"/>
            <w:shd w:fill="FFFFFF"/>
          </w:tcPr>
          <w:p>
            <w:pPr>
              <w:spacing w:after="100" w:before="80"/>
              <w:suppressAutoHyphens w:val="1"/>
            </w:pPr>
            <w:r>
              <w:rPr>
                <w:rFonts w:ascii="Arial" w:hAnsi="Arial"/>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Arial" w:hAnsi="Arial"/>
                <w:b w:val="0"/>
                <w:sz w:val="18"/>
              </w:rPr>
              <w:t>Kollaboration</w:t>
            </w:r>
          </w:p>
        </w:tc>
        <w:tc>
          <w:tcPr>
            <w:tcW w:type="dxa" w:w="3068"/>
            <w:shd w:fill="F4F7F5"/>
          </w:tcPr>
          <w:p>
            <w:pPr>
              <w:spacing w:after="100" w:before="80"/>
              <w:suppressAutoHyphens w:val="1"/>
            </w:pPr>
            <w:r>
              <w:rPr>
                <w:rFonts w:ascii="Arial" w:hAnsi="Arial"/>
                <w:b w:val="0"/>
                <w:sz w:val="18"/>
              </w:rPr>
              <w:t>Gemeinsam Verantwortung übernehmen und Beiträge fachlich aufeinander abstimmen.</w:t>
            </w:r>
          </w:p>
        </w:tc>
        <w:tc>
          <w:tcPr>
            <w:tcW w:type="dxa" w:w="4374"/>
            <w:shd w:fill="F4F7F5"/>
          </w:tcPr>
          <w:p>
            <w:pPr>
              <w:spacing w:after="100" w:before="80"/>
              <w:suppressAutoHyphens w:val="1"/>
            </w:pPr>
            <w:r>
              <w:rPr>
                <w:rFonts w:ascii="Arial" w:hAnsi="Arial"/>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Arial" w:hAnsi="Arial"/>
                <w:b w:val="0"/>
                <w:sz w:val="18"/>
              </w:rPr>
              <w:t>Kommunikation</w:t>
            </w:r>
          </w:p>
        </w:tc>
        <w:tc>
          <w:tcPr>
            <w:tcW w:type="dxa" w:w="3068"/>
            <w:shd w:fill="FFFFFF"/>
          </w:tcPr>
          <w:p>
            <w:pPr>
              <w:spacing w:after="100" w:before="80"/>
              <w:suppressAutoHyphens w:val="1"/>
            </w:pPr>
            <w:r>
              <w:rPr>
                <w:rFonts w:ascii="Arial" w:hAnsi="Arial"/>
                <w:b w:val="0"/>
                <w:sz w:val="18"/>
              </w:rPr>
              <w:t>Chemische Aussagen präzise und adressatengerecht austauschen.</w:t>
            </w:r>
          </w:p>
        </w:tc>
        <w:tc>
          <w:tcPr>
            <w:tcW w:type="dxa" w:w="4374"/>
            <w:shd w:fill="FFFFFF"/>
          </w:tcPr>
          <w:p>
            <w:pPr>
              <w:spacing w:after="100" w:before="80"/>
              <w:suppressAutoHyphens w:val="1"/>
            </w:pPr>
            <w:r>
              <w:rPr>
                <w:rFonts w:ascii="Arial" w:hAnsi="Arial"/>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Arial" w:hAnsi="Arial"/>
                <w:b w:val="0"/>
                <w:sz w:val="18"/>
              </w:rPr>
              <w:t>Kritisches Denken</w:t>
            </w:r>
          </w:p>
        </w:tc>
        <w:tc>
          <w:tcPr>
            <w:tcW w:type="dxa" w:w="3068"/>
            <w:shd w:fill="F4F7F5"/>
          </w:tcPr>
          <w:p>
            <w:pPr>
              <w:spacing w:after="100" w:before="80"/>
              <w:suppressAutoHyphens w:val="1"/>
            </w:pPr>
            <w:r>
              <w:rPr>
                <w:rFonts w:ascii="Arial" w:hAnsi="Arial"/>
                <w:b w:val="0"/>
                <w:sz w:val="18"/>
              </w:rPr>
              <w:t>Behauptungen, Methoden und Schlussfolgerungen an Belegen prüfen.</w:t>
            </w:r>
          </w:p>
        </w:tc>
        <w:tc>
          <w:tcPr>
            <w:tcW w:type="dxa" w:w="4374"/>
            <w:shd w:fill="F4F7F5"/>
          </w:tcPr>
          <w:p>
            <w:pPr>
              <w:spacing w:after="100" w:before="80"/>
              <w:suppressAutoHyphens w:val="1"/>
            </w:pPr>
            <w:r>
              <w:rPr>
                <w:rFonts w:ascii="Arial" w:hAnsi="Arial"/>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13.10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 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 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 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 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13 konkretisiert die vier K durch Präsentationen und Experimente, bei denen Lernende den Kurs anleiten, Daten auswerten und Entscheidungen begründen. Gemeinsames Produkt und individuelle Beiträge werden getrennt bewertet. Kapitel 14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 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 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 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 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 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 5 Künstliche Intelligenz im Chemieunterricht</w:t>
      </w:r>
    </w:p>
    <w:p>
      <w:pPr>
        <w:suppressAutoHyphens w:val="0"/>
        <w:jc w:val="both"/>
      </w:pPr>
      <w:r>
        <w:rPr>
          <w:lang w:val="de-DE"/>
        </w:rP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15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 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 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 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13. Methodische Vorbereitungen und beispielhafte Aufgaben für die Präsentationsprüfung im fünften Abiturfach sind in Kapitel 14 dargestellt.</w:t>
      </w:r>
    </w:p>
    <w:p>
      <w:pPr>
        <w:pStyle w:val="Heading2"/>
        <w:pageBreakBefore/>
        <w:suppressAutoHyphens w:val="1"/>
      </w:pPr>
      <w:r>
        <w:t>3 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 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 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13 und 14).</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 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 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 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 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 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 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 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 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 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 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 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 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 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 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 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15.</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bookmarkStart w:id="49" w:name="gkl"/>
      <w:pPr>
        <w:pStyle w:val="Heading1"/>
        <w:pageBreakBefore/>
        <w:suppressAutoHyphens w:val="1"/>
      </w:pPr>
      <w:r>
        <w:t>13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Aufgaben und Raster dieses Kapitels sind Beispiele; konkrete Anforderungen und Kriterien werden vor Beginn bekannt gegeben.</w:t>
      </w:r>
    </w:p>
    <w:p>
      <w:pPr>
        <w:pStyle w:val="Heading2"/>
        <w:pageBreakBefore w:val="0"/>
        <w:suppressAutoHyphens w:val="1"/>
      </w:pPr>
      <w:r>
        <w:t>13 1 Einordnung und transparente Vereinbarungen</w:t>
      </w:r>
    </w:p>
    <w:p>
      <w:pPr>
        <w:suppressAutoHyphens w:val="0"/>
        <w:jc w:val="both"/>
      </w:pPr>
      <w:r>
        <w:rPr>
          <w:lang w:val="de-DE"/>
        </w:rPr>
        <w:t>Die GKL-Aufgaben entwickeln ausdrücklich Kreativität, Kollaboration, Kommunikation und kritisches Denken. Abschnitt 13.10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13 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13 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13 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13 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13 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 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 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 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 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13 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Arial" w:hAnsi="Arial"/>
                <w:b/>
                <w:sz w:val="18"/>
              </w:rPr>
              <w:t>Vier K</w:t>
            </w:r>
          </w:p>
        </w:tc>
        <w:tc>
          <w:tcPr>
            <w:tcW w:type="dxa" w:w="4048"/>
            <w:shd w:fill="E3ECE8"/>
          </w:tcPr>
          <w:p>
            <w:pPr>
              <w:spacing w:after="100" w:before="80"/>
              <w:suppressAutoHyphens w:val="1"/>
            </w:pPr>
            <w:r>
              <w:rPr>
                <w:rFonts w:ascii="Arial" w:hAnsi="Arial"/>
                <w:b/>
                <w:sz w:val="18"/>
              </w:rPr>
              <w:t>Aufgabe und individueller Nachweis</w:t>
            </w:r>
          </w:p>
        </w:tc>
        <w:tc>
          <w:tcPr>
            <w:tcW w:type="dxa" w:w="3395"/>
            <w:shd w:fill="E3ECE8"/>
          </w:tcPr>
          <w:p>
            <w:pPr>
              <w:spacing w:after="100" w:before="80"/>
              <w:suppressAutoHyphens w:val="1"/>
            </w:pPr>
            <w:r>
              <w:rPr>
                <w:rFonts w:ascii="Arial" w:hAnsi="Arial"/>
                <w:b/>
                <w:sz w:val="18"/>
              </w:rPr>
              <w:t>Bezug zum Bewertungsbogen</w:t>
            </w:r>
          </w:p>
        </w:tc>
      </w:tr>
      <w:tr>
        <w:trPr>
          <w:cantSplit/>
        </w:trPr>
        <w:tc>
          <w:tcPr>
            <w:tcW w:type="dxa" w:w="1632"/>
            <w:shd w:fill="FFFFFF"/>
          </w:tcPr>
          <w:p>
            <w:pPr>
              <w:spacing w:after="100" w:before="80"/>
              <w:suppressAutoHyphens w:val="1"/>
            </w:pPr>
            <w:r>
              <w:rPr>
                <w:rFonts w:ascii="Arial" w:hAnsi="Arial"/>
                <w:b w:val="0"/>
                <w:sz w:val="18"/>
              </w:rPr>
              <w:t>Kreativität</w:t>
            </w:r>
          </w:p>
        </w:tc>
        <w:tc>
          <w:tcPr>
            <w:tcW w:type="dxa" w:w="4048"/>
            <w:shd w:fill="FFFFFF"/>
          </w:tcPr>
          <w:p>
            <w:pPr>
              <w:spacing w:after="100" w:before="80"/>
              <w:suppressAutoHyphens w:val="1"/>
            </w:pPr>
            <w:r>
              <w:rPr>
                <w:rFonts w:ascii="Arial" w:hAnsi="Arial"/>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Arial" w:hAnsi="Arial"/>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Arial" w:hAnsi="Arial"/>
                <w:b w:val="0"/>
                <w:sz w:val="18"/>
              </w:rPr>
              <w:t>Kollaboration</w:t>
            </w:r>
          </w:p>
        </w:tc>
        <w:tc>
          <w:tcPr>
            <w:tcW w:type="dxa" w:w="4048"/>
            <w:shd w:fill="F4F7F5"/>
          </w:tcPr>
          <w:p>
            <w:pPr>
              <w:spacing w:after="100" w:before="80"/>
              <w:suppressAutoHyphens w:val="1"/>
            </w:pPr>
            <w:r>
              <w:rPr>
                <w:rFonts w:ascii="Arial" w:hAnsi="Arial"/>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Arial" w:hAnsi="Arial"/>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Arial" w:hAnsi="Arial"/>
                <w:b w:val="0"/>
                <w:sz w:val="18"/>
              </w:rPr>
              <w:t>Kommunikation</w:t>
            </w:r>
          </w:p>
        </w:tc>
        <w:tc>
          <w:tcPr>
            <w:tcW w:type="dxa" w:w="4048"/>
            <w:shd w:fill="FFFFFF"/>
          </w:tcPr>
          <w:p>
            <w:pPr>
              <w:spacing w:after="100" w:before="80"/>
              <w:suppressAutoHyphens w:val="1"/>
            </w:pPr>
            <w:r>
              <w:rPr>
                <w:rFonts w:ascii="Arial" w:hAnsi="Arial"/>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Arial" w:hAnsi="Arial"/>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Arial" w:hAnsi="Arial"/>
                <w:b w:val="0"/>
                <w:sz w:val="18"/>
              </w:rPr>
              <w:t>Kritisches Denken</w:t>
            </w:r>
          </w:p>
        </w:tc>
        <w:tc>
          <w:tcPr>
            <w:tcW w:type="dxa" w:w="4048"/>
            <w:shd w:fill="F4F7F5"/>
          </w:tcPr>
          <w:p>
            <w:pPr>
              <w:spacing w:after="100" w:before="80"/>
              <w:suppressAutoHyphens w:val="1"/>
            </w:pPr>
            <w:r>
              <w:rPr>
                <w:rFonts w:ascii="Arial" w:hAnsi="Arial"/>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Arial" w:hAnsi="Arial"/>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bookmarkStart w:id="50" w:name="fuenftes"/>
      <w:pPr>
        <w:pStyle w:val="Heading1"/>
        <w:pageBreakBefore/>
        <w:suppressAutoHyphens w:val="1"/>
      </w:pPr>
      <w:r>
        <w:t>14 Vorbereitung auf das fünfte Abiturfach</w:t>
      </w:r>
      <w:bookmarkEnd w:id="50"/>
    </w:p>
    <w:p>
      <w:pPr>
        <w:pStyle w:val="Heading2"/>
        <w:suppressAutoHyphens w:val="1"/>
      </w:pPr>
      <w:r>
        <w:t>14 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14 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suppressAutoHyphens w:val="0"/>
        <w:jc w:val="both"/>
      </w:pPr>
      <w:r>
        <w:rPr>
          <w:lang w:val="de-DE"/>
        </w:rPr>
        <w:t>Die Einzelprüfung dauert insgesamt 20 bis 30 Minuten. Der erste Prüfungsteil umfasst zehn Minuten Präsentation und Reflexion; es schließt sich ein fachlich vertiefendes Gespräch an. Beide Teile werden gleich gewichtet. Wird der zweite Teil mit höchstens drei Notenpunkten bewertet, darf das Gesamtergebnis höchstens vier Notenpunkte betragen. Für Gruppenprüfungen gelten die besonderen Zeit- und Zuordnungsregeln; die Prüfungsdauer verlängert sich je weiterer Person um zehn bis 30 Minuten. Individuelle Leistungen müssen eindeutig erkennbar bleiben.</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13 ersetzen diese nicht.</w:t>
      </w:r>
    </w:p>
    <w:p>
      <w:pPr>
        <w:pStyle w:val="Heading2"/>
        <w:suppressAutoHyphens w:val="1"/>
      </w:pPr>
      <w:r>
        <w:t>14 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14 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14 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14 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14 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14 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14 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14 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15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15 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15 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15 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15 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Materialien und Aufgaben aus.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15 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15 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13.6 bis 13.8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15 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Arial" w:hAnsi="Arial"/>
      <w:color w:val="000000"/>
      <w:sz w:val="2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Arial" w:hAnsi="Arial"/>
      <w:color w:val="000000"/>
      <w:sz w:val="2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Arial" w:hAnsi="Arial"/>
      <w:sz w:val="16"/>
    </w:rPr>
  </w:style>
  <w:style w:type="paragraph" w:customStyle="1" w:styleId="Compact">
    <w:name w:val="Compact"/>
    <w:pPr>
      <w:widowControl/>
      <w:spacing w:after="80" w:line="264" w:lineRule="auto"/>
    </w:pPr>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