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29.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r>
          <w:t>4</w:t>
        </w:r>
      </w:fldSimple>
    </w:p>
    <w:p>
      <w:pPr>
        <w:keepNext/>
        <w:tabs>
          <w:tab w:pos="9074" w:val="right" w:leader="dot"/>
        </w:tabs>
        <w:suppressAutoHyphens w:val="1"/>
      </w:pPr>
      <w:r/>
      <w:hyperlink w:anchor="didaktik">
        <w:r>
          <w:rPr>
            <w:color w:val="174D72"/>
          </w:rPr>
          <w:t>2 Grundsätze der Unterrichtsgestaltung</w:t>
        </w:r>
      </w:hyperlink>
      <w:r>
        <w:tab/>
      </w:r>
      <w:fldSimple w:instr="PAGEREF didaktik \h">
        <w:r>
          <w:t>10</w:t>
        </w:r>
      </w:fldSimple>
    </w:p>
    <w:p>
      <w:pPr>
        <w:keepNext/>
        <w:tabs>
          <w:tab w:pos="9074" w:val="right" w:leader="dot"/>
        </w:tabs>
        <w:suppressAutoHyphens w:val="1"/>
      </w:pPr>
      <w:r/>
      <w:hyperlink w:anchor="leistung">
        <w:r>
          <w:rPr>
            <w:color w:val="174D72"/>
          </w:rPr>
          <w:t>3 Lernerfolgsüberprüfung und Leistungsbewertung</w:t>
        </w:r>
      </w:hyperlink>
      <w:r>
        <w:tab/>
      </w:r>
      <w:fldSimple w:instr="PAGEREF leistung \h">
        <w:r>
          <w:t>14</w:t>
        </w:r>
      </w:fldSimple>
    </w:p>
    <w:p>
      <w:pPr>
        <w:keepNext/>
        <w:tabs>
          <w:tab w:pos="9074" w:val="right" w:leader="dot"/>
        </w:tabs>
        <w:suppressAutoHyphens w:val="1"/>
      </w:pPr>
      <w:r/>
      <w:hyperlink w:anchor="si">
        <w:r>
          <w:rPr>
            <w:color w:val="174D72"/>
          </w:rPr>
          <w:t>4 Unterrichtsvorhaben der Sekundarstufe I</w:t>
        </w:r>
      </w:hyperlink>
      <w:r>
        <w:tab/>
      </w:r>
      <w:fldSimple w:instr="PAGEREF si \h">
        <w:r>
          <w:t>21</w:t>
        </w:r>
      </w:fldSimple>
    </w:p>
    <w:p>
      <w:pPr>
        <w:keepNext/>
        <w:tabs>
          <w:tab w:pos="9074" w:val="right" w:leader="dot"/>
        </w:tabs>
        <w:suppressAutoHyphens w:val="1"/>
      </w:pPr>
      <w:r/>
      <w:hyperlink w:anchor="ef">
        <w:r>
          <w:rPr>
            <w:color w:val="174D72"/>
          </w:rPr>
          <w:t>5 Unterrichtsvorhaben der Einführungsphase</w:t>
        </w:r>
      </w:hyperlink>
      <w:r>
        <w:tab/>
      </w:r>
      <w:fldSimple w:instr="PAGEREF ef \h">
        <w:r>
          <w:t>39</w:t>
        </w:r>
      </w:fldSimple>
    </w:p>
    <w:p>
      <w:pPr>
        <w:keepNext/>
        <w:tabs>
          <w:tab w:pos="9074" w:val="right" w:leader="dot"/>
        </w:tabs>
        <w:suppressAutoHyphens w:val="1"/>
      </w:pPr>
      <w:r/>
      <w:hyperlink w:anchor="gk">
        <w:r>
          <w:rPr>
            <w:color w:val="174D72"/>
          </w:rPr>
          <w:t>6 Unterrichtsvorhaben im Grundkurs</w:t>
        </w:r>
      </w:hyperlink>
      <w:r>
        <w:tab/>
      </w:r>
      <w:fldSimple w:instr="PAGEREF gk \h">
        <w:r>
          <w:t>46</w:t>
        </w:r>
      </w:fldSimple>
    </w:p>
    <w:p>
      <w:pPr>
        <w:keepNext/>
        <w:tabs>
          <w:tab w:pos="9074" w:val="right" w:leader="dot"/>
        </w:tabs>
        <w:suppressAutoHyphens w:val="1"/>
      </w:pPr>
      <w:r/>
      <w:hyperlink w:anchor="lk">
        <w:r>
          <w:rPr>
            <w:color w:val="174D72"/>
          </w:rPr>
          <w:t>7 Unterrichtsvorhaben im Leistungskurs</w:t>
        </w:r>
      </w:hyperlink>
      <w:r>
        <w:tab/>
      </w:r>
      <w:fldSimple w:instr="PAGEREF lk \h">
        <w:r>
          <w:t>58</w:t>
        </w:r>
      </w:fldSimple>
    </w:p>
    <w:p>
      <w:pPr>
        <w:keepNext/>
        <w:tabs>
          <w:tab w:pos="9074" w:val="right" w:leader="dot"/>
        </w:tabs>
        <w:suppressAutoHyphens w:val="1"/>
      </w:pPr>
      <w:r/>
      <w:hyperlink w:anchor="qualitaet">
        <w:r>
          <w:rPr>
            <w:color w:val="174D72"/>
          </w:rPr>
          <w:t>8 Zusammenarbeit und Qualitätssicherung</w:t>
        </w:r>
      </w:hyperlink>
      <w:r>
        <w:tab/>
      </w:r>
      <w:fldSimple w:instr="PAGEREF qualitaet \h">
        <w:r>
          <w:t>75</w:t>
        </w:r>
      </w:fldSimple>
    </w:p>
    <w:p>
      <w:pPr>
        <w:keepNext/>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r>
          <w:t>77</w:t>
        </w:r>
      </w:fldSimple>
    </w:p>
    <w:p>
      <w:pPr>
        <w:keepNext/>
        <w:tabs>
          <w:tab w:pos="9074" w:val="right" w:leader="dot"/>
        </w:tabs>
        <w:suppressAutoHyphens w:val="1"/>
      </w:pPr>
      <w:r/>
      <w:hyperlink w:anchor="abgleich">
        <w:r>
          <w:rPr>
            <w:color w:val="174D72"/>
          </w:rPr>
          <w:t xml:space="preserve">10 Sicherung der Kompetenzentwicklung</w:t>
        </w:r>
      </w:hyperlink>
      <w:r>
        <w:tab/>
      </w:r>
      <w:fldSimple w:instr="PAGEREF abgleich \h">
        <w:r>
          <w:t>80</w:t>
        </w:r>
      </w:fldSimple>
    </w:p>
    <w:p>
      <w:pPr>
        <w:keepNext/>
        <w:tabs>
          <w:tab w:pos="9074" w:val="right" w:leader="dot"/>
        </w:tabs>
        <w:suppressAutoHyphens w:val="1"/>
      </w:pPr>
      <w:r/>
      <w:hyperlink w:anchor="generisch">
        <w:r>
          <w:rPr>
            <w:color w:val="174D72"/>
          </w:rPr>
          <w:t xml:space="preserve">11 Vollständige übergeordnete Kompetenzen</w:t>
        </w:r>
      </w:hyperlink>
      <w:r>
        <w:tab/>
      </w:r>
      <w:fldSimple w:instr="PAGEREF generisch \h">
        <w:r>
          <w:t>83</w:t>
        </w:r>
      </w:fldSimple>
    </w:p>
    <w:p>
      <w:pPr>
        <w:keepNext/>
        <w:tabs>
          <w:tab w:pos="9074" w:val="right" w:leader="dot"/>
        </w:tabs>
        <w:suppressAutoHyphens w:val="1"/>
      </w:pPr>
      <w:r/>
      <w:hyperlink w:anchor="register">
        <w:r>
          <w:rPr>
            <w:color w:val="174D72"/>
          </w:rPr>
          <w:t xml:space="preserve">12 Register der konkretisierten Kompetenzen</w:t>
        </w:r>
      </w:hyperlink>
      <w:r>
        <w:tab/>
      </w:r>
      <w:fldSimple w:instr="PAGEREF register \h">
        <w:r>
          <w:t>105</w:t>
        </w:r>
      </w:fldSimple>
    </w:p>
    <w:p>
      <w:pPr>
        <w:keepNext/>
        <w:tabs>
          <w:tab w:pos="9074" w:val="right" w:leader="dot"/>
        </w:tabs>
        <w:suppressAutoHyphens w:val="1"/>
      </w:pPr>
      <w:r/>
      <w:hyperlink w:anchor="quellen">
        <w:r>
          <w:rPr>
            <w:color w:val="174D72"/>
          </w:rPr>
          <w:t xml:space="preserve">13 Quellen und Geltungsstand</w:t>
        </w:r>
      </w:hyperlink>
      <w:r>
        <w:tab/>
      </w:r>
      <w:fldSimple w:instr="PAGEREF quellen \h">
        <w:r>
          <w:t>133</w:t>
        </w:r>
      </w:fldSimple>
    </w:p>
    <w:p>
      <w:pPr>
        <w:keepNext/>
        <w:tabs>
          <w:tab w:pos="9074" w:val="right" w:leader="dot"/>
        </w:tabs>
        <w:suppressAutoHyphens w:val="1"/>
      </w:pPr>
      <w:r/>
      <w:hyperlink w:anchor="klausurengestaltung">
        <w:r>
          <w:rPr>
            <w:color w:val="174D72"/>
          </w:rPr>
          <w:t xml:space="preserve">14 Klausuren gestalten und bewerten</w:t>
        </w:r>
      </w:hyperlink>
      <w:r>
        <w:tab/>
      </w:r>
      <w:fldSimple w:instr="PAGEREF klausurengestaltung \h">
        <w:r>
          <w:t>137</w:t>
        </w:r>
      </w:fldSimple>
    </w:p>
    <w:p>
      <w:pPr>
        <w:keepNext/>
        <w:tabs>
          <w:tab w:pos="9074" w:val="right" w:leader="dot"/>
        </w:tabs>
        <w:suppressAutoHyphens w:val="1"/>
      </w:pPr>
      <w:r/>
      <w:hyperlink w:anchor="gkl">
        <w:r>
          <w:rPr>
            <w:color w:val="174D72"/>
          </w:rPr>
          <w:t xml:space="preserve">15 Gleichwertige komplexe Leistungsnachweise: Aufgaben und Bewertungsraster</w:t>
        </w:r>
      </w:hyperlink>
      <w:r>
        <w:tab/>
      </w:r>
      <w:fldSimple w:instr="PAGEREF gkl \h">
        <w:r>
          <w:t>142</w:t>
        </w:r>
      </w:fldSimple>
    </w:p>
    <w:p>
      <w:pPr>
        <w:keepNext/>
        <w:tabs>
          <w:tab w:pos="9074" w:val="right" w:leader="dot"/>
        </w:tabs>
        <w:suppressAutoHyphens w:val="1"/>
      </w:pPr>
      <w:r/>
      <w:hyperlink w:anchor="abiturpruefung">
        <w:r>
          <w:rPr>
            <w:color w:val="174D72"/>
          </w:rPr>
          <w:t xml:space="preserve">16 Abiturprüfung</w:t>
        </w:r>
      </w:hyperlink>
      <w:r>
        <w:tab/>
      </w:r>
      <w:fldSimple w:instr="PAGEREF abiturpruefung \h">
        <w:r>
          <w:t>160</w:t>
        </w:r>
      </w:fldSimple>
    </w:p>
    <w:p>
      <w:pPr>
        <w:keepNext/>
        <w:tabs>
          <w:tab w:pos="9074" w:val="right" w:leader="dot"/>
        </w:tabs>
        <w:suppressAutoHyphens w:val="1"/>
      </w:pPr>
      <w:r/>
      <w:hyperlink w:anchor="fuenftes">
        <w:r>
          <w:rPr>
            <w:color w:val="174D72"/>
          </w:rPr>
          <w:t xml:space="preserve">17 Vorbereitung auf das fünfte Abiturfach</w:t>
        </w:r>
      </w:hyperlink>
      <w:r>
        <w:tab/>
      </w:r>
      <w:fldSimple w:instr="PAGEREF fuenftes \h">
        <w:r>
          <w:t>163</w:t>
        </w:r>
      </w:fldSimple>
    </w:p>
    <w:p>
      <w:pPr>
        <w:keepNext/>
        <w:tabs>
          <w:tab w:pos="9074" w:val="right" w:leader="dot"/>
        </w:tabs>
        <w:suppressAutoHyphens w:val="1"/>
      </w:pPr>
      <w:r/>
      <w:hyperlink w:anchor="ki">
        <w:r>
          <w:rPr>
            <w:color w:val="174D72"/>
          </w:rPr>
          <w:t xml:space="preserve">18 Mit KI lernen und Ergebnisse verantwortlich prüfen</w:t>
        </w:r>
      </w:hyperlink>
      <w:r>
        <w:tab/>
      </w:r>
      <w:fldSimple w:instr="PAGEREF ki \h">
        <w:r>
          <w:t>170</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15.10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13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18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15 konkretisiert die vier K durch Präsentationen und Experimente, bei denen Lernende den Kurs anleiten, Daten auswerten und Entscheidungen begründen. Auch bei gemeinsamen Produkten wird ausschließlich die nachgewiesene Leistung jeder einzelnen Person bewertet. Kapitel 17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13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18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13 aufgeführt.</w:t>
      </w:r>
    </w:p>
    <w:p>
      <w:pPr>
        <w:suppressAutoHyphens w:val="0"/>
        <w:jc w:val="both"/>
      </w:pPr>
      <w:r>
        <w:rPr>
          <w:lang w:val="de-DE"/>
        </w:rPr>
        <w:t xml:space="preserve">Ausgearbeitete GKL-Aufgaben und rollenbezogene Bewertungsraster enthält Kapitel 15 . Methodische Vorbereitungen und beispielhafte Aufgaben für die Präsentationsprüfung im fünften Abiturfach sind in Kapitel 17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15 und 17 ).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after="140"/>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after="140"/>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after="140"/>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18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after="140"/>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 xml:space="preserve">12.3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 xml:space="preserve">13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 xml:space="preserve">Schulischer Beispielprompt zur Erzeugung von Chemie-Übungsklausuren mit Erwartungshorizont. Didaktisch gefasstes Anwendungsbeispiel in Kapitel 18 .</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ListBullet"/>
      </w:pPr>
      <w:hyperlink r:id="rIdAudit187">
        <w:r>
          <w:rPr>
            <w:rStyle w:val="Hyperlink"/>
          </w:rPr>
          <w:t xml:space="preserve">Medienkompetenzrahmen NRW</w:t>
        </w:r>
      </w:hyperlink>
    </w:p>
    <w:p>
      <w:pPr>
        <w:pStyle w:val="ListBullet"/>
      </w:pPr>
      <w:hyperlink r:id="rIdAudit188">
        <w:r>
          <w:rPr>
            <w:rStyle w:val="Hyperlink"/>
          </w:rPr>
          <w:t xml:space="preserve">MKR: amtliche Chemie-Synopse Sek I</w:t>
        </w:r>
      </w:hyperlink>
    </w:p>
    <w:p>
      <w:pPr>
        <w:pStyle w:val="ListBullet"/>
      </w:pPr>
      <w:hyperlink r:id="rIdAudit189">
        <w:r>
          <w:rPr>
            <w:rStyle w:val="Hyperlink"/>
          </w:rPr>
          <w:t xml:space="preserve">MKR: amtliche Chemie-Synopse Oberstufe</w:t>
        </w:r>
      </w:hyperlink>
    </w:p>
    <w:p>
      <w:pPr>
        <w:pStyle w:val="ListBullet"/>
      </w:pPr>
      <w:hyperlink r:id="rIdAudit190">
        <w:r>
          <w:rPr>
            <w:rStyle w:val="Hyperlink"/>
          </w:rPr>
          <w:t xml:space="preserve">Rahmenvorgabe Verbraucherbildung NRW</w:t>
        </w:r>
      </w:hyperlink>
    </w:p>
    <w:p>
      <w:pPr>
        <w:pStyle w:val="ListBullet"/>
      </w:pPr>
      <w:hyperlink r:id="rIdAudit191">
        <w:r>
          <w:rPr>
            <w:rStyle w:val="Hyperlink"/>
          </w:rPr>
          <w:t xml:space="preserve">Verbraucherbildung: amtliche Chemie-Synopse Sek I</w:t>
        </w:r>
      </w:hyperlink>
    </w:p>
    <w:p>
      <w:pPr>
        <w:pStyle w:val="ListBullet"/>
      </w:pPr>
      <w:hyperlink r:id="rIdAudit192">
        <w:r>
          <w:rPr>
            <w:rStyle w:val="Hyperlink"/>
          </w:rPr>
          <w:t xml:space="preserve">Verbraucherbildung: amtliche Chemie-Synopse Oberstufe</w:t>
        </w:r>
      </w:hyperlink>
    </w:p>
    <w:p>
      <w:pPr>
        <w:pStyle w:val="Heading1"/>
        <w:jc w:val="left"/>
        <w:pageBreakBefore/>
      </w:pPr>
      <w:r>
        <w:rPr/>
        <w:t xml:space="preserve">14 Klausuren gestalten und bewerten</w:t>
      </w:r>
      <w:bookmarkStart w:id="9902" w:name="klausurengestaltung"/>
      <w:bookmarkEnd w:id="9902"/>
    </w:p>
    <w:p>
      <w:pPr>
        <w:pStyle w:val="Heading2"/>
        <w:jc w:val="left"/>
      </w:pPr>
      <w:r>
        <w:rPr/>
        <w:t xml:space="preserve">14.1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15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14.2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14.3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14.4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14.5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14.6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15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das EF-Beispiel zu Stoffkreisläufen in 14.11 und das Akkubeispiel in 14.12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 xml:space="preserve">15.1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15.10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 xml:space="preserve">15.2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 xml:space="preserve">15.3 Beispiel: Den Kurs bei einer analytischen Untersuchung anleiten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15.1.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15.4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 xml:space="preserve">15.5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 xml:space="preserve">15.6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15.8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15.9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 xml:space="preserve">15.10 Die vier K in Aufgaben und Bewertung</w:t>
      </w:r>
      <w:bookmarkEnd w:id="9901"/>
    </w:p>
    <w:p>
      <w:pPr>
        <w:suppressAutoHyphens w:val="0"/>
        <w:jc w:val="both"/>
      </w:pPr>
      <w:r>
        <w:rPr>
          <w:lang w:val="de-DE"/>
        </w:rPr>
        <w:t>Kreativität, Kollaboration, Kommunikation und kritisches Denken werden in den Aufgaben 14.2 bis 14.4 sowie 14.11 und 14.12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 xml:space="preserve">15.11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 xml:space="preserve">15.11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15.7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 xml:space="preserve">15.12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15.1;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15.6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 xml:space="preserve">16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17 erläutert.</w:t>
      </w:r>
    </w:p>
    <w:p>
      <w:pPr>
        <w:pStyle w:val="Heading2"/>
        <w:jc w:val="left"/>
      </w:pPr>
      <w:r>
        <w:rPr/>
        <w:t xml:space="preserve">16.1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14 erläutert.</w:t>
      </w:r>
    </w:p>
    <w:p>
      <w:pPr>
        <w:pStyle w:val="Heading2"/>
        <w:jc w:val="left"/>
      </w:pPr>
      <w:r>
        <w:rPr/>
        <w:t xml:space="preserve">16.2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16.3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14.5,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 xml:space="preserve">17 Vorbereitung auf das fünfte Abiturfach</w:t>
      </w:r>
      <w:bookmarkEnd w:id="50"/>
    </w:p>
    <w:p>
      <w:pPr>
        <w:pStyle w:val="Heading2"/>
        <w:suppressAutoHyphens w:val="1"/>
      </w:pPr>
      <w:r>
        <w:t xml:space="preserve">17.1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17.2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14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16.2.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15 ersetzen diese nicht.</w:t>
      </w:r>
    </w:p>
    <w:p>
      <w:pPr>
        <w:pStyle w:val="Heading2"/>
        <w:suppressAutoHyphens w:val="1"/>
      </w:pPr>
      <w:r>
        <w:t xml:space="preserve">17.3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17.4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17.5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17.6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17.7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17.8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17.9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17.10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18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18.1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18.2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18.3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18.4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18.5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18.6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15.6 bis 15.8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18.7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