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 · Arbeitskopie</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33 Unterrichtsvorhaben mit vollständigen Kompetenzzuordnungen</w:t>
        <w:br/>
        <w:t>Leistungsbewertung · GKL · Fünftes Abiturfach · Lernen mit KI</w:t>
      </w:r>
    </w:p>
    <w:p>
      <w:pPr>
        <w:pStyle w:val="Compact"/>
        <w:spacing w:before="500"/>
        <w:suppressAutoHyphens w:val="1"/>
      </w:pPr>
      <w:r>
        <w:t>Stand 28.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49">
        <w:r>
          <w:rPr>
            <w:rFonts w:ascii="Inter" w:hAnsi="Inter" w:eastAsia="Inter" w:cs="Inter"/>
            <w:color w:val="174D72"/>
            <w:u w:val="single"/>
            <w:sz w:val="23"/>
          </w:rPr>
          <w:t>Kernlehrplan Chemie Sekundarstufe II · Fassung 2022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4">
        <w:r>
          <w:rPr>
            <w:rFonts w:ascii="Inter" w:hAnsi="Inter" w:eastAsia="Inter" w:cs="Inter"/>
            <w:color w:val="174D72"/>
            <w:u w:val="single"/>
            <w:sz w:val="23"/>
          </w:rPr>
          <w:t>APO-GOSt · aktuell geltende Fassung  ↗</w:t>
        </w:r>
      </w:hyperlink>
    </w:p>
    <w:p>
      <w:pPr>
        <w:spacing w:before="0" w:after="180"/>
        <w:jc w:val="left"/>
        <w:keepLines/>
      </w:pPr>
      <w:hyperlink r:id="rIdOfficial55">
        <w:r>
          <w:rPr>
            <w:rFonts w:ascii="Inter" w:hAnsi="Inter" w:eastAsia="Inter" w:cs="Inter"/>
            <w:color w:val="174D72"/>
            <w:u w:val="single"/>
            <w:sz w:val="23"/>
          </w:rPr>
          <w:t>APO-GOSt · Neufassung ab 1. August 2027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klausurengestaltung">
        <w:r>
          <w:rPr>
            <w:color w:val="174D72"/>
          </w:rPr>
          <w:t>13 Klausuren gestalten und bewerten</w:t>
        </w:r>
      </w:hyperlink>
      <w:r>
        <w:tab/>
      </w:r>
      <w:fldSimple w:instr="PAGEREF klausurengestaltung \h"/>
    </w:p>
    <w:p>
      <w:pPr>
        <w:keepNext/>
        <w:tabs>
          <w:tab w:pos="9074" w:val="right" w:leader="dot"/>
        </w:tabs>
        <w:suppressAutoHyphens w:val="1"/>
      </w:pPr>
      <w:r/>
      <w:hyperlink w:anchor="gkl">
        <w:r>
          <w:rPr>
            <w:color w:val="174D72"/>
          </w:rPr>
          <w:t>14 Gleichwertige komplexe Leistungsnachweise: Aufgaben und Bewertungsraster</w:t>
        </w:r>
      </w:hyperlink>
      <w:r>
        <w:tab/>
      </w:r>
      <w:fldSimple w:instr="PAGEREF gkl \h"/>
    </w:p>
    <w:p>
      <w:pPr>
        <w:keepNext/>
        <w:tabs>
          <w:tab w:pos="9074" w:val="right" w:leader="dot"/>
        </w:tabs>
        <w:suppressAutoHyphens w:val="1"/>
      </w:pPr>
      <w:r/>
      <w:hyperlink w:anchor="abiturpruefung">
        <w:r>
          <w:rPr>
            <w:color w:val="174D72"/>
          </w:rPr>
          <w:t>15 Abiturprüfung</w:t>
        </w:r>
      </w:hyperlink>
      <w:r>
        <w:tab/>
      </w:r>
      <w:fldSimple w:instr="PAGEREF abiturpruefung \h"/>
    </w:p>
    <w:p>
      <w:pPr>
        <w:keepNext/>
        <w:tabs>
          <w:tab w:pos="9074" w:val="right" w:leader="dot"/>
        </w:tabs>
        <w:suppressAutoHyphens w:val="1"/>
      </w:pPr>
      <w:r/>
      <w:hyperlink w:anchor="fuenftes">
        <w:r>
          <w:rPr>
            <w:color w:val="174D72"/>
          </w:rPr>
          <w:t>16 Vorbereitung auf das fünfte Abiturfach</w:t>
        </w:r>
      </w:hyperlink>
      <w:r>
        <w:tab/>
      </w:r>
      <w:fldSimple w:instr="PAGEREF fuenftes \h"/>
    </w:p>
    <w:p>
      <w:pPr>
        <w:keepNext/>
        <w:tabs>
          <w:tab w:pos="9074" w:val="right" w:leader="dot"/>
        </w:tabs>
        <w:suppressAutoHyphens w:val="1"/>
      </w:pPr>
      <w:r/>
      <w:hyperlink w:anchor="ki">
        <w:r>
          <w:rPr>
            <w:color w:val="174D72"/>
          </w:rPr>
          <w:t>17 Mit KI lernen und Ergebnisse verantwortlich prüfen</w:t>
        </w:r>
      </w:hyperlink>
      <w:r>
        <w:tab/>
      </w:r>
      <w:fldSimple w:instr="PAGEREF ki \h"/>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14.10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bookmarkStart w:id="7052" w:name="abschnitt-7"/>
      <w:pPr>
        <w:pStyle w:val="Heading2"/>
        <w:keepNext/>
        <w:spacing w:after="140"/>
      </w:pPr>
      <w:r>
        <w:t>1.3 Schulinterne Planung und Organisation</w:t>
      </w:r>
      <w:bookmarkEnd w:id="7052"/>
    </w:p>
    <w:p>
      <w:pPr>
        <w:spacing w:after="140"/>
      </w:pPr>
      <w:r>
        <w:t>Am Thomaeum beginnt der reguläre Chemieunterricht in Jahrgang 7. Die Arbeitskopie umfasst 15 Vorhaben in der Sekundarstufe I, vier in der EF, sechs im Grundkurs und acht im Leistungskurs. Grund- und Leistungskurs sind alternative Bildungsgänge; ihre Stundenkontingente werden nicht addiert.</w:t>
      </w:r>
    </w:p>
    <w:tbl>
      <w:tblPr>
        <w:tblW w:type="auto" w:w="0"/>
        <w:jc w:val="center"/>
        <w:tblLayout w:type="fixed"/>
        <w:tblLook w:firstColumn="1" w:firstRow="1" w:lastColumn="0" w:lastRow="0" w:noHBand="0" w:noVBand="1" w:val="04A0"/>
      </w:tblPr>
      <w:tblGrid>
        <w:gridCol w:w="2722"/>
        <w:gridCol w:w="1361"/>
        <w:gridCol w:w="1270"/>
        <w:gridCol w:w="3721"/>
      </w:tblGrid>
      <w:tr>
        <w:trPr>
          <w:tblHeader/>
        </w:trP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Bereich</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Vorhaben</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UStd</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Verteilung</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Jahrgang 7</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4</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30</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 + 8 + 8 + 8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Jahrgang 8</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4</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60</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18 + 10 + 14 + 18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Jahrgang 9</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60</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 + 20 + 20</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Jahrgang 10</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4</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60</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26 + 20 + 7 + 7</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4</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86</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36 + 14 + 16 + 20</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GK</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167</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36 + 22 + 29 + 8 + 42 + 30</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264</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50 + 30 + 34 + 10 + 26 + 30 + 60 + 24</w:t>
            </w:r>
          </w:p>
        </w:tc>
      </w:tr>
    </w:tbl>
    <w:p>
      <w:pPr>
        <w:spacing w:after="60"/>
      </w:pPr>
    </w:p>
    <w:p>
      <w:pPr>
        <w:spacing w:after="140"/>
      </w:pPr>
      <w:r>
        <w:t>Die bestehenden Stundenkontingente bleiben erhalten. In der Q1 sind 95 UStd im Grundkurs und 150 UStd im Leistungskurs vorgesehen; in der Q2 72 bzw. 114 UStd. Die Zeitrichtwerte schließen die jeweils ausgewiesenen Diagnose-, Experimentier- und Überprüfungsphasen ein. Zusätzliche Termin- und Klausurplanung erfolgt jahrgangsbezogen.</w:t>
      </w:r>
    </w:p>
    <w:p>
      <w:pPr>
        <w:spacing w:after="140"/>
      </w:pPr>
      <w:r>
        <w:t>In Jahrgang 7 ist eine, in den Jahrgängen 8 bis 10 sind zwei Wochenstunden Chemie vorgesehen. Eine Unterrichtsstunde entspricht 45 Minuten; der Unterricht findet überwiegend in Doppelstunden statt. Zeitliche Anpassungen bleiben möglich, ohne verbindliche Inhalte oder Kompetenzen auszulassen.</w:t>
      </w:r>
    </w:p>
    <w:p>
      <w:pPr>
        <w:spacing w:after="140"/>
      </w:pPr>
      <w: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pacing w:after="140"/>
      </w:pPr>
      <w: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t>Das Curriculum bereitet den Übergang didaktisch vor: Kapitel 2 verbindet Untersuchungsfragen, Modellkritik, Sprachbildung und kooperatives Arbeiten. Kapitel 2.5 und 17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14 konkretisiert die vier K durch Präsentationen und Experimente, bei denen Lernende den Kurs anleiten, Daten auswerten und Entscheidungen begründen. Gemeinsames Produkt und individuelle Beiträge werden getrennt bewertet. Kapitel 16 bereitet wissenschaftliches Arbeiten, Produktreflexion und Fachgespräche für das fünfte Abiturfach vor. Die rechtlichen Voraussetzungen für GKL und das fünfte Abiturfach regelt die neue APO-GOSt. Die Vorbereitung auf diese Prüfungsformate bedeutet nicht, dass die neuen Prüfungsregelungen bereits gelten.</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bookmarkStart w:id="7053" w:name="abschnitt-13"/>
      <w:pPr>
        <w:pStyle w:val="Heading2"/>
        <w:keepNext/>
        <w:spacing w:after="140"/>
      </w:pPr>
      <w:r>
        <w:t>2.2 Progression und kumulatives Lernen</w:t>
      </w:r>
      <w:bookmarkEnd w:id="7053"/>
    </w:p>
    <w:p>
      <w:pPr>
        <w:spacing w:after="140"/>
      </w:pPr>
      <w:r>
        <w:t>Der Laborführerschein bildet in 07.1 die Grundlage. Stoffeigenschaften und Stofftrennung werden in 07.2 und 07.3 getrennt erarbeitet; 07.4 führt Verbrennung und erste Reaktionsvorstellungen ein. Metallgewinnung in 08.1 wird vor der systematischen Sicherung des Reaktionsbegriffs in 08.2 behandelt. Wortgleichungen, Stoff- und Energieumwandlung werden deshalb bereits in 07.4 und 08.1 eingeführt. Mit 08.2 ist die erste Stufe einschließlich IF 1 bis 4 abgeschlossen.</w:t>
      </w:r>
    </w:p>
    <w:p>
      <w:pPr>
        <w:spacing w:after="140"/>
      </w:pPr>
      <w:r>
        <w:t>Die Atommodelle in 08.3 sichern Kern-Hülle-Vorstellung, Elektronenkonfiguration und PSE-Nutzung, bevor Mineralien und Ionenbindung in 08.4 behandelt werden. Elementfamilien werden in 09.1 systematisch untersucht und auf den Atombau zurückgeführt. Elektronenübertragung und Molekülverbindungen folgen in 09.2 und 09.3. Klasse 10 vernetzt Protonenübertragung, Organik und technische Synthese.</w:t>
      </w:r>
    </w:p>
    <w:p>
      <w:pPr>
        <w:spacing w:after="140"/>
      </w:pPr>
      <w:r>
        <w:t>Die EF verbindet organische Stoffklassen im Parfum-Kontext mit Kinetik, Gleichgewicht und Klimafragen. In Q1 werden Säure-Base-Chemie, Thermodynamik und Elektrochemie aufeinander aufgebaut. Im LK beginnt die Organik am Ende der Q1 und wird in Q2 vertieft; im GK liegt sie in Q2. Kunststoffe folgen in beiden Kursarten in Q2, Farbstoffe zusätzlich im LK. Eine Zuordnung in der Kompetenzmatrix bezeichnet eine verbindliche Lerngelegenheit, nicht die einzige Behandlung einer Kompetenz.</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17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14. Methodische Vorbereitungen und beispielhafte Aufgaben für die Präsentationsprüfung im fünften Abiturfach sind in Kapitel 16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sz w:val="16"/>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14 und 16).</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7000" w:name="si"/>
      <w:pPr>
        <w:pStyle w:val="Heading1"/>
        <w:keepNext/>
        <w:pageBreakBefore/>
        <w:spacing w:after="140"/>
      </w:pPr>
      <w:r>
        <w:t>4 Unterrichtsvorhaben der Sekundarstufe I</w:t>
      </w:r>
      <w:bookmarkEnd w:id="7000"/>
    </w:p>
    <w:p>
      <w:pPr>
        <w:spacing w:after="140"/>
      </w:pPr>
      <w:r>
        <w:t>Die Jahrgangsfolge umfasst vier Themenfelder in Klasse 7, vier in Klasse 8, drei in Klasse 9 und vier in Klasse 10. Der Laborführerschein eröffnet den Unterricht. Die erste Stufe mit IF 1 bis 4 wird nach 08.2 gesichert. Atommodelle bereiten in 08.3 die Mineralien in 08.4 vor; die systematische Betrachtung der Elementfamilien folgt in Klasse 9.</w:t>
      </w:r>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UV</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Thema</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Jahrgang</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UStd</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7_1">
              <w:r>
                <w:t>07.1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Laborführerschein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7_2">
              <w:r>
                <w:t>07.2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Alltagsstoffe und ihre Eigenschaften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7_3">
              <w:r>
                <w:t>07.3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Stoffgemische trennen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7_4">
              <w:r>
                <w:t>07.4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Luft und Verbrennung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8_1">
              <w:r>
                <w:t>08.1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Metalle und ihre Gewinnung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8_2">
              <w:r>
                <w:t>08.2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Chemische Reaktionen in unserer Umwelt</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8_3">
              <w:r>
                <w:t>08.3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Atommodelle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8_4">
              <w:r>
                <w:t>08.4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Die Welt der Mineralien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9_1">
              <w:r>
                <w:t>09.1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Elementfamilien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9</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9_2">
              <w:r>
                <w:t>09.2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Die Batterie und chemische Energiespeicherung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9</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9_3">
              <w:r>
                <w:t>09.3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Wasser als besonderer Stoff und Lösemittel</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9</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10_1">
              <w:r>
                <w:t>10.1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Saure und alkalische Lösungen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10_2">
              <w:r>
                <w:t>10.2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Alkane und Alkanole in Natur und Technik</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10_3">
              <w:r>
                <w:t>10.3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Vielseitige Kunststoffe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10_4">
              <w:r>
                <w:t>10.4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Gase als Ausgangsstoffe für Industrierohstoffe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r>
    </w:tbl>
    <w:p>
      <w:pPr>
        <w:spacing w:after="60"/>
      </w:pPr>
    </w:p>
    <w:p>
      <w:bookmarkStart w:id="7001" w:name="uv_07_1"/>
      <w:pPr>
        <w:pStyle w:val="Heading2"/>
        <w:keepNext/>
        <w:spacing w:after="140"/>
      </w:pPr>
      <w:r>
        <w:t>07.1 Laborführerschein</w:t>
      </w:r>
      <w:bookmarkEnd w:id="7001"/>
    </w:p>
    <w:p>
      <w:pPr>
        <w:spacing w:after="140"/>
      </w:pPr>
      <w:r>
        <w:t>Jahrgang 7 · Sekundarstufe I · ca. 6 Unterrichtsstunden zu 45 Minuten</w:t>
      </w:r>
    </w:p>
    <w:p>
      <w:pPr>
        <w:spacing w:after="140"/>
      </w:pPr>
      <w:r>
        <w:rPr>
          <w:b/>
        </w:rPr>
        <w:t xml:space="preserve">Leitfrage </w:t>
      </w:r>
      <w:r>
        <w:t>Ein farbloser Stoff, eine heiße Flamme, ein fremdes Gerät: Wie wird aus Neugier ein sicheres Experiment?</w:t>
      </w:r>
    </w:p>
    <w:p>
      <w:pPr>
        <w:pStyle w:val="Heading3"/>
        <w:keepNext/>
        <w:spacing w:after="140"/>
      </w:pPr>
      <w:r>
        <w:t>Inhalte und Schwerpunkte</w:t>
      </w:r>
    </w:p>
    <w:p>
      <w:pPr>
        <w:spacing w:after="140"/>
      </w:pPr>
      <w:r>
        <w:t>Übergreifende experimentelle Kompetenzen; Vorbereitung auf IF 1 bis 4</w:t>
      </w:r>
    </w:p>
    <w:p>
      <w:pPr>
        <w:pStyle w:val="ListBullet"/>
        <w:spacing w:after="100"/>
      </w:pPr>
      <w:r>
        <w:t>Fachraum, Laborgeräte, Gefahrstoffkennzeichnung und begründete Schutzmaßnahmen.</w:t>
      </w:r>
    </w:p>
    <w:p>
      <w:pPr>
        <w:pStyle w:val="ListBullet"/>
        <w:spacing w:after="100"/>
      </w:pPr>
      <w:r>
        <w:t>Brennerbedienung, Erhitzen, sachgerechte Entsorgung und Verhalten im Notfall.</w:t>
      </w:r>
    </w:p>
    <w:p>
      <w:pPr>
        <w:pStyle w:val="ListBullet"/>
        <w:spacing w:after="100"/>
      </w:pPr>
      <w:r>
        <w:t>Beobachtung und Deutung unterscheiden; Versuchsprotokoll mit Fragestellung, Durchführung, Beobachtung und Auswertung.</w:t>
      </w:r>
    </w:p>
    <w:p>
      <w:pPr>
        <w:pStyle w:val="Heading3"/>
        <w:keepNext/>
        <w:spacing w:after="140"/>
      </w:pPr>
      <w:r>
        <w:t>Lernweg und methodische Gestaltung</w:t>
      </w:r>
    </w:p>
    <w:p>
      <w:pPr>
        <w:pStyle w:val="ListBullet"/>
        <w:spacing w:after="100"/>
      </w:pPr>
      <w:r>
        <w:t>Die Lernenden untersuchen vorbereitete Laborsituationen auf Fehler und begründen ihre Korrekturen.</w:t>
      </w:r>
    </w:p>
    <w:p>
      <w:pPr>
        <w:pStyle w:val="ListBullet"/>
        <w:spacing w:after="100"/>
      </w:pPr>
      <w:r>
        <w:t>An angeleiteten Stationen üben sie Gerätegebrauch und sicheres Erhitzen. Sie protokollieren einen einfachen Versuch und prüfen, ob eine andere Gruppe ihn nachvollziehen kann.</w:t>
      </w:r>
    </w:p>
    <w:p>
      <w:pPr>
        <w:pStyle w:val="Heading3"/>
        <w:keepNext/>
        <w:spacing w:after="140"/>
      </w:pPr>
      <w:r>
        <w:t>Übergreifende Lernleistungen</w:t>
      </w:r>
    </w:p>
    <w:p>
      <w:pPr>
        <w:pStyle w:val="ListBullet"/>
        <w:spacing w:after="100"/>
      </w:pPr>
      <w:r>
        <w:t xml:space="preserve">Beobachtungen eines einfachen Versuchs sachlich beschreiben. </w:t>
      </w:r>
      <w:r>
        <w:t>SI1-E2</w:t>
      </w:r>
    </w:p>
    <w:p>
      <w:pPr>
        <w:pStyle w:val="ListBullet"/>
        <w:spacing w:after="100"/>
      </w:pPr>
      <w:r>
        <w:t xml:space="preserve">Einen sicheren Versuchsablauf planen, durchführen und Mess- oder Beobachtungsdaten aufzeichnen. </w:t>
      </w:r>
      <w:r>
        <w:t>SI1-E4</w:t>
      </w:r>
    </w:p>
    <w:p>
      <w:pPr>
        <w:pStyle w:val="ListBullet"/>
        <w:spacing w:after="100"/>
      </w:pPr>
      <w:r>
        <w:t xml:space="preserve">Ein vollständiges Versuchsprotokoll mit beschrifteter Skizze anfertigen. </w:t>
      </w:r>
      <w:r>
        <w:t>SI1-K1</w:t>
      </w:r>
    </w:p>
    <w:p>
      <w:pPr>
        <w:spacing w:after="140"/>
      </w:pPr>
      <w:r>
        <w:t>Der Laborführerschein entwickelt die übergreifenden Kompetenzen des sicheren Experimentierens, der Dokumentation und der begründeten Entscheidung. Er ist kein zusätzliches Inhaltsfeld des Kernlehrplans.</w:t>
      </w:r>
    </w:p>
    <w:p>
      <w:pPr>
        <w:pStyle w:val="Heading3"/>
        <w:keepNext/>
        <w:spacing w:after="140"/>
      </w:pPr>
      <w:r>
        <w:t>Lernaufgabe und Überprüfung</w:t>
      </w:r>
    </w:p>
    <w:p>
      <w:pPr>
        <w:spacing w:after="140"/>
      </w:pPr>
      <w:r>
        <w:t>Praktischer Laborführerschein: Geräte sicher bedienen, Schutzmaßnahmen begründen und einen Versuch nachvollziehbar dokumentieren. Sicherheitsroutinen werden in allen folgenden Vorhaben erneut geprüft.</w:t>
      </w:r>
    </w:p>
    <w:p>
      <w:bookmarkStart w:id="7002" w:name="uv_07_2"/>
      <w:pPr>
        <w:pStyle w:val="Heading2"/>
        <w:keepNext/>
        <w:spacing w:after="140"/>
      </w:pPr>
      <w:r>
        <w:t>07.2 Alltagsstoffe und ihre Eigenschaften</w:t>
      </w:r>
      <w:bookmarkEnd w:id="7002"/>
    </w:p>
    <w:p>
      <w:pPr>
        <w:spacing w:after="140"/>
      </w:pPr>
      <w:r>
        <w:t>Jahrgang 7 · Sekundarstufe I · ca. 8 Unterrichtsstunden zu 45 Minuten</w:t>
      </w:r>
    </w:p>
    <w:p>
      <w:pPr>
        <w:spacing w:after="140"/>
      </w:pPr>
      <w:r>
        <w:rPr>
          <w:b/>
        </w:rPr>
        <w:t xml:space="preserve">Leitfrage </w:t>
      </w:r>
      <w:r>
        <w:t>Zucker und Salz sehen fast gleich aus. Wie finden wir heraus, was im Glas ist, ohne zu probieren?</w:t>
      </w:r>
    </w:p>
    <w:p>
      <w:pPr>
        <w:pStyle w:val="Heading3"/>
        <w:keepNext/>
        <w:spacing w:after="140"/>
      </w:pPr>
      <w:r>
        <w:t>Inhalte und Schwerpunkte</w:t>
      </w:r>
    </w:p>
    <w:p>
      <w:pPr>
        <w:spacing w:after="140"/>
      </w:pPr>
      <w:r>
        <w:t>IF 1 Stoffe und Stoffeigenschaften</w:t>
      </w:r>
    </w:p>
    <w:p>
      <w:pPr>
        <w:pStyle w:val="ListBullet"/>
        <w:spacing w:after="100"/>
      </w:pPr>
      <w:r>
        <w:t>Messbare und nicht messbare Stoffeigenschaften; Identifikation und Klassifikation von Reinstoffen.</w:t>
      </w:r>
    </w:p>
    <w:p>
      <w:pPr>
        <w:pStyle w:val="ListBullet"/>
        <w:spacing w:after="100"/>
      </w:pPr>
      <w:r>
        <w:t>Schmelz- und Siedetemperatur, Dichte, Löslichkeit, Leitfähigkeit und Magnetismus; Größen und Einheiten.</w:t>
      </w:r>
    </w:p>
    <w:p>
      <w:pPr>
        <w:pStyle w:val="ListBullet"/>
        <w:spacing w:after="100"/>
      </w:pPr>
      <w:r>
        <w:t>Aggregatzustände und Zustandsänderungen im einfachen Teilchenmodell. Keine Geschmacksproben im Fachraum.</w:t>
      </w:r>
    </w:p>
    <w:p>
      <w:pPr>
        <w:pStyle w:val="Heading3"/>
        <w:keepNext/>
        <w:spacing w:after="140"/>
      </w:pPr>
      <w:r>
        <w:t>Lernweg und methodische Gestaltung</w:t>
      </w:r>
    </w:p>
    <w:p>
      <w:pPr>
        <w:pStyle w:val="ListBullet"/>
        <w:spacing w:after="100"/>
      </w:pPr>
      <w:r>
        <w:t>Stoffproben anhand selbst ausgewählter Eigenschaften unterscheiden; eine messbare Eigenschaft experimentell bestimmen.</w:t>
      </w:r>
    </w:p>
    <w:p>
      <w:pPr>
        <w:pStyle w:val="ListBullet"/>
        <w:spacing w:after="100"/>
      </w:pPr>
      <w:r>
        <w:t>Stoffsteckbriefe mit Messwerten erstellen und begründen, warum ein Stoff für eine bestimmte Alltagsanwendung geeignet ist.</w:t>
      </w:r>
    </w:p>
    <w:p>
      <w:pPr>
        <w:pStyle w:val="ListBullet"/>
        <w:spacing w:after="100"/>
      </w:pPr>
      <w:r>
        <w:t>Schmelzen und Verdampfen beobachten und die Veränderungen mit Teilchenbildern erklären.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Reinstoffe aufgrund charakteristischer Eigenschaften (Schmelztemperatur/Siedetemperatur, Dichte, Löslichkeit) identifizieren (UF1, UF2), </w:t>
      </w:r>
      <w:r>
        <w:t>SI1-1-01</w:t>
      </w:r>
    </w:p>
    <w:p>
      <w:pPr>
        <w:pStyle w:val="ListBullet"/>
        <w:spacing w:after="100"/>
      </w:pPr>
      <w:r>
        <w:t xml:space="preserve">Stoffe aufgrund ihrer Eigenschaften klassifizieren (UF2, UF3). </w:t>
      </w:r>
      <w:r>
        <w:t>SI1-1-02</w:t>
      </w:r>
    </w:p>
    <w:p>
      <w:pPr>
        <w:pStyle w:val="ListBullet"/>
        <w:spacing w:after="100"/>
      </w:pPr>
      <w:r>
        <w:t xml:space="preserve">eine geeignete messbare Stoffeigenschaft experimentell ermitteln (E4, E5, K1), </w:t>
      </w:r>
      <w:r>
        <w:t>SI1-1-03</w:t>
      </w:r>
    </w:p>
    <w:p>
      <w:pPr>
        <w:pStyle w:val="ListBullet"/>
        <w:spacing w:after="100"/>
      </w:pPr>
      <w:r>
        <w:t xml:space="preserve">Aggregatzustände und deren Änderungen auf der Grundlage eines einfachen Teilchenmodells erklären (E6, K3). </w:t>
      </w:r>
      <w:r>
        <w:t>SI1-1-05</w:t>
      </w:r>
    </w:p>
    <w:p>
      <w:pPr>
        <w:pStyle w:val="ListBullet"/>
        <w:spacing w:after="100"/>
      </w:pPr>
      <w:r>
        <w:t xml:space="preserve">die Verwendung ausgewählter Stoffe im Alltag mithilfe ihrer Eigenschaften begründen (B1, K2). </w:t>
      </w:r>
      <w:r>
        <w:t>SI1-1-06</w:t>
      </w:r>
    </w:p>
    <w:p>
      <w:pPr>
        <w:pStyle w:val="Heading3"/>
        <w:keepNext/>
        <w:spacing w:after="140"/>
      </w:pPr>
      <w:r>
        <w:t>Übergreifende Lernleistungen</w:t>
      </w:r>
    </w:p>
    <w:p>
      <w:pPr>
        <w:pStyle w:val="ListBullet"/>
        <w:spacing w:after="100"/>
      </w:pPr>
      <w:r>
        <w:t xml:space="preserve">Messwerte ordnen und zur Identifizierung eines Stoffes auswerten. </w:t>
      </w:r>
      <w:r>
        <w:t>SI1-E5</w:t>
      </w:r>
    </w:p>
    <w:p>
      <w:pPr>
        <w:pStyle w:val="ListBullet"/>
        <w:spacing w:after="100"/>
      </w:pPr>
      <w:r>
        <w:t xml:space="preserve">Aggregatzustände am Teilchenmodell erklären und Modell und Stoff unterscheiden. </w:t>
      </w:r>
      <w:r>
        <w:t>SI1-E6</w:t>
      </w:r>
    </w:p>
    <w:p>
      <w:pPr>
        <w:pStyle w:val="Heading3"/>
        <w:keepNext/>
        <w:spacing w:after="140"/>
      </w:pPr>
      <w:r>
        <w:t>Lernaufgabe und Überprüfung</w:t>
      </w:r>
    </w:p>
    <w:p>
      <w:pPr>
        <w:spacing w:after="140"/>
      </w:pPr>
      <w:r>
        <w:t>Eine unbekannte Probe anhand mehrerer Eigenschaften identifizieren. Einen begründeten Stoffsteckbrief und eine Teilchendarstellung abgeben.</w:t>
      </w:r>
    </w:p>
    <w:p>
      <w:bookmarkStart w:id="7003" w:name="uv_07_3"/>
      <w:pPr>
        <w:pStyle w:val="Heading2"/>
        <w:keepNext/>
        <w:spacing w:after="140"/>
      </w:pPr>
      <w:r>
        <w:t>07.3 Stoffgemische trennen</w:t>
      </w:r>
      <w:bookmarkEnd w:id="7003"/>
    </w:p>
    <w:p>
      <w:pPr>
        <w:spacing w:after="140"/>
      </w:pPr>
      <w:r>
        <w:t>Jahrgang 7 · Sekundarstufe I · ca. 8 Unterrichtsstunden zu 45 Minuten</w:t>
      </w:r>
    </w:p>
    <w:p>
      <w:pPr>
        <w:spacing w:after="140"/>
      </w:pPr>
      <w:r>
        <w:rPr>
          <w:b/>
        </w:rPr>
        <w:t xml:space="preserve">Leitfrage </w:t>
      </w:r>
      <w:r>
        <w:t>Salz, Sand und Wasser sind vermischt. Bekommen wir alle drei zurück?</w:t>
      </w:r>
    </w:p>
    <w:p>
      <w:pPr>
        <w:pStyle w:val="Heading3"/>
        <w:keepNext/>
        <w:spacing w:after="140"/>
      </w:pPr>
      <w:r>
        <w:t>Inhalte und Schwerpunkte</w:t>
      </w:r>
    </w:p>
    <w:p>
      <w:pPr>
        <w:spacing w:after="140"/>
      </w:pPr>
      <w:r>
        <w:t>IF 1 Stoffe und Stoffeigenschaften</w:t>
      </w:r>
    </w:p>
    <w:p>
      <w:pPr>
        <w:pStyle w:val="ListBullet"/>
        <w:spacing w:after="100"/>
      </w:pPr>
      <w:r>
        <w:t>Gemische und Reinstoffe; homogene und heterogene Gemische.</w:t>
      </w:r>
    </w:p>
    <w:p>
      <w:pPr>
        <w:pStyle w:val="ListBullet"/>
        <w:spacing w:after="100"/>
      </w:pPr>
      <w:r>
        <w:t>Stofftrennverfahren auf Grundlage unterschiedlicher Stoffeigenschaften; Filtration und Destillation verbindlich.</w:t>
      </w:r>
    </w:p>
    <w:p>
      <w:pPr>
        <w:pStyle w:val="ListBullet"/>
        <w:spacing w:after="100"/>
      </w:pPr>
      <w:r>
        <w:t>Weitere geeignete Verfahren: Eindampfen, Extraktion, Chromatografie, Sieben und Magnettrennung.</w:t>
      </w:r>
    </w:p>
    <w:p>
      <w:pPr>
        <w:pStyle w:val="Heading3"/>
        <w:keepNext/>
        <w:spacing w:after="140"/>
      </w:pPr>
      <w:r>
        <w:t>Lernweg und methodische Gestaltung</w:t>
      </w:r>
    </w:p>
    <w:p>
      <w:pPr>
        <w:pStyle w:val="ListBullet"/>
        <w:spacing w:after="100"/>
      </w:pPr>
      <w:r>
        <w:t>Die Gruppen entwickeln und begründen einen Trennplan für ein Stoffgemisch, führen ihn aus und verbessern ihn anhand ihrer Ergebnisse.</w:t>
      </w:r>
    </w:p>
    <w:p>
      <w:pPr>
        <w:pStyle w:val="ListBullet"/>
        <w:spacing w:after="100"/>
      </w:pPr>
      <w:r>
        <w:t>Filtration und Destillation werden sachgerecht durchgeführt; die Rückgewinnung des Wassers wird von der Gewinnung des gelösten Stoffes unterschieden.</w:t>
      </w:r>
    </w:p>
    <w:p>
      <w:pPr>
        <w:pStyle w:val="ListBullet"/>
        <w:spacing w:after="100"/>
      </w:pPr>
      <w:r>
        <w:t>Ein Verfahren zur Wasseraufbereitung dient als Transfer: Was kann eine gewählte Trennmethode leisten, was nicht?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Reinstoffe aufgrund charakteristischer Eigenschaften (Schmelztemperatur/Siedetemperatur, Dichte, Löslichkeit) identifizieren (UF1, UF2), </w:t>
      </w:r>
      <w:r>
        <w:t>SI1-1-01</w:t>
      </w:r>
    </w:p>
    <w:p>
      <w:pPr>
        <w:pStyle w:val="ListBullet"/>
        <w:spacing w:after="100"/>
      </w:pPr>
      <w:r>
        <w:t xml:space="preserve">eine geeignete messbare Stoffeigenschaft experimentell ermitteln (E4, E5, K1), </w:t>
      </w:r>
      <w:r>
        <w:t>SI1-1-03</w:t>
      </w:r>
    </w:p>
    <w:p>
      <w:pPr>
        <w:pStyle w:val="ListBullet"/>
        <w:spacing w:after="100"/>
      </w:pPr>
      <w:r>
        <w:t xml:space="preserve">Experimente zur Trennung eines Stoffgemisches in Reinstoffe (Filtration, Destillation) unter Nutzung relevanter Stoffeigenschaften planen und sachgerecht durchführen (E1, E2, E3, E4, K1), </w:t>
      </w:r>
      <w:r>
        <w:t>SI1-1-04</w:t>
      </w:r>
    </w:p>
    <w:p>
      <w:pPr>
        <w:pStyle w:val="ListBullet"/>
        <w:spacing w:after="100"/>
      </w:pPr>
      <w:r>
        <w:t xml:space="preserve">die Verwendung ausgewählter Stoffe im Alltag mithilfe ihrer Eigenschaften begründen (B1, K2). </w:t>
      </w:r>
      <w:r>
        <w:t>SI1-1-06</w:t>
      </w:r>
    </w:p>
    <w:p>
      <w:pPr>
        <w:pStyle w:val="Heading3"/>
        <w:keepNext/>
        <w:spacing w:after="140"/>
      </w:pPr>
      <w:r>
        <w:t>Übergreifende Lernleistungen</w:t>
      </w:r>
    </w:p>
    <w:p>
      <w:pPr>
        <w:pStyle w:val="ListBullet"/>
        <w:spacing w:after="100"/>
      </w:pPr>
      <w:r>
        <w:t xml:space="preserve">Für ein unbekanntes Gemisch geeignete Stoffeigenschaften und Trennverfahren auswählen. </w:t>
      </w:r>
      <w:r>
        <w:t>SI1-UF2</w:t>
      </w:r>
    </w:p>
    <w:p>
      <w:pPr>
        <w:pStyle w:val="ListBullet"/>
        <w:spacing w:after="100"/>
      </w:pPr>
      <w:r>
        <w:t xml:space="preserve">Eine experimentell beantwortbare Frage zur Trennung eines Alltagsgemisches formulieren. </w:t>
      </w:r>
      <w:r>
        <w:t>SI1-E1</w:t>
      </w:r>
    </w:p>
    <w:p>
      <w:pPr>
        <w:pStyle w:val="Heading3"/>
        <w:keepNext/>
        <w:spacing w:after="140"/>
      </w:pPr>
      <w:r>
        <w:t>Lernaufgabe und Überprüfung</w:t>
      </w:r>
    </w:p>
    <w:p>
      <w:pPr>
        <w:spacing w:after="140"/>
      </w:pPr>
      <w:r>
        <w:t>Trennplan, Versuchsprotokoll und Auswertung mit Bezug auf Löslichkeit, Teilchengröße und Siedetemperatur; Grenzen eines Verfahrens erklären.</w:t>
      </w:r>
    </w:p>
    <w:p>
      <w:bookmarkStart w:id="7004" w:name="uv_07_4"/>
      <w:pPr>
        <w:pStyle w:val="Heading2"/>
        <w:keepNext/>
        <w:spacing w:after="140"/>
      </w:pPr>
      <w:r>
        <w:t>07.4 Luft und Verbrennung</w:t>
      </w:r>
      <w:bookmarkEnd w:id="7004"/>
    </w:p>
    <w:p>
      <w:pPr>
        <w:spacing w:after="140"/>
      </w:pPr>
      <w:r>
        <w:t>Jahrgang 7 · Sekundarstufe I · ca. 8 Unterrichtsstunden zu 45 Minuten</w:t>
      </w:r>
    </w:p>
    <w:p>
      <w:pPr>
        <w:spacing w:after="140"/>
      </w:pPr>
      <w:r>
        <w:rPr>
          <w:b/>
        </w:rPr>
        <w:t xml:space="preserve">Leitfrage </w:t>
      </w:r>
      <w:r>
        <w:t>Eine Kerze wird leichter, brennende Eisenwolle schwerer. Wohin geht die Masse, und woher kommt sie?</w:t>
      </w:r>
    </w:p>
    <w:p>
      <w:pPr>
        <w:pStyle w:val="Heading3"/>
        <w:keepNext/>
        <w:spacing w:after="140"/>
      </w:pPr>
      <w:r>
        <w:t>Inhalte und Schwerpunkte</w:t>
      </w:r>
    </w:p>
    <w:p>
      <w:pPr>
        <w:spacing w:after="140"/>
      </w:pPr>
      <w:r>
        <w:t>IF 3 Verbrennung; Anbahnung IF 2 Chemische Reaktion</w:t>
      </w:r>
    </w:p>
    <w:p>
      <w:pPr>
        <w:pStyle w:val="ListBullet"/>
        <w:spacing w:after="100"/>
      </w:pPr>
      <w:r>
        <w:t>Luftbestandteile, Oxidbildung, Zündtemperatur und Zerteilungsgrad.</w:t>
      </w:r>
    </w:p>
    <w:p>
      <w:pPr>
        <w:pStyle w:val="ListBullet"/>
        <w:spacing w:after="100"/>
      </w:pPr>
      <w:r>
        <w:t>Elemente und Verbindungen; Analyse und Synthese von Wasser als umkehrbare Reaktionen.</w:t>
      </w:r>
    </w:p>
    <w:p>
      <w:pPr>
        <w:pStyle w:val="ListBullet"/>
        <w:spacing w:after="100"/>
      </w:pPr>
      <w:r>
        <w:t>Sauerstoff-, Wasserstoff-, Kohlenstoffdioxid- und Wassernachweis.</w:t>
      </w:r>
    </w:p>
    <w:p>
      <w:pPr>
        <w:pStyle w:val="ListBullet"/>
        <w:spacing w:after="100"/>
      </w:pPr>
      <w:r>
        <w:t>Massenerhaltung und einfaches Atommodell; Brandvorsorge und Brandbekämpfung; Energieumwandlung.</w:t>
      </w:r>
    </w:p>
    <w:p>
      <w:pPr>
        <w:pStyle w:val="Heading3"/>
        <w:keepNext/>
        <w:spacing w:after="140"/>
      </w:pPr>
      <w:r>
        <w:t>Lernweg und methodische Gestaltung</w:t>
      </w:r>
    </w:p>
    <w:p>
      <w:pPr>
        <w:pStyle w:val="ListBullet"/>
        <w:spacing w:after="100"/>
      </w:pPr>
      <w:r>
        <w:t>Kerzenverbrennung und Metalloxidation vergleichen; die Systemgrenze bei der Massenbilanz ausdrücklich markieren.</w:t>
      </w:r>
    </w:p>
    <w:p>
      <w:pPr>
        <w:pStyle w:val="ListBullet"/>
        <w:spacing w:after="100"/>
      </w:pPr>
      <w:r>
        <w:t>Gasnachweise durchführen und Wasserbildung sowie Wasserzerlegung auswerten.</w:t>
      </w:r>
    </w:p>
    <w:p>
      <w:pPr>
        <w:pStyle w:val="ListBullet"/>
        <w:spacing w:after="100"/>
      </w:pPr>
      <w:r>
        <w:t>Löschstrategien aus den Verbrennungsbedingungen ableiten und Vor- und Nachteile einer Energieversorgung auf Basis der Wasserstoff-Wasser-Umwandlung beschreiben.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anhand von Beispielen Reinstoffe in chemische Elemente und Verbindungen einteilen (UF2, UF3), </w:t>
      </w:r>
      <w:r>
        <w:t>SI1-3-01</w:t>
      </w:r>
    </w:p>
    <w:p>
      <w:pPr>
        <w:pStyle w:val="ListBullet"/>
        <w:spacing w:after="100"/>
      </w:pPr>
      <w:r>
        <w:t xml:space="preserve">die wichtigsten Bestandteile des Gasgemisches Luft, ihre Eigenschaften und Anteile nennen (UF1, UF4), </w:t>
      </w:r>
      <w:r>
        <w:t>SI1-3-02</w:t>
      </w:r>
    </w:p>
    <w:p>
      <w:pPr>
        <w:pStyle w:val="ListBullet"/>
        <w:spacing w:after="100"/>
      </w:pPr>
      <w:r>
        <w:t xml:space="preserve">die Verbrennung als eine chemische Reaktion mit Sauerstoff identifizieren und als Oxidbildung klassifizieren (UF3), </w:t>
      </w:r>
      <w:r>
        <w:t>SI1-3-03</w:t>
      </w:r>
    </w:p>
    <w:p>
      <w:pPr>
        <w:pStyle w:val="ListBullet"/>
        <w:spacing w:after="100"/>
      </w:pPr>
      <w:r>
        <w:t xml:space="preserve">die Analyse und Synthese von Wasser als Beispiel für die Umkehrbarkeit chemischer Reaktionen beschreiben (UF1). </w:t>
      </w:r>
      <w:r>
        <w:t>SI1-3-04</w:t>
      </w:r>
    </w:p>
    <w:p>
      <w:pPr>
        <w:pStyle w:val="ListBullet"/>
        <w:spacing w:after="100"/>
      </w:pPr>
      <w:r>
        <w:t xml:space="preserve">mit einem einfachen Atommodell Massenänderungen bei chemischen Reaktionen mit Sauerstoff erklären (E5, E6), </w:t>
      </w:r>
      <w:r>
        <w:t>SI1-3-05</w:t>
      </w:r>
    </w:p>
    <w:p>
      <w:pPr>
        <w:pStyle w:val="ListBullet"/>
        <w:spacing w:after="100"/>
      </w:pPr>
      <w:r>
        <w:t xml:space="preserve">Nachweisreaktionen von Gasen (Sauerstoff, Wasserstoff, Kohlenstoffdioxid) und Wasser durchführen (E4), </w:t>
      </w:r>
      <w:r>
        <w:t>SI1-3-06</w:t>
      </w:r>
    </w:p>
    <w:p>
      <w:pPr>
        <w:pStyle w:val="ListBullet"/>
        <w:spacing w:after="100"/>
      </w:pPr>
      <w:r>
        <w:t xml:space="preserve">den Verbleib von Verbrennungsprodukten (Kohlenstoffdioxid, Wasser) mit dem Gesetz von der Erhaltung der Masse begründen (E3, E6, E7, K3). </w:t>
      </w:r>
      <w:r>
        <w:t>SI1-3-07</w:t>
      </w:r>
    </w:p>
    <w:p>
      <w:pPr>
        <w:pStyle w:val="ListBullet"/>
        <w:spacing w:after="100"/>
      </w:pPr>
      <w:r>
        <w:t xml:space="preserve">in vorgegebenen Situationen Handlungsmöglichkeiten zum Umgang mit brennbaren Stoffen zur Brandvorsorge sowie mit offenem Feuer zur Brandbekämpfung bewerten und sich begründet für eine Handlung entscheiden (B2, B3, K4), </w:t>
      </w:r>
      <w:r>
        <w:t>SI1-3-08</w:t>
      </w:r>
    </w:p>
    <w:p>
      <w:pPr>
        <w:pStyle w:val="ListBullet"/>
        <w:spacing w:after="100"/>
      </w:pPr>
      <w:r>
        <w:t xml:space="preserve">Vor- und Nachteile einer ressourcenschonenden Energieversorgung auf Grundlage der Umkehrbarkeit chemischer Reaktionen am Beispiel von Wasser beschreiben (B1). </w:t>
      </w:r>
      <w:r>
        <w:t>SI1-3-09</w:t>
      </w:r>
    </w:p>
    <w:p>
      <w:pPr>
        <w:pStyle w:val="Heading3"/>
        <w:keepNext/>
        <w:spacing w:after="140"/>
      </w:pPr>
      <w:r>
        <w:t>Übergreifende Lernleistungen</w:t>
      </w:r>
    </w:p>
    <w:p>
      <w:pPr>
        <w:pStyle w:val="ListBullet"/>
        <w:spacing w:after="100"/>
      </w:pPr>
      <w:r>
        <w:t xml:space="preserve">Die Alltagsvorstellung vom Verschwinden eines Brennstoffs anhand von Reaktionsprodukten hinterfragen. </w:t>
      </w:r>
      <w:r>
        <w:t>SI1-UF4</w:t>
      </w:r>
    </w:p>
    <w:p>
      <w:pPr>
        <w:pStyle w:val="ListBullet"/>
        <w:spacing w:after="100"/>
      </w:pPr>
      <w:r>
        <w:t xml:space="preserve">Informationen zu Luftbestandteilen aus Tabelle und Fachtext entnehmen und die Quelle notieren. </w:t>
      </w:r>
      <w:r>
        <w:t>SI1-K2</w:t>
      </w:r>
    </w:p>
    <w:p>
      <w:pPr>
        <w:pStyle w:val="ListBullet"/>
        <w:spacing w:after="100"/>
      </w:pPr>
      <w:r>
        <w:t xml:space="preserve">Eine digitale Darstellung zu Verbrennungsprodukten und Massenerhaltung fachsprachlich erläutern. </w:t>
      </w:r>
      <w:r>
        <w:t>SI1-K3</w:t>
      </w:r>
    </w:p>
    <w:p>
      <w:pPr>
        <w:pStyle w:val="ListBullet"/>
        <w:spacing w:after="100"/>
      </w:pPr>
      <w:r>
        <w:t xml:space="preserve">Bei einer Brandsituation chemische Fakten und Interessen betroffener Personen benennen. </w:t>
      </w:r>
      <w:r>
        <w:t>SI1-B1</w:t>
      </w:r>
    </w:p>
    <w:p>
      <w:pPr>
        <w:pStyle w:val="ListBullet"/>
        <w:spacing w:after="100"/>
      </w:pPr>
      <w:r>
        <w:t xml:space="preserve">Kriterien für Brandvorsorge und mögliche Handlungsoptionen sammeln. </w:t>
      </w:r>
      <w:r>
        <w:t>SI1-B2</w:t>
      </w:r>
    </w:p>
    <w:p>
      <w:pPr>
        <w:pStyle w:val="Heading3"/>
        <w:keepNext/>
        <w:spacing w:after="140"/>
      </w:pPr>
      <w:r>
        <w:t>Lernaufgabe und Überprüfung</w:t>
      </w:r>
    </w:p>
    <w:p>
      <w:pPr>
        <w:spacing w:after="140"/>
      </w:pPr>
      <w:r>
        <w:t>Eine Massenänderung mit Stoffbilanz und Atommodell erklären; Gasnachweise dokumentieren und eine begründete Brandschutzentscheidung treffen.</w:t>
      </w:r>
    </w:p>
    <w:p>
      <w:bookmarkStart w:id="7005" w:name="uv_08_1"/>
      <w:pPr>
        <w:pStyle w:val="Heading2"/>
        <w:keepNext/>
        <w:spacing w:after="140"/>
      </w:pPr>
      <w:r>
        <w:t>08.1 Metalle und ihre Gewinnung</w:t>
      </w:r>
      <w:bookmarkEnd w:id="7005"/>
    </w:p>
    <w:p>
      <w:pPr>
        <w:spacing w:after="140"/>
      </w:pPr>
      <w:r>
        <w:t>Jahrgang 8 · Sekundarstufe I · ca. 18 Unterrichtsstunden zu 45 Minuten</w:t>
      </w:r>
    </w:p>
    <w:p>
      <w:pPr>
        <w:spacing w:after="140"/>
      </w:pPr>
      <w:r>
        <w:rPr>
          <w:b/>
        </w:rPr>
        <w:t xml:space="preserve">Leitfrage </w:t>
      </w:r>
      <w:r>
        <w:t>Wie wird aus einem unscheinbaren Erz ein glänzender Draht, und warum lohnt sich der Umweg über die Schrottsammlung?</w:t>
      </w:r>
    </w:p>
    <w:p>
      <w:pPr>
        <w:pStyle w:val="Heading3"/>
        <w:keepNext/>
        <w:spacing w:after="140"/>
      </w:pPr>
      <w:r>
        <w:t>Inhalte und Schwerpunkte</w:t>
      </w:r>
    </w:p>
    <w:p>
      <w:pPr>
        <w:spacing w:after="140"/>
      </w:pPr>
      <w:r>
        <w:t>IF 4 Metalle und Metallgewinnung</w:t>
      </w:r>
    </w:p>
    <w:p>
      <w:pPr>
        <w:pStyle w:val="ListBullet"/>
        <w:spacing w:after="100"/>
      </w:pPr>
      <w:r>
        <w:t>Metalleigenschaften, edle und unedle Metalle.</w:t>
      </w:r>
    </w:p>
    <w:p>
      <w:pPr>
        <w:pStyle w:val="ListBullet"/>
        <w:spacing w:after="100"/>
      </w:pPr>
      <w:r>
        <w:t>Oxidbildung und Zerlegung von Metalloxiden; Sauerstoffübertragung im Donator-Akzeptor-Modell.</w:t>
      </w:r>
    </w:p>
    <w:p>
      <w:pPr>
        <w:pStyle w:val="ListBullet"/>
        <w:spacing w:after="100"/>
      </w:pPr>
      <w:r>
        <w:t>Wortgleichungen, Verfahren der Metallgewinnung, gesellschaftliche Bedeutung, Metallrecycling und Metallbrände.</w:t>
      </w:r>
    </w:p>
    <w:p>
      <w:pPr>
        <w:pStyle w:val="Heading3"/>
        <w:keepNext/>
        <w:spacing w:after="140"/>
      </w:pPr>
      <w:r>
        <w:t>Lernweg und methodische Gestaltung</w:t>
      </w:r>
    </w:p>
    <w:p>
      <w:pPr>
        <w:pStyle w:val="ListBullet"/>
        <w:spacing w:after="100"/>
      </w:pPr>
      <w:r>
        <w:t>Metalle und ihre Oxide vergleichen; Kupferbrief und ausgewählte Metalloxidationen untersuchen.</w:t>
      </w:r>
    </w:p>
    <w:p>
      <w:pPr>
        <w:pStyle w:val="ListBullet"/>
        <w:spacing w:after="100"/>
      </w:pPr>
      <w:r>
        <w:t>Hypothesen zur Reduktion von Kupferoxid aufstellen, einen geeigneten Reaktionspartner auswählen und die Sauerstoffübertragung modellieren.</w:t>
      </w:r>
    </w:p>
    <w:p>
      <w:pPr>
        <w:pStyle w:val="ListBullet"/>
        <w:spacing w:after="100"/>
      </w:pPr>
      <w:r>
        <w:t>Metallgewinnung und Recycling hinsichtlich Ressourcen und Energie vergleichen; geeignete Löschmittel für Metallbrände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chemische Reaktionen, bei denen Sauerstoff abgegeben wird, als Zerlegung von Oxiden klassifizieren (UF3), </w:t>
      </w:r>
      <w:r>
        <w:t>SI1-4-01</w:t>
      </w:r>
    </w:p>
    <w:p>
      <w:pPr>
        <w:pStyle w:val="ListBullet"/>
        <w:spacing w:after="100"/>
      </w:pPr>
      <w:r>
        <w:t xml:space="preserve">ausgewählte Metalle aufgrund ihrer Reaktionsfähigkeit mit Sauerstoff als edle und unedle Metalle ordnen (UF2, UF3). </w:t>
      </w:r>
      <w:r>
        <w:t>SI1-4-02</w:t>
      </w:r>
    </w:p>
    <w:p>
      <w:pPr>
        <w:pStyle w:val="ListBullet"/>
        <w:spacing w:after="100"/>
      </w:pPr>
      <w:r>
        <w:t xml:space="preserve">Experimente zur Zerlegung von ausgewählten Metalloxiden hypothesengeleitet planen und geeignete Reaktionspartner auswählen (E3, E4), </w:t>
      </w:r>
      <w:r>
        <w:t>SI1-4-03</w:t>
      </w:r>
    </w:p>
    <w:p>
      <w:pPr>
        <w:pStyle w:val="ListBullet"/>
        <w:spacing w:after="100"/>
      </w:pPr>
      <w:r>
        <w:t xml:space="preserve">Sauerstoffübertragungsreaktionen im Sinne des Donator-Akzeptor-Konzeptes modellhaft erklären (E6), </w:t>
      </w:r>
      <w:r>
        <w:t>SI1-4-04</w:t>
      </w:r>
    </w:p>
    <w:p>
      <w:pPr>
        <w:pStyle w:val="ListBullet"/>
        <w:spacing w:after="100"/>
      </w:pPr>
      <w:r>
        <w:t xml:space="preserve">ausgewählte Verfahren zur Herstellung von Metallen erläutern und ihre Bedeutung für die gesellschaftliche Entwicklung beschreiben (E7). </w:t>
      </w:r>
      <w:r>
        <w:t>SI1-4-05</w:t>
      </w:r>
    </w:p>
    <w:p>
      <w:pPr>
        <w:pStyle w:val="ListBullet"/>
        <w:spacing w:after="100"/>
      </w:pPr>
      <w:r>
        <w:t xml:space="preserve">die Bedeutung des Metallrecyclings im Zusammenhang mit Ressourcenschonung und Energieeinsparung beschreiben und auf dieser Basis das eigene Konsum- und Entsorgungsverhalten bewerten (B1, B4, K4), </w:t>
      </w:r>
      <w:r>
        <w:t>SI1-4-06</w:t>
      </w:r>
    </w:p>
    <w:p>
      <w:pPr>
        <w:pStyle w:val="ListBullet"/>
        <w:spacing w:after="100"/>
      </w:pPr>
      <w:r>
        <w:t xml:space="preserve">Maßnahmen zum Löschen von Metallbränden auf der Grundlage der Sauerstoffübertragungsreaktion begründet auswählen (B3). </w:t>
      </w:r>
      <w:r>
        <w:t>SI1-4-07</w:t>
      </w:r>
    </w:p>
    <w:p>
      <w:pPr>
        <w:pStyle w:val="Heading3"/>
        <w:keepNext/>
        <w:spacing w:after="140"/>
      </w:pPr>
      <w:r>
        <w:t>Übergreifende Lernleistungen</w:t>
      </w:r>
    </w:p>
    <w:p>
      <w:pPr>
        <w:pStyle w:val="ListBullet"/>
        <w:spacing w:after="100"/>
      </w:pPr>
      <w:r>
        <w:t xml:space="preserve">Metalle und Oxide ordnen und Alltagsvorstellungen zur Metallgewinnung überprüfen. </w:t>
      </w:r>
      <w:r>
        <w:t>SI1-UF3</w:t>
      </w:r>
    </w:p>
    <w:p>
      <w:pPr>
        <w:pStyle w:val="ListBullet"/>
        <w:spacing w:after="100"/>
      </w:pPr>
      <w:r>
        <w:t xml:space="preserve">Einen geeigneten Reaktionspartner zur Metallgewinnung vorhersagen und die Vermutung begründen. </w:t>
      </w:r>
      <w:r>
        <w:t>SI1-E3</w:t>
      </w:r>
    </w:p>
    <w:p>
      <w:pPr>
        <w:pStyle w:val="ListBullet"/>
        <w:spacing w:after="100"/>
      </w:pPr>
      <w:r>
        <w:t xml:space="preserve">Den Erkenntnisweg vom Metalloxid zur Metallgewinnung nachvollziehen und eine Behauptung prüfen. </w:t>
      </w:r>
      <w:r>
        <w:t>SI1-E7</w:t>
      </w:r>
    </w:p>
    <w:p>
      <w:pPr>
        <w:pStyle w:val="ListBullet"/>
        <w:spacing w:after="100"/>
      </w:pPr>
      <w:r>
        <w:t xml:space="preserve">Eine geeignete Maßnahme zum Löschen eines Metallbrands begründet auswählen. </w:t>
      </w:r>
      <w:r>
        <w:t>SI1-B3</w:t>
      </w:r>
    </w:p>
    <w:p>
      <w:pPr>
        <w:pStyle w:val="ListBullet"/>
        <w:spacing w:after="100"/>
      </w:pPr>
      <w:r>
        <w:t xml:space="preserve">Eine Entscheidung zum Recycling eines Metallprodukts begründen. </w:t>
      </w:r>
      <w:r>
        <w:t>SI1-B4</w:t>
      </w:r>
    </w:p>
    <w:p>
      <w:pPr>
        <w:pStyle w:val="Heading3"/>
        <w:keepNext/>
        <w:spacing w:after="140"/>
      </w:pPr>
      <w:r>
        <w:t>Lernaufgabe und Überprüfung</w:t>
      </w:r>
    </w:p>
    <w:p>
      <w:pPr>
        <w:spacing w:after="140"/>
      </w:pPr>
      <w:r>
        <w:t>Versuchsplanung zur Metallgewinnung, modellhafte Erklärung und begründete Empfehlung zur Rückgewinnung eines Metalls.</w:t>
      </w:r>
    </w:p>
    <w:p>
      <w:bookmarkStart w:id="7006" w:name="uv_08_2"/>
      <w:pPr>
        <w:pStyle w:val="Heading2"/>
        <w:keepNext/>
        <w:spacing w:after="140"/>
      </w:pPr>
      <w:r>
        <w:t>08.2 Chemische Reaktionen in unserer Umwelt</w:t>
      </w:r>
      <w:bookmarkEnd w:id="7006"/>
    </w:p>
    <w:p>
      <w:pPr>
        <w:spacing w:after="140"/>
      </w:pPr>
      <w:r>
        <w:t>Jahrgang 8 · Sekundarstufe I · ca. 10 Unterrichtsstunden zu 45 Minuten</w:t>
      </w:r>
    </w:p>
    <w:p>
      <w:pPr>
        <w:spacing w:after="140"/>
      </w:pPr>
      <w:r>
        <w:rPr>
          <w:b/>
        </w:rPr>
        <w:t xml:space="preserve">Leitfrage </w:t>
      </w:r>
      <w:r>
        <w:t>Eis schmilzt, Eisen rostet, ein Handwärmer wird warm. Wann entsteht wirklich ein neuer Stoff?</w:t>
      </w:r>
    </w:p>
    <w:p>
      <w:pPr>
        <w:pStyle w:val="Heading3"/>
        <w:keepNext/>
        <w:spacing w:after="140"/>
      </w:pPr>
      <w:r>
        <w:t>Inhalte und Schwerpunkte</w:t>
      </w:r>
    </w:p>
    <w:p>
      <w:pPr>
        <w:spacing w:after="140"/>
      </w:pPr>
      <w:r>
        <w:t>IF 2 Chemische Reaktion</w:t>
      </w:r>
    </w:p>
    <w:p>
      <w:pPr>
        <w:pStyle w:val="ListBullet"/>
        <w:spacing w:after="100"/>
      </w:pPr>
      <w:r>
        <w:t>Stoffumwandlung und Abgrenzung zu physikalischen Vorgängen; Wortgleichungen.</w:t>
      </w:r>
    </w:p>
    <w:p>
      <w:pPr>
        <w:pStyle w:val="ListBullet"/>
        <w:spacing w:after="100"/>
      </w:pPr>
      <w:r>
        <w:t>Chemische Energie, Aktivierungsenergie, exotherme und endotherme Vorgänge.</w:t>
      </w:r>
    </w:p>
    <w:p>
      <w:pPr>
        <w:pStyle w:val="ListBullet"/>
        <w:spacing w:after="100"/>
      </w:pPr>
      <w:r>
        <w:t>Massenerhaltung und Reaktionsdeutung im Teilchenmodell als Vernetzung mit IF 3.</w:t>
      </w:r>
    </w:p>
    <w:p>
      <w:pPr>
        <w:pStyle w:val="Heading3"/>
        <w:keepNext/>
        <w:spacing w:after="140"/>
      </w:pPr>
      <w:r>
        <w:t>Lernweg und methodische Gestaltung</w:t>
      </w:r>
    </w:p>
    <w:p>
      <w:pPr>
        <w:pStyle w:val="ListBullet"/>
        <w:spacing w:after="100"/>
      </w:pPr>
      <w:r>
        <w:t>Die bisherigen Reaktionen werden anhand von Stoff- und Energieumwandlungen systematisiert.</w:t>
      </w:r>
    </w:p>
    <w:p>
      <w:pPr>
        <w:pStyle w:val="ListBullet"/>
        <w:spacing w:after="100"/>
      </w:pPr>
      <w:r>
        <w:t>Ausgewählte Reaktionen wie Eisen mit Schwefel und reversible Hydratation untersuchen; Beobachtung und Erklärung trennen.</w:t>
      </w:r>
    </w:p>
    <w:p>
      <w:pPr>
        <w:pStyle w:val="ListBullet"/>
        <w:spacing w:after="100"/>
      </w:pPr>
      <w:r>
        <w:t>Energieverläufe darstellen und Alltagsvorgänge mit Belegen einordnen. Abschließende Diagnose der Kompetenzen aus IF 1 bis 4.</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chemische Reaktionen an der Bildung von neuen Stoffen mit anderen Eigenschaften und in Abgrenzung zu physikalischen Vorgängen identifizieren (UF2, UF3), </w:t>
      </w:r>
      <w:r>
        <w:t>SI1-2-01</w:t>
      </w:r>
    </w:p>
    <w:p>
      <w:pPr>
        <w:pStyle w:val="ListBullet"/>
        <w:spacing w:after="100"/>
      </w:pPr>
      <w:r>
        <w:t xml:space="preserve">chemische Reaktionen in Form von Reaktionsschemata in Worten darstellen (UF1, K1), </w:t>
      </w:r>
      <w:r>
        <w:t>SI1-2-02</w:t>
      </w:r>
    </w:p>
    <w:p>
      <w:pPr>
        <w:pStyle w:val="ListBullet"/>
        <w:spacing w:after="100"/>
      </w:pPr>
      <w:r>
        <w:t xml:space="preserve">bei ausgewählten chemischen Reaktionen die Energieumwandlung der in den Stoffen gespeicherten Energie (chemische Energie) in andere Energieformen begründet angeben (UF1), </w:t>
      </w:r>
      <w:r>
        <w:t>SI1-2-03</w:t>
      </w:r>
    </w:p>
    <w:p>
      <w:pPr>
        <w:pStyle w:val="ListBullet"/>
        <w:spacing w:after="100"/>
      </w:pPr>
      <w:r>
        <w:t xml:space="preserve">bei ausgewählten chemischen Reaktionen die Bedeutung der Aktivierungsenergie zum Auslösen einer Reaktion beschreiben (UF1). </w:t>
      </w:r>
      <w:r>
        <w:t>SI1-2-04</w:t>
      </w:r>
    </w:p>
    <w:p>
      <w:pPr>
        <w:pStyle w:val="ListBullet"/>
        <w:spacing w:after="100"/>
      </w:pPr>
      <w:r>
        <w:t xml:space="preserve">einfache chemische Reaktionen sachgerecht durchführen und auswerten (E4, E5, K1), </w:t>
      </w:r>
      <w:r>
        <w:t>SI1-2-05</w:t>
      </w:r>
    </w:p>
    <w:p>
      <w:pPr>
        <w:pStyle w:val="ListBullet"/>
        <w:spacing w:after="100"/>
      </w:pPr>
      <w:r>
        <w:t xml:space="preserve">chemische Reaktionen anhand von Stoff- und Energieumwandlungen auch im Alltag identifizieren (E2, UF4). </w:t>
      </w:r>
      <w:r>
        <w:t>SI1-2-06</w:t>
      </w:r>
    </w:p>
    <w:p>
      <w:pPr>
        <w:pStyle w:val="ListBullet"/>
        <w:spacing w:after="100"/>
      </w:pPr>
      <w:r>
        <w:t xml:space="preserve">die Bedeutung chemischer Reaktionen in der Lebenswelt begründen (B1, K4). </w:t>
      </w:r>
      <w:r>
        <w:t>SI1-2-07</w:t>
      </w:r>
    </w:p>
    <w:p>
      <w:pPr>
        <w:pStyle w:val="Heading3"/>
        <w:keepNext/>
        <w:spacing w:after="140"/>
      </w:pPr>
      <w:r>
        <w:t>Übergreifende Lernleistungen</w:t>
      </w:r>
    </w:p>
    <w:p>
      <w:pPr>
        <w:pStyle w:val="ListBullet"/>
        <w:spacing w:after="100"/>
      </w:pPr>
      <w:r>
        <w:t xml:space="preserve">Stoff- und Energieumwandlung mit Wortgleichung und Energiedarstellung erklären. </w:t>
      </w:r>
      <w:r>
        <w:t>SI1-UF1</w:t>
      </w:r>
    </w:p>
    <w:p>
      <w:pPr>
        <w:pStyle w:val="ListBullet"/>
        <w:spacing w:after="100"/>
      </w:pPr>
      <w:r>
        <w:t xml:space="preserve">Eine Stoffveränderung begründet als chemische Reaktion einordnen und auf Nachfragen eingehen. </w:t>
      </w:r>
      <w:r>
        <w:t>SI1-K4</w:t>
      </w:r>
    </w:p>
    <w:p>
      <w:pPr>
        <w:pStyle w:val="Heading3"/>
        <w:keepNext/>
        <w:spacing w:after="140"/>
      </w:pPr>
      <w:r>
        <w:t>Lernaufgabe und Überprüfung</w:t>
      </w:r>
    </w:p>
    <w:p>
      <w:pPr>
        <w:spacing w:after="140"/>
      </w:pPr>
      <w:r>
        <w:t>Unbekannte Veränderungen als chemisch oder physikalisch einordnen; Wortgleichung, Teilchenbild und Energiedarstellung zu einer Reaktion erstellen.</w:t>
      </w:r>
    </w:p>
    <w:p>
      <w:bookmarkStart w:id="7007" w:name="uv_08_3"/>
      <w:pPr>
        <w:pStyle w:val="Heading2"/>
        <w:keepNext/>
        <w:spacing w:after="140"/>
      </w:pPr>
      <w:r>
        <w:t>08.3 Atommodelle</w:t>
      </w:r>
      <w:bookmarkEnd w:id="7007"/>
    </w:p>
    <w:p>
      <w:pPr>
        <w:spacing w:after="140"/>
      </w:pPr>
      <w:r>
        <w:t>Jahrgang 8 · Sekundarstufe I · ca. 14 Unterrichtsstunden zu 45 Minuten</w:t>
      </w:r>
    </w:p>
    <w:p>
      <w:pPr>
        <w:spacing w:after="140"/>
      </w:pPr>
      <w:r>
        <w:rPr>
          <w:b/>
        </w:rPr>
        <w:t xml:space="preserve">Leitfrage </w:t>
      </w:r>
      <w:r>
        <w:t>Wie kann man herausfinden, wie ein Atom gebaut ist, wenn man nicht einfach hineinschauen kann?</w:t>
      </w:r>
    </w:p>
    <w:p>
      <w:pPr>
        <w:pStyle w:val="Heading3"/>
        <w:keepNext/>
        <w:spacing w:after="140"/>
      </w:pPr>
      <w:r>
        <w:t>Inhalte und Schwerpunkte</w:t>
      </w:r>
    </w:p>
    <w:p>
      <w:pPr>
        <w:spacing w:after="140"/>
      </w:pPr>
      <w:r>
        <w:t>IF 5 Elemente und ihre Ordnung — Schwerpunkt Atombau</w:t>
      </w:r>
    </w:p>
    <w:p>
      <w:pPr>
        <w:pStyle w:val="ListBullet"/>
        <w:spacing w:after="100"/>
      </w:pPr>
      <w:r>
        <w:t>Daltons Atomvorstellung, Rutherford-Streuversuch, Kern-Hülle-Modell und differenziertes Schalenmodell.</w:t>
      </w:r>
    </w:p>
    <w:p>
      <w:pPr>
        <w:pStyle w:val="ListBullet"/>
        <w:spacing w:after="100"/>
      </w:pPr>
      <w:r>
        <w:t>Protonen, Neutronen, Elektronen, Kernladung, Atommasse und Elektronenkonfiguration.</w:t>
      </w:r>
    </w:p>
    <w:p>
      <w:pPr>
        <w:pStyle w:val="ListBullet"/>
        <w:spacing w:after="100"/>
      </w:pPr>
      <w:r>
        <w:t>Periodensystem als Werkzeug zum Atombau; Hauptgruppen und Außenelektronen als Grundlage der Ionenbildung. Die systematische Untersuchung der Elementfamilien folgt in 09.1.</w:t>
      </w:r>
    </w:p>
    <w:p>
      <w:pPr>
        <w:pStyle w:val="Heading3"/>
        <w:keepNext/>
        <w:spacing w:after="140"/>
      </w:pPr>
      <w:r>
        <w:t>Lernweg und methodische Gestaltung</w:t>
      </w:r>
    </w:p>
    <w:p>
      <w:pPr>
        <w:pStyle w:val="ListBullet"/>
        <w:spacing w:after="100"/>
      </w:pPr>
      <w:r>
        <w:t>Ein Streumodell auswerten und zwischen Befund, Schlussfolgerung und Modellannahme unterscheiden.</w:t>
      </w:r>
    </w:p>
    <w:p>
      <w:pPr>
        <w:pStyle w:val="ListBullet"/>
        <w:spacing w:after="100"/>
      </w:pPr>
      <w:r>
        <w:t>Modelle anhand ihrer Erklärungsmöglichkeiten und Grenzen vergleichen.</w:t>
      </w:r>
    </w:p>
    <w:p>
      <w:pPr>
        <w:pStyle w:val="ListBullet"/>
        <w:spacing w:after="100"/>
      </w:pPr>
      <w:r>
        <w:t>Für ausgewählte Hauptgruppenelemente den Atombau aus dem Periodensystem erschließen; Elektronenabgabe und -aufnahme an wenigen Beispielen als Brücke zu Mineralien vorbereiten.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aus dem Periodensystem der Elemente wesentliche Informationen zum Atombau der Hauptgruppenelemente (Elektronenkonfiguration, Atommasse) herleiten (UF3, UF4, K3). </w:t>
      </w:r>
      <w:r>
        <w:t>SI2-5-03</w:t>
      </w:r>
    </w:p>
    <w:p>
      <w:pPr>
        <w:pStyle w:val="ListBullet"/>
        <w:spacing w:after="100"/>
      </w:pPr>
      <w:r>
        <w:t xml:space="preserve">die Entwicklung eines differenzierten Kern-Hülle-Modells auf der Grundlage von Experimenten, Beobachtungen und Schlussfolgerungen beschreiben (E2, E6, E7), </w:t>
      </w:r>
      <w:r>
        <w:t>SI2-5-05</w:t>
      </w:r>
    </w:p>
    <w:p>
      <w:pPr>
        <w:pStyle w:val="ListBullet"/>
        <w:spacing w:after="100"/>
      </w:pPr>
      <w:r>
        <w:t xml:space="preserve">die Aussagekraft verschiedener Kern-Hülle-Modelle beschreiben (E6, E7). </w:t>
      </w:r>
      <w:r>
        <w:t>SI2-5-06</w:t>
      </w:r>
    </w:p>
    <w:p>
      <w:pPr>
        <w:pStyle w:val="Heading3"/>
        <w:keepNext/>
        <w:spacing w:after="140"/>
      </w:pPr>
      <w:r>
        <w:t>Übergreifende Lernleistungen</w:t>
      </w:r>
    </w:p>
    <w:p>
      <w:pPr>
        <w:pStyle w:val="ListBullet"/>
        <w:spacing w:after="100"/>
      </w:pPr>
      <w:r>
        <w:t xml:space="preserve">Die Weiterentwicklung des Atommodells anhand experimenteller Befunde erklären. </w:t>
      </w:r>
      <w:r>
        <w:t>SI2-E7</w:t>
      </w:r>
    </w:p>
    <w:p>
      <w:pPr>
        <w:pStyle w:val="Heading3"/>
        <w:keepNext/>
        <w:spacing w:after="140"/>
      </w:pPr>
      <w:r>
        <w:t>Lernaufgabe und Überprüfung</w:t>
      </w:r>
    </w:p>
    <w:p>
      <w:pPr>
        <w:spacing w:after="140"/>
      </w:pPr>
      <w:r>
        <w:t>Modellvergleich mit experimentellen Belegen; Atombau aus PSE-Daten ableiten und eine begründete Modellzeichnung erstellen.</w:t>
      </w:r>
    </w:p>
    <w:p>
      <w:bookmarkStart w:id="7008" w:name="uv_08_4"/>
      <w:pPr>
        <w:pStyle w:val="Heading2"/>
        <w:keepNext/>
        <w:spacing w:after="140"/>
      </w:pPr>
      <w:r>
        <w:t>08.4 Die Welt der Mineralien</w:t>
      </w:r>
      <w:bookmarkEnd w:id="7008"/>
    </w:p>
    <w:p>
      <w:pPr>
        <w:spacing w:after="140"/>
      </w:pPr>
      <w:r>
        <w:t>Jahrgang 8 · Sekundarstufe I · ca. 18 Unterrichtsstunden zu 45 Minuten</w:t>
      </w:r>
    </w:p>
    <w:p>
      <w:pPr>
        <w:spacing w:after="140"/>
      </w:pPr>
      <w:r>
        <w:rPr>
          <w:b/>
        </w:rPr>
        <w:t xml:space="preserve">Leitfrage </w:t>
      </w:r>
      <w:r>
        <w:t>Ein Salzkristall leitet keinen Strom, Salzwasser schon. Was wird beim Lösen beweglich?</w:t>
      </w:r>
    </w:p>
    <w:p>
      <w:pPr>
        <w:pStyle w:val="Heading3"/>
        <w:keepNext/>
        <w:spacing w:after="140"/>
      </w:pPr>
      <w:r>
        <w:t>Inhalte und Schwerpunkte</w:t>
      </w:r>
    </w:p>
    <w:p>
      <w:pPr>
        <w:spacing w:after="140"/>
      </w:pPr>
      <w:r>
        <w:t>IF 6 Salze und Ionen</w:t>
      </w:r>
    </w:p>
    <w:p>
      <w:pPr>
        <w:pStyle w:val="ListBullet"/>
        <w:spacing w:after="100"/>
      </w:pPr>
      <w:r>
        <w:t>Ionenbildung, Kationen, Anionen, Ionenbindung und Ionengitter.</w:t>
      </w:r>
    </w:p>
    <w:p>
      <w:pPr>
        <w:pStyle w:val="ListBullet"/>
        <w:spacing w:after="100"/>
      </w:pPr>
      <w:r>
        <w:t>Kristalle, Sprödigkeit und Leitfähigkeit von Salzlösungen und Salzschmelzen.</w:t>
      </w:r>
    </w:p>
    <w:p>
      <w:pPr>
        <w:pStyle w:val="ListBullet"/>
        <w:spacing w:after="100"/>
      </w:pPr>
      <w:r>
        <w:t>Gehaltsangaben; konstante Massenverhältnisse, Atomanzahlverhältnis, Verhältnisformeln und Reaktionsgleichungen in Ionenschreibweise.</w:t>
      </w:r>
    </w:p>
    <w:p>
      <w:pPr>
        <w:pStyle w:val="ListBullet"/>
        <w:spacing w:after="100"/>
      </w:pPr>
      <w:r>
        <w:t>Energetische Betrachtung der Salzbildung; Umwelt- und Gesundheitsaspekte der Salznutzung.</w:t>
      </w:r>
    </w:p>
    <w:p>
      <w:pPr>
        <w:pStyle w:val="Heading3"/>
        <w:keepNext/>
        <w:spacing w:after="140"/>
      </w:pPr>
      <w:r>
        <w:t>Lernweg und methodische Gestaltung</w:t>
      </w:r>
    </w:p>
    <w:p>
      <w:pPr>
        <w:pStyle w:val="ListBullet"/>
        <w:spacing w:after="100"/>
      </w:pPr>
      <w:r>
        <w:t>Mineralien und Salze untersuchen; Leitfähigkeit und Kristalleigenschaften durch den Teilchenaufbau erklären.</w:t>
      </w:r>
    </w:p>
    <w:p>
      <w:pPr>
        <w:pStyle w:val="ListBullet"/>
        <w:spacing w:after="100"/>
      </w:pPr>
      <w:r>
        <w:t>Die Salzbildung aus Atomen mithilfe der in 08.3 erarbeiteten Elektronenkonfiguration darstellen und energetisch deuten.</w:t>
      </w:r>
    </w:p>
    <w:p>
      <w:pPr>
        <w:pStyle w:val="ListBullet"/>
        <w:spacing w:after="100"/>
      </w:pPr>
      <w:r>
        <w:t>Salzgehalt durch Eindampfen bestimmen; aus gegebenen oder experimentellen Massenverhältnissen eine Verhältnisformel herleiten.</w:t>
      </w:r>
    </w:p>
    <w:p>
      <w:pPr>
        <w:pStyle w:val="ListBullet"/>
        <w:spacing w:after="100"/>
      </w:pPr>
      <w:r>
        <w:t>Streusalz oder Salz in Lebensmitteln anhand fachlicher Daten beurteilen.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ausgewählte Eigenschaften von Salzen mit ihrem Aufbau aus Ionen und der Ionenbindung erläutern (UF1), </w:t>
      </w:r>
      <w:r>
        <w:t>SI2-6-01</w:t>
      </w:r>
    </w:p>
    <w:p>
      <w:pPr>
        <w:pStyle w:val="ListBullet"/>
        <w:spacing w:after="100"/>
      </w:pPr>
      <w:r>
        <w:t xml:space="preserve">an einem Beispiel die Salzbildung unter Einbezug energetischer Betrachtungen auch mit Angabe einer Reaktionsgleichung in Ionenschreibweise erläutern (UF2). </w:t>
      </w:r>
      <w:r>
        <w:t>SI2-6-02</w:t>
      </w:r>
    </w:p>
    <w:p>
      <w:pPr>
        <w:pStyle w:val="ListBullet"/>
        <w:spacing w:after="100"/>
      </w:pPr>
      <w:r>
        <w:t xml:space="preserve">den Gehalt von Salzen in einer Lösung durch Eindampfen ermitteln (E4), </w:t>
      </w:r>
      <w:r>
        <w:t>SI2-6-03</w:t>
      </w:r>
    </w:p>
    <w:p>
      <w:pPr>
        <w:pStyle w:val="ListBullet"/>
        <w:spacing w:after="100"/>
      </w:pPr>
      <w:r>
        <w:t xml:space="preserve">an einem Beispiel das Gesetz der konstanten Massenverhältnisse erklären und eine chemische Verhältnisformel herleiten (E6, E7, K1). </w:t>
      </w:r>
      <w:r>
        <w:t>SI2-6-04</w:t>
      </w:r>
    </w:p>
    <w:p>
      <w:pPr>
        <w:pStyle w:val="ListBullet"/>
        <w:spacing w:after="100"/>
      </w:pPr>
      <w:r>
        <w:t xml:space="preserve">unter Umwelt- und Gesundheitsaspekten die Verwendung von Salzen im Alltag reflektieren (B1). </w:t>
      </w:r>
      <w:r>
        <w:t>SI2-6-05</w:t>
      </w:r>
    </w:p>
    <w:p>
      <w:pPr>
        <w:pStyle w:val="Heading3"/>
        <w:keepNext/>
        <w:spacing w:after="140"/>
      </w:pPr>
      <w:r>
        <w:t>Übergreifende Lernleistungen</w:t>
      </w:r>
    </w:p>
    <w:p>
      <w:pPr>
        <w:pStyle w:val="ListBullet"/>
        <w:spacing w:after="100"/>
      </w:pPr>
      <w:r>
        <w:t xml:space="preserve">Salzeigenschaften mit Ionenbindung und Teilchenaufbau strukturiert erklären. </w:t>
      </w:r>
      <w:r>
        <w:t>SI2-UF1</w:t>
      </w:r>
    </w:p>
    <w:p>
      <w:pPr>
        <w:pStyle w:val="ListBullet"/>
        <w:spacing w:after="100"/>
      </w:pPr>
      <w:r>
        <w:t xml:space="preserve">Messdaten zum Salzgehalt analog und digital mit Einheiten dokumentieren. </w:t>
      </w:r>
      <w:r>
        <w:t>SI2-K1</w:t>
      </w:r>
    </w:p>
    <w:p>
      <w:pPr>
        <w:pStyle w:val="Heading3"/>
        <w:keepNext/>
        <w:spacing w:after="140"/>
      </w:pPr>
      <w:r>
        <w:t>Lernaufgabe und Überprüfung</w:t>
      </w:r>
    </w:p>
    <w:p>
      <w:pPr>
        <w:spacing w:after="140"/>
      </w:pPr>
      <w:r>
        <w:t>Untersuchungsbericht zu einer Salzlösung, Herleitung einer Verhältnisformel und begründete Bewertung eines Salzeinsatzes.</w:t>
      </w:r>
    </w:p>
    <w:p>
      <w:bookmarkStart w:id="7009" w:name="uv_09_1"/>
      <w:pPr>
        <w:pStyle w:val="Heading2"/>
        <w:keepNext/>
        <w:spacing w:after="140"/>
      </w:pPr>
      <w:r>
        <w:t>09.1 Elementfamilien</w:t>
      </w:r>
      <w:bookmarkEnd w:id="7009"/>
    </w:p>
    <w:p>
      <w:pPr>
        <w:spacing w:after="140"/>
      </w:pPr>
      <w:r>
        <w:t>Jahrgang 9 · Sekundarstufe I · ca. 20 Unterrichtsstunden zu 45 Minuten</w:t>
      </w:r>
    </w:p>
    <w:p>
      <w:pPr>
        <w:spacing w:after="140"/>
      </w:pPr>
      <w:r>
        <w:rPr>
          <w:b/>
        </w:rPr>
        <w:t xml:space="preserve">Leitfrage </w:t>
      </w:r>
      <w:r>
        <w:t>Warum reagiert Natrium heftig mit Wasser, während ein Edelgas scheinbar gar nichts tut?</w:t>
      </w:r>
    </w:p>
    <w:p>
      <w:pPr>
        <w:pStyle w:val="Heading3"/>
        <w:keepNext/>
        <w:spacing w:after="140"/>
      </w:pPr>
      <w:r>
        <w:t>Inhalte und Schwerpunkte</w:t>
      </w:r>
    </w:p>
    <w:p>
      <w:pPr>
        <w:spacing w:after="140"/>
      </w:pPr>
      <w:r>
        <w:t>IF 5 Elemente und ihre Ordnung — Schwerpunkt Elementfamilien</w:t>
      </w:r>
    </w:p>
    <w:p>
      <w:pPr>
        <w:pStyle w:val="ListBullet"/>
        <w:spacing w:after="100"/>
      </w:pPr>
      <w:r>
        <w:t>Alkalimetalle, Halogene und Edelgase: Eigenschaften, Vorkommen und Verwendung.</w:t>
      </w:r>
    </w:p>
    <w:p>
      <w:pPr>
        <w:pStyle w:val="ListBullet"/>
        <w:spacing w:after="100"/>
      </w:pPr>
      <w:r>
        <w:t>Ordnung des Periodensystems, Wiederholung des differenzierten Atombaus; Eigenschaftsvorhersagen aus der Stellung im PSE.</w:t>
      </w:r>
    </w:p>
    <w:p>
      <w:pPr>
        <w:pStyle w:val="ListBullet"/>
        <w:spacing w:after="100"/>
      </w:pPr>
      <w:r>
        <w:t>Begrenzte Verfügbarkeit von Elementen und ressourcenschonendes Konsumverhalten.</w:t>
      </w:r>
    </w:p>
    <w:p>
      <w:pPr>
        <w:pStyle w:val="Heading3"/>
        <w:keepNext/>
        <w:spacing w:after="140"/>
      </w:pPr>
      <w:r>
        <w:t>Lernweg und methodische Gestaltung</w:t>
      </w:r>
    </w:p>
    <w:p>
      <w:pPr>
        <w:pStyle w:val="ListBullet"/>
        <w:spacing w:after="100"/>
      </w:pPr>
      <w:r>
        <w:t>Eigenschaftsdaten und geeignete Demonstrationsversuche vergleichen, einschließlich charakteristischer Flammenfärbungen.</w:t>
      </w:r>
    </w:p>
    <w:p>
      <w:pPr>
        <w:pStyle w:val="ListBullet"/>
        <w:spacing w:after="100"/>
      </w:pPr>
      <w:r>
        <w:t>Elemente begründet Familien zuordnen und die Eigenschaften unbekannter Vertreter vorhersagen; Vorhersagen anhand von Daten überprüfen.</w:t>
      </w:r>
    </w:p>
    <w:p>
      <w:pPr>
        <w:pStyle w:val="ListBullet"/>
        <w:spacing w:after="100"/>
      </w:pPr>
      <w:r>
        <w:t>Den Unterschied zwischen elementarem Natrium bzw. Chlor und ihren Ionen in Kochsalz erklären.</w:t>
      </w:r>
    </w:p>
    <w:p>
      <w:pPr>
        <w:pStyle w:val="ListBullet"/>
        <w:spacing w:after="100"/>
      </w:pPr>
      <w:r>
        <w:t>Für ein knappes Element in Alltagsgeräten Handlungsoptionen zu Nutzung, Ersatz und Recycling entwickeln.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Vorkommen und Nutzen ausgewählter chemischer Elemente und ihrer Verbindungen in Alltag und Umwelt beschreiben (UF1), </w:t>
      </w:r>
      <w:r>
        <w:t>SI2-5-01</w:t>
      </w:r>
    </w:p>
    <w:p>
      <w:pPr>
        <w:pStyle w:val="ListBullet"/>
        <w:spacing w:after="100"/>
      </w:pPr>
      <w:r>
        <w:t xml:space="preserve">chemische Elemente anhand ihrer charakteristischen physikalischen und chemischen Eigenschaften den Elementfamilien zuordnen (UF3), </w:t>
      </w:r>
      <w:r>
        <w:t>SI2-5-02</w:t>
      </w:r>
    </w:p>
    <w:p>
      <w:pPr>
        <w:pStyle w:val="ListBullet"/>
        <w:spacing w:after="100"/>
      </w:pPr>
      <w:r>
        <w:t xml:space="preserve">aus dem Periodensystem der Elemente wesentliche Informationen zum Atombau der Hauptgruppenelemente (Elektronenkonfiguration, Atommasse) herleiten (UF3, UF4, K3). </w:t>
      </w:r>
      <w:r>
        <w:t>SI2-5-03</w:t>
      </w:r>
    </w:p>
    <w:p>
      <w:pPr>
        <w:pStyle w:val="ListBullet"/>
        <w:spacing w:after="100"/>
      </w:pPr>
      <w:r>
        <w:t xml:space="preserve">physikalische und chemische Eigenschaften von Alkalimetallen, Halogenen und Edelgasen mithilfe ihrer Stellung im Periodensystem begründet vorhersagen (E3), </w:t>
      </w:r>
      <w:r>
        <w:t>SI2-5-04</w:t>
      </w:r>
    </w:p>
    <w:p>
      <w:pPr>
        <w:pStyle w:val="ListBullet"/>
        <w:spacing w:after="100"/>
      </w:pPr>
      <w:r>
        <w:t xml:space="preserve">vor dem Hintergrund der begrenzten Verfügbarkeit eines chemischen Elements bzw. seiner Verbindungen Handlungsoptionen für ein ressourcenschonendes Konsumverhalten entwickeln (B3). </w:t>
      </w:r>
      <w:r>
        <w:t>SI2-5-07</w:t>
      </w:r>
    </w:p>
    <w:p>
      <w:pPr>
        <w:pStyle w:val="Heading3"/>
        <w:keepNext/>
        <w:spacing w:after="140"/>
      </w:pPr>
      <w:r>
        <w:t>Übergreifende Lernleistungen</w:t>
      </w:r>
    </w:p>
    <w:p>
      <w:pPr>
        <w:pStyle w:val="ListBullet"/>
        <w:spacing w:after="100"/>
      </w:pPr>
      <w:r>
        <w:t xml:space="preserve">Elemente systematisch Elementfamilien und dem Periodensystem zuordnen. </w:t>
      </w:r>
      <w:r>
        <w:t>SI2-UF3</w:t>
      </w:r>
    </w:p>
    <w:p>
      <w:pPr>
        <w:pStyle w:val="Heading3"/>
        <w:keepNext/>
        <w:spacing w:after="140"/>
      </w:pPr>
      <w:r>
        <w:t>Lernaufgabe und Überprüfung</w:t>
      </w:r>
    </w:p>
    <w:p>
      <w:pPr>
        <w:spacing w:after="140"/>
      </w:pPr>
      <w:r>
        <w:t>Ein fehlendes Element in einer Datensammlung einordnen, die Vorhersage mit dem Atombau begründen und eine Rohstoffentscheidung abwägen.</w:t>
      </w:r>
    </w:p>
    <w:p>
      <w:bookmarkStart w:id="7010" w:name="uv_09_2"/>
      <w:pPr>
        <w:pStyle w:val="Heading2"/>
        <w:keepNext/>
        <w:spacing w:after="140"/>
      </w:pPr>
      <w:r>
        <w:t>09.2 Die Batterie und chemische Energiespeicherung</w:t>
      </w:r>
      <w:bookmarkEnd w:id="7010"/>
    </w:p>
    <w:p>
      <w:pPr>
        <w:spacing w:after="140"/>
      </w:pPr>
      <w:r>
        <w:t>Jahrgang 9 · Sekundarstufe I · ca. 20 Unterrichtsstunden zu 45 Minuten</w:t>
      </w:r>
    </w:p>
    <w:p>
      <w:pPr>
        <w:spacing w:after="140"/>
      </w:pPr>
      <w:r>
        <w:rPr>
          <w:b/>
        </w:rPr>
        <w:t xml:space="preserve">Leitfrage </w:t>
      </w:r>
      <w:r>
        <w:t>Was muss zwischen zwei Metallen passieren, damit eine Lampe leuchtet?</w:t>
      </w:r>
    </w:p>
    <w:p>
      <w:pPr>
        <w:pStyle w:val="Heading3"/>
        <w:keepNext/>
        <w:spacing w:after="140"/>
      </w:pPr>
      <w:r>
        <w:t>Inhalte und Schwerpunkte</w:t>
      </w:r>
    </w:p>
    <w:p>
      <w:pPr>
        <w:spacing w:after="140"/>
      </w:pPr>
      <w:r>
        <w:t>IF7: Chemische Reaktionen durch Elektronenübertragung</w:t>
      </w:r>
    </w:p>
    <w:p>
      <w:pPr>
        <w:pStyle w:val="ListBullet"/>
        <w:spacing w:after="100"/>
      </w:pPr>
      <w:r>
        <w:t>Wie funktioniert eine einfache Batterie und welche chemischen Reaktionen laufen dabei ab?</w:t>
      </w:r>
    </w:p>
    <w:p>
      <w:pPr>
        <w:pStyle w:val="ListBullet"/>
        <w:spacing w:after="100"/>
      </w:pPr>
      <w:r>
        <w:t>Wie kann elektrische Energie gespeichert werden, Elektrolyse</w:t>
      </w:r>
    </w:p>
    <w:p>
      <w:pPr>
        <w:pStyle w:val="Heading3"/>
        <w:keepNext/>
        <w:spacing w:after="140"/>
      </w:pPr>
      <w:r>
        <w:t>Lernweg und methodische Gestaltung</w:t>
      </w:r>
    </w:p>
    <w:p>
      <w:pPr>
        <w:pStyle w:val="ListBullet"/>
        <w:spacing w:after="100"/>
      </w:pPr>
      <w:r>
        <w:t>Experimente:</w:t>
      </w:r>
    </w:p>
    <w:p>
      <w:pPr>
        <w:pStyle w:val="ListBullet"/>
        <w:spacing w:after="100"/>
      </w:pPr>
      <w:r>
        <w:t>Zitronenbatterie</w:t>
      </w:r>
    </w:p>
    <w:p>
      <w:pPr>
        <w:pStyle w:val="ListBullet"/>
        <w:spacing w:after="100"/>
      </w:pPr>
      <w:r>
        <w:t>Daniell Element</w:t>
      </w:r>
    </w:p>
    <w:p>
      <w:pPr>
        <w:pStyle w:val="ListBullet"/>
        <w:spacing w:after="100"/>
      </w:pPr>
      <w:r>
        <w:t>Elektrolyse von Wasser</w:t>
      </w:r>
    </w:p>
    <w:p>
      <w:pPr>
        <w:pStyle w:val="ListBullet"/>
        <w:spacing w:after="100"/>
      </w:pPr>
      <w:r>
        <w:t>Reaktionen zwischen Metallatomen und Metallionen als Elektronenübertragungs-reaktionen deuten und diese auch mithilfe digitaler Animationen und Teilgleichungen erläutern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Abgabe von Elektronen als Oxidation einordnen (UF3), </w:t>
      </w:r>
      <w:r>
        <w:t>SI2-7-01</w:t>
      </w:r>
    </w:p>
    <w:p>
      <w:pPr>
        <w:pStyle w:val="ListBullet"/>
        <w:spacing w:after="100"/>
      </w:pPr>
      <w:r>
        <w:t xml:space="preserve">die Aufnahme von Elektronen als Reduktion einordnen (UF3), </w:t>
      </w:r>
      <w:r>
        <w:t>SI2-7-02</w:t>
      </w:r>
    </w:p>
    <w:p>
      <w:pPr>
        <w:pStyle w:val="ListBullet"/>
        <w:spacing w:after="100"/>
      </w:pPr>
      <w:r>
        <w:t xml:space="preserve">Reaktionen zwischen Metallatomen und Metallionen als Elektronenübertragungsreaktionen deuten und diese auch mithilfe digitaler Animationen und Teilgleichungen erläutern (UF1), </w:t>
      </w:r>
      <w:r>
        <w:t>SI2-7-03</w:t>
      </w:r>
    </w:p>
    <w:p>
      <w:pPr>
        <w:pStyle w:val="ListBullet"/>
        <w:spacing w:after="100"/>
      </w:pPr>
      <w:r>
        <w:t xml:space="preserve">die chemischen Prozesse eines galvanischen Elements und einer Elektrolyse unter dem Aspekt der Umwandlung in Stoffen gespeicherter Energie in elektrische Energie und umgekehrt erläutern (UF2, UF4), </w:t>
      </w:r>
      <w:r>
        <w:t>SI2-7-04</w:t>
      </w:r>
    </w:p>
    <w:p>
      <w:pPr>
        <w:pStyle w:val="ListBullet"/>
        <w:spacing w:after="100"/>
      </w:pPr>
      <w:r>
        <w:t xml:space="preserve">den grundlegenden Aufbau und die Funktionsweise einer Batterie, eines Akkumulators und einer Brennstoffzelle beschreiben (UF1). </w:t>
      </w:r>
      <w:r>
        <w:t>SI2-7-05</w:t>
      </w:r>
    </w:p>
    <w:p>
      <w:pPr>
        <w:pStyle w:val="ListBullet"/>
        <w:spacing w:after="100"/>
      </w:pPr>
      <w:r>
        <w:t xml:space="preserve">Experimente planen, die eine Einordnung von Metallionen hinsichtlich ihrer Fähigkeit zur Elektronenaufnahme erlauben und diese sachgerecht durchführen (E3, E4), </w:t>
      </w:r>
      <w:r>
        <w:t>SI2-7-06</w:t>
      </w:r>
    </w:p>
    <w:p>
      <w:pPr>
        <w:pStyle w:val="ListBullet"/>
        <w:spacing w:after="100"/>
      </w:pPr>
      <w:r>
        <w:t xml:space="preserve">Elektronenübertragungsreaktionen im Sinne des Donator-Akzeptor-Prinzips modellhaft erklären (E6). </w:t>
      </w:r>
      <w:r>
        <w:t>SI2-7-07</w:t>
      </w:r>
    </w:p>
    <w:p>
      <w:pPr>
        <w:pStyle w:val="ListBullet"/>
        <w:spacing w:after="100"/>
      </w:pPr>
      <w:r>
        <w:t xml:space="preserve">Kriterien für den Gebrauch unterschiedlicher elektrochemischer Energiequellen im Alltag reflektieren (B2, B3, K2). </w:t>
      </w:r>
      <w:r>
        <w:t>SI2-7-08</w:t>
      </w:r>
    </w:p>
    <w:p>
      <w:pPr>
        <w:pStyle w:val="Heading3"/>
        <w:keepNext/>
        <w:spacing w:after="140"/>
      </w:pPr>
      <w:r>
        <w:t>Übergreifende Lernleistungen</w:t>
      </w:r>
    </w:p>
    <w:p>
      <w:pPr>
        <w:pStyle w:val="ListBullet"/>
        <w:spacing w:after="100"/>
      </w:pPr>
      <w:r>
        <w:t xml:space="preserve">Elektronenübertragung und Energieumwandlung mit physikalischen Stromkreisvorstellungen verbinden. </w:t>
      </w:r>
      <w:r>
        <w:t>SI2-UF4</w:t>
      </w:r>
    </w:p>
    <w:p>
      <w:pPr>
        <w:pStyle w:val="ListBullet"/>
        <w:spacing w:after="100"/>
      </w:pPr>
      <w:r>
        <w:t xml:space="preserve">Eine prüfbare Hypothese zur Elektronenaufnahme verschiedener Metallionen formulieren. </w:t>
      </w:r>
      <w:r>
        <w:t>SI2-E3</w:t>
      </w:r>
    </w:p>
    <w:p>
      <w:pPr>
        <w:pStyle w:val="Heading3"/>
        <w:keepNext/>
        <w:spacing w:after="140"/>
      </w:pPr>
      <w:r>
        <w:t>Lernaufgabe und Überprüfung</w:t>
      </w:r>
    </w:p>
    <w:p>
      <w:pPr>
        <w:spacing w:after="140"/>
      </w:pPr>
      <w:r>
        <w:t>Eine Versuchsreihe zur Elektronenaufnahme von Metallionen planen und auswerten. Eine digitale Animation mit Teilgleichungen erläutern; die Wahl eines Energiespeichers anhand offengelegter Kriterien begründen.</w:t>
      </w:r>
    </w:p>
    <w:p>
      <w:bookmarkStart w:id="7011" w:name="uv_09_3"/>
      <w:pPr>
        <w:pStyle w:val="Heading2"/>
        <w:keepNext/>
        <w:spacing w:after="140"/>
      </w:pPr>
      <w:r>
        <w:t>09.3 Wasser als besonderer Stoff und Lösemittel</w:t>
      </w:r>
      <w:bookmarkEnd w:id="7011"/>
    </w:p>
    <w:p>
      <w:pPr>
        <w:spacing w:after="140"/>
      </w:pPr>
      <w:r>
        <w:t>Jahrgang 9 · Sekundarstufe I · ca. 20 Unterrichtsstunden zu 45 Minuten</w:t>
      </w:r>
    </w:p>
    <w:p>
      <w:pPr>
        <w:spacing w:after="140"/>
      </w:pPr>
      <w:r>
        <w:rPr>
          <w:b/>
        </w:rPr>
        <w:t xml:space="preserve">Leitfrage </w:t>
      </w:r>
      <w:r>
        <w:t>Warum schwimmt Eis, und warum kann Wasser einen Salzstein verschwinden lassen?</w:t>
      </w:r>
    </w:p>
    <w:p>
      <w:pPr>
        <w:pStyle w:val="Heading3"/>
        <w:keepNext/>
        <w:spacing w:after="140"/>
      </w:pPr>
      <w:r>
        <w:t>Inhalte und Schwerpunkte</w:t>
      </w:r>
    </w:p>
    <w:p>
      <w:pPr>
        <w:spacing w:after="140"/>
      </w:pPr>
      <w:r>
        <w:t>IF8: Molekülverbindungen</w:t>
      </w:r>
    </w:p>
    <w:p>
      <w:pPr>
        <w:pStyle w:val="ListBullet"/>
        <w:spacing w:after="100"/>
      </w:pPr>
      <w:r>
        <w:t>Wie sind Moleküle aufgebaut (Lewis Schreibweise).</w:t>
      </w:r>
    </w:p>
    <w:p>
      <w:pPr>
        <w:pStyle w:val="ListBullet"/>
        <w:spacing w:after="100"/>
      </w:pPr>
      <w:r>
        <w:t>Wieso lässt sich ein Wasserstrahl von einem Kunststoffstab ablenken?</w:t>
      </w:r>
    </w:p>
    <w:p>
      <w:pPr>
        <w:pStyle w:val="ListBullet"/>
        <w:spacing w:after="100"/>
      </w:pPr>
      <w:r>
        <w:t>Wie lässt sich die Anomalie des Wassers erklären?</w:t>
      </w:r>
    </w:p>
    <w:p>
      <w:pPr>
        <w:pStyle w:val="Heading3"/>
        <w:keepNext/>
        <w:spacing w:after="140"/>
      </w:pPr>
      <w:r>
        <w:t>Lernweg und methodische Gestaltung</w:t>
      </w:r>
    </w:p>
    <w:p>
      <w:pPr>
        <w:pStyle w:val="ListBullet"/>
        <w:spacing w:after="100"/>
      </w:pPr>
      <w:r>
        <w:t>Experiment:</w:t>
      </w:r>
    </w:p>
    <w:p>
      <w:pPr>
        <w:pStyle w:val="ListBullet"/>
        <w:spacing w:after="100"/>
      </w:pPr>
      <w:r>
        <w:t>Aufgeladener Kunststoffstab wird an einen Wasserstrahl gehalten</w:t>
      </w:r>
    </w:p>
    <w:p>
      <w:pPr>
        <w:pStyle w:val="ListBullet"/>
        <w:spacing w:after="100"/>
      </w:pPr>
      <w:r>
        <w:t>Hofmannscher Zersetzungsapparat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an ausgewählten Beispielen die Elektronenpaarbindung erläutern (UF1), </w:t>
      </w:r>
      <w:r>
        <w:t>SI2-8-01</w:t>
      </w:r>
    </w:p>
    <w:p>
      <w:pPr>
        <w:pStyle w:val="ListBullet"/>
        <w:spacing w:after="100"/>
      </w:pPr>
      <w:r>
        <w:t xml:space="preserve">mithilfe der Lewis-Schreibweise den Aufbau einfacher Moleküle beschreiben (UF1), </w:t>
      </w:r>
      <w:r>
        <w:t>SI2-8-02</w:t>
      </w:r>
    </w:p>
    <w:p>
      <w:pPr>
        <w:pStyle w:val="ListBullet"/>
        <w:spacing w:after="100"/>
      </w:pPr>
      <w:r>
        <w:t xml:space="preserve">die räumliche Struktur von Molekülen mit dem Elektronenpaarabstoßungsmodell veranschaulichen (E6, K1), </w:t>
      </w:r>
      <w:r>
        <w:t>SI2-8-04</w:t>
      </w:r>
    </w:p>
    <w:p>
      <w:pPr>
        <w:pStyle w:val="ListBullet"/>
        <w:spacing w:after="100"/>
      </w:pPr>
      <w:r>
        <w:t xml:space="preserve">die Temperaturänderung beim Lösen von Salzen in Wasser erläutern (E1, E2, E6), </w:t>
      </w:r>
      <w:r>
        <w:t>SI2-8-05</w:t>
      </w:r>
    </w:p>
    <w:p>
      <w:pPr>
        <w:pStyle w:val="ListBullet"/>
        <w:spacing w:after="100"/>
      </w:pPr>
      <w:r>
        <w:t xml:space="preserve">typische Eigenschaften von Wasser mithilfe des Dipol-Charakters der Wassermoleküle und der Ausbildung von Wasserstoffbrücken zwischen den Molekülen erläutern (E2, E6), </w:t>
      </w:r>
      <w:r>
        <w:t>SI2-8-06</w:t>
      </w:r>
    </w:p>
    <w:p>
      <w:pPr>
        <w:pStyle w:val="ListBullet"/>
        <w:spacing w:after="100"/>
      </w:pPr>
      <w:r>
        <w:t xml:space="preserve">unterschiedliche Darstellungen von Modellen kleiner Moleküle auch mithilfe einer Software vergleichend gegenüberstellen (B1, K1, K3). </w:t>
      </w:r>
      <w:r>
        <w:t>SI2-8-09</w:t>
      </w:r>
    </w:p>
    <w:p>
      <w:pPr>
        <w:pStyle w:val="Heading3"/>
        <w:keepNext/>
        <w:spacing w:after="140"/>
      </w:pPr>
      <w:r>
        <w:t>Übergreifende Lernleistungen</w:t>
      </w:r>
    </w:p>
    <w:p>
      <w:pPr>
        <w:pStyle w:val="ListBullet"/>
        <w:spacing w:after="100"/>
      </w:pPr>
      <w:r>
        <w:t xml:space="preserve">Die Ablenkung des Wasserstrahls beschreiben und von der Erklärung getrennt notieren. </w:t>
      </w:r>
      <w:r>
        <w:t>SI2-E2</w:t>
      </w:r>
    </w:p>
    <w:p>
      <w:pPr>
        <w:pStyle w:val="ListBullet"/>
        <w:spacing w:after="100"/>
      </w:pPr>
      <w:r>
        <w:t xml:space="preserve">Wasser mit Lewis- und räumlichem Modell erklären und deren Grenzen vergleichen. </w:t>
      </w:r>
      <w:r>
        <w:t>SI2-E6</w:t>
      </w:r>
    </w:p>
    <w:p>
      <w:pPr>
        <w:pStyle w:val="Heading3"/>
        <w:keepNext/>
        <w:spacing w:after="140"/>
      </w:pPr>
      <w:r>
        <w:t>Lernaufgabe und Überprüfung</w:t>
      </w:r>
    </w:p>
    <w:p>
      <w:pPr>
        <w:spacing w:after="140"/>
      </w:pPr>
      <w:r>
        <w:t>Lewis-Formeln und räumliche Modelle vergleichen; Wasserstrahlablenkung, Dichteanomalie und Temperaturänderung beim Lösen eines Salzes mit Teilchenmodellen erklären.</w:t>
      </w:r>
    </w:p>
    <w:p>
      <w:bookmarkStart w:id="7012" w:name="uv_10_1"/>
      <w:pPr>
        <w:pStyle w:val="Heading2"/>
        <w:keepNext/>
        <w:spacing w:after="140"/>
      </w:pPr>
      <w:r>
        <w:t>10.1 Saure und alkalische Lösungen</w:t>
      </w:r>
      <w:bookmarkEnd w:id="7012"/>
    </w:p>
    <w:p>
      <w:pPr>
        <w:spacing w:after="140"/>
      </w:pPr>
      <w:r>
        <w:t>Jahrgang 10 · Sekundarstufe I · ca. 26 Unterrichtsstunden zu 45 Minuten</w:t>
      </w:r>
    </w:p>
    <w:p>
      <w:pPr>
        <w:spacing w:after="140"/>
      </w:pPr>
      <w:r>
        <w:rPr>
          <w:b/>
        </w:rPr>
        <w:t xml:space="preserve">Leitfrage </w:t>
      </w:r>
      <w:r>
        <w:t>Zwei Reiniger, zwei Warnzeichen: Warum ist Zusammenkippen keine gute Idee?</w:t>
      </w:r>
    </w:p>
    <w:p>
      <w:pPr>
        <w:pStyle w:val="Heading3"/>
        <w:keepNext/>
        <w:spacing w:after="140"/>
      </w:pPr>
      <w:r>
        <w:t>Inhalte und Schwerpunkte</w:t>
      </w:r>
    </w:p>
    <w:p>
      <w:pPr>
        <w:spacing w:after="140"/>
      </w:pPr>
      <w:r>
        <w:t>IF9: Saure und alkalische Lösungen</w:t>
      </w:r>
    </w:p>
    <w:p>
      <w:pPr>
        <w:pStyle w:val="ListBullet"/>
        <w:spacing w:after="100"/>
      </w:pPr>
      <w:r>
        <w:t>Woran erkennt man Säuren und Basen, wo kommen sie im Alltag vor und wie geht man sicher mit ihnen um.</w:t>
      </w:r>
    </w:p>
    <w:p>
      <w:pPr>
        <w:pStyle w:val="ListBullet"/>
        <w:spacing w:after="100"/>
      </w:pPr>
      <w:r>
        <w:t>Titration - ein quantitatives Messverfahren zur Bestimmung von Konzentrationen.</w:t>
      </w:r>
    </w:p>
    <w:p>
      <w:pPr>
        <w:pStyle w:val="ListBullet"/>
        <w:spacing w:after="100"/>
      </w:pPr>
      <w:r>
        <w:t>Welche chemischen Reaktionen führen zur Salzbildung.</w:t>
      </w:r>
    </w:p>
    <w:p>
      <w:pPr>
        <w:pStyle w:val="ListBullet"/>
        <w:spacing w:after="100"/>
      </w:pPr>
      <w:r>
        <w:t>Wie lässt sich das Protonendonator-Akzeptor-Prinzip auf Säuren und Basen übertragen.</w:t>
      </w:r>
    </w:p>
    <w:p>
      <w:pPr>
        <w:pStyle w:val="Heading3"/>
        <w:keepNext/>
        <w:spacing w:after="140"/>
      </w:pPr>
      <w:r>
        <w:t>Lernweg und methodische Gestaltung</w:t>
      </w:r>
    </w:p>
    <w:p>
      <w:pPr>
        <w:pStyle w:val="ListBullet"/>
        <w:spacing w:after="100"/>
      </w:pPr>
      <w:r>
        <w:t>Experiment:</w:t>
      </w:r>
    </w:p>
    <w:p>
      <w:pPr>
        <w:pStyle w:val="ListBullet"/>
        <w:spacing w:after="100"/>
      </w:pPr>
      <w:r>
        <w:t>Messung von pH-Werten von Alltagsprodukten</w:t>
      </w:r>
    </w:p>
    <w:p>
      <w:pPr>
        <w:pStyle w:val="ListBullet"/>
        <w:spacing w:after="100"/>
      </w:pPr>
      <w:r>
        <w:t>Titration</w:t>
      </w:r>
    </w:p>
    <w:p>
      <w:pPr>
        <w:pStyle w:val="ListBullet"/>
        <w:spacing w:after="100"/>
      </w:pPr>
      <w:r>
        <w:t>Reaktion von Natrium mit Wasser</w:t>
      </w:r>
    </w:p>
    <w:p>
      <w:pPr>
        <w:pStyle w:val="ListBullet"/>
        <w:spacing w:after="100"/>
      </w:pPr>
      <w:r>
        <w:t>Recherche: Gefahren von Säuren und Basen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Eigenschaften von sauren und alkalischen Lösungen mit dem Vorhandensein charakteristischer hydratisierter Ionen erklären (UF1), </w:t>
      </w:r>
      <w:r>
        <w:t>SI2-9-01</w:t>
      </w:r>
    </w:p>
    <w:p>
      <w:pPr>
        <w:pStyle w:val="ListBullet"/>
        <w:spacing w:after="100"/>
      </w:pPr>
      <w:r>
        <w:t xml:space="preserve">Protonendonatoren als Säuren und Protonenakzeptoren als Basen klassifizieren (UF3), </w:t>
      </w:r>
      <w:r>
        <w:t>SI2-9-02</w:t>
      </w:r>
    </w:p>
    <w:p>
      <w:pPr>
        <w:pStyle w:val="ListBullet"/>
        <w:spacing w:after="100"/>
      </w:pPr>
      <w:r>
        <w:t xml:space="preserve">an einfachen Beispielen die Vorgänge der Protonenabgabe und -aufnahme beschreiben (UF1), </w:t>
      </w:r>
      <w:r>
        <w:t>SI2-9-03</w:t>
      </w:r>
    </w:p>
    <w:p>
      <w:pPr>
        <w:pStyle w:val="ListBullet"/>
        <w:spacing w:after="100"/>
      </w:pPr>
      <w:r>
        <w:t xml:space="preserve">Neutralisationsreaktionen und Salzbildungen erläutern (UF1). </w:t>
      </w:r>
      <w:r>
        <w:t>SI2-9-04</w:t>
      </w:r>
    </w:p>
    <w:p>
      <w:pPr>
        <w:pStyle w:val="ListBullet"/>
        <w:spacing w:after="100"/>
      </w:pPr>
      <w:r>
        <w:t xml:space="preserve">charakteristische Eigenschaften von sauren Lösungen (elektrische Leitfähigkeit, Reaktionen mit Metallen, Reaktionen mit Kalk) und alkalischen Lösungen ermitteln und auch unter Angabe von Reaktionsgleichungen erläutern (E4, E5, E6), </w:t>
      </w:r>
      <w:r>
        <w:t>SI2-9-05</w:t>
      </w:r>
    </w:p>
    <w:p>
      <w:pPr>
        <w:pStyle w:val="ListBullet"/>
        <w:spacing w:after="100"/>
      </w:pPr>
      <w:r>
        <w:t xml:space="preserve">den pH-Wert einer Lösung bestimmen und die pH-Wertskala mithilfe von Verdünnungen ableiten (E4, E5, K1), </w:t>
      </w:r>
      <w:r>
        <w:t>SI2-9-06</w:t>
      </w:r>
    </w:p>
    <w:p>
      <w:pPr>
        <w:pStyle w:val="ListBullet"/>
        <w:spacing w:after="100"/>
      </w:pPr>
      <w:r>
        <w:t xml:space="preserve">ausgehend von einfachen stöchiometrischen Berechnungen Hypothesen und Reaktionsgleichungen zur Neutralisation von sauren bzw. alkalischen Lösungen aufstellen und experimentell überprüfen (E3, E4), </w:t>
      </w:r>
      <w:r>
        <w:t>SI2-9-07</w:t>
      </w:r>
    </w:p>
    <w:p>
      <w:pPr>
        <w:pStyle w:val="ListBullet"/>
        <w:spacing w:after="100"/>
      </w:pPr>
      <w:r>
        <w:t xml:space="preserve">eine ausgewählte Neutralisationsreaktion auf Teilchenebene als digitale Präsentation gestalten (E6, K3). </w:t>
      </w:r>
      <w:r>
        <w:t>SI2-9-08</w:t>
      </w:r>
    </w:p>
    <w:p>
      <w:pPr>
        <w:pStyle w:val="ListBullet"/>
        <w:spacing w:after="100"/>
      </w:pPr>
      <w:r>
        <w:t xml:space="preserve">beim Umgang mit sauren und alkalischen Lösungen Risiken und Nutzen abwägen und angemessene Sicherheitsmaßnahmen begründet auswählen (B3), </w:t>
      </w:r>
      <w:r>
        <w:t>SI2-9-09</w:t>
      </w:r>
    </w:p>
    <w:p>
      <w:pPr>
        <w:pStyle w:val="ListBullet"/>
        <w:spacing w:after="100"/>
      </w:pPr>
      <w:r>
        <w:t xml:space="preserve">Aussagen zu sauren, alkalischen und neutralen Lösungen in analogen und digitalen Medien kritisch hinterfragen (B1, K2). </w:t>
      </w:r>
      <w:r>
        <w:t>SI2-9-10</w:t>
      </w:r>
    </w:p>
    <w:p>
      <w:pPr>
        <w:pStyle w:val="Heading3"/>
        <w:keepNext/>
        <w:spacing w:after="140"/>
      </w:pPr>
      <w:r>
        <w:t>Übergreifende Lernleistungen</w:t>
      </w:r>
    </w:p>
    <w:p>
      <w:pPr>
        <w:pStyle w:val="ListBullet"/>
        <w:spacing w:after="100"/>
      </w:pPr>
      <w:r>
        <w:t xml:space="preserve">Eine untersuchbare Frage zur Neutralisation eines Alltagsprodukts formulieren. </w:t>
      </w:r>
      <w:r>
        <w:t>SI2-E1</w:t>
      </w:r>
    </w:p>
    <w:p>
      <w:pPr>
        <w:pStyle w:val="ListBullet"/>
        <w:spacing w:after="100"/>
      </w:pPr>
      <w:r>
        <w:t xml:space="preserve">Eine Neutralisationsuntersuchung mit kontrollierten Variablen sicher planen und protokollieren. </w:t>
      </w:r>
      <w:r>
        <w:t>SI2-E4</w:t>
      </w:r>
    </w:p>
    <w:p>
      <w:pPr>
        <w:pStyle w:val="ListBullet"/>
        <w:spacing w:after="100"/>
      </w:pPr>
      <w:r>
        <w:t xml:space="preserve">Titrationsdaten auswerten und Mess- sowie Ablesefehler reflektieren. </w:t>
      </w:r>
      <w:r>
        <w:t>SI2-E5</w:t>
      </w:r>
    </w:p>
    <w:p>
      <w:pPr>
        <w:pStyle w:val="ListBullet"/>
        <w:spacing w:after="100"/>
      </w:pPr>
      <w:r>
        <w:t xml:space="preserve">Eine Neutralisation auf Teilchenebene für die Lerngruppe digital präsentieren. </w:t>
      </w:r>
      <w:r>
        <w:t>SI2-K3</w:t>
      </w:r>
    </w:p>
    <w:p>
      <w:pPr>
        <w:pStyle w:val="ListBullet"/>
        <w:spacing w:after="100"/>
      </w:pPr>
      <w:r>
        <w:t xml:space="preserve">Eine Werbeaussage zu einem Reiniger prüfen und fehlende chemische Informationen beschaffen. </w:t>
      </w:r>
      <w:r>
        <w:t>SI2-B1</w:t>
      </w:r>
    </w:p>
    <w:p>
      <w:pPr>
        <w:pStyle w:val="Heading3"/>
        <w:keepNext/>
        <w:spacing w:after="140"/>
      </w:pPr>
      <w:r>
        <w:t>Digitale Lernmaterialien</w:t>
      </w:r>
    </w:p>
    <w:p>
      <w:pPr>
        <w:pStyle w:val="ListBullet"/>
        <w:spacing w:after="100"/>
      </w:pPr>
      <w:hyperlink r:id="rId12">
        <w:r>
          <w:t>Mol Mission zur Stöchiometrie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Eine Neutralisation auf Teilchenebene digital darstellen, Titrationsdaten stöchiometrisch auswerten und eine Medienaussage über saure oder alkalische Produkte anhand von Fachwissen und Quellen prüfen.</w:t>
      </w:r>
    </w:p>
    <w:p>
      <w:bookmarkStart w:id="7013" w:name="uv_10_2"/>
      <w:pPr>
        <w:pStyle w:val="Heading2"/>
        <w:keepNext/>
        <w:spacing w:after="140"/>
      </w:pPr>
      <w:r>
        <w:t>10.2 Alkane und Alkanole in Natur und Technik</w:t>
      </w:r>
      <w:bookmarkEnd w:id="7013"/>
    </w:p>
    <w:p>
      <w:pPr>
        <w:spacing w:after="140"/>
      </w:pPr>
      <w:r>
        <w:t>Jahrgang 10 · Sekundarstufe I · ca. 20 Unterrichtsstunden zu 45 Minuten</w:t>
      </w:r>
    </w:p>
    <w:p>
      <w:pPr>
        <w:spacing w:after="140"/>
      </w:pPr>
      <w:r>
        <w:rPr>
          <w:b/>
        </w:rPr>
        <w:t xml:space="preserve">Leitfrage </w:t>
      </w:r>
      <w:r>
        <w:t>Tanken wir mit Pflanzen wirklich im Kreis, oder verschieben wir nur das Problem?</w:t>
      </w:r>
    </w:p>
    <w:p>
      <w:pPr>
        <w:pStyle w:val="Heading3"/>
        <w:keepNext/>
        <w:spacing w:after="140"/>
      </w:pPr>
      <w:r>
        <w:t>Inhalte und Schwerpunkte</w:t>
      </w:r>
    </w:p>
    <w:p>
      <w:pPr>
        <w:spacing w:after="140"/>
      </w:pPr>
      <w:r>
        <w:t>IF10: Organische Chemie</w:t>
      </w:r>
    </w:p>
    <w:p>
      <w:pPr>
        <w:pStyle w:val="ListBullet"/>
        <w:spacing w:after="100"/>
      </w:pPr>
      <w:r>
        <w:t>Multitalent Erdöl - das schwarze Gold!</w:t>
      </w:r>
    </w:p>
    <w:p>
      <w:pPr>
        <w:pStyle w:val="ListBullet"/>
        <w:spacing w:after="100"/>
      </w:pPr>
      <w:r>
        <w:t>Wie sind einfache organische Moleküle aufgebaut, wie benennt man organische - Stoffe und worin unterscheiden sie sich.</w:t>
      </w:r>
    </w:p>
    <w:p>
      <w:pPr>
        <w:pStyle w:val="Heading3"/>
        <w:keepNext/>
        <w:spacing w:after="140"/>
      </w:pPr>
      <w:r>
        <w:t>Lernweg und methodische Gestaltung</w:t>
      </w:r>
    </w:p>
    <w:p>
      <w:pPr>
        <w:pStyle w:val="ListBullet"/>
        <w:spacing w:after="100"/>
      </w:pPr>
      <w:r>
        <w:t>Referate zum Thema Erdöl (Gewinnung, Cracken, Raffination)</w:t>
      </w:r>
    </w:p>
    <w:p>
      <w:pPr>
        <w:pStyle w:val="ListBullet"/>
        <w:spacing w:after="100"/>
      </w:pPr>
      <w:r>
        <w:t>Fluch und Segen der Halogenalkane: Eine Diskussion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organische Molekülverbindungen aufgrund ihrer Eigenschaften in Stoffklassen einordnen (UF3), </w:t>
      </w:r>
      <w:r>
        <w:t>SI2-10-01</w:t>
      </w:r>
    </w:p>
    <w:p>
      <w:pPr>
        <w:pStyle w:val="ListBullet"/>
        <w:spacing w:after="100"/>
      </w:pPr>
      <w:r>
        <w:t xml:space="preserve">ausgewählte organische Verbindungen nach der systematischen Nomenklatur benennen (UF2), </w:t>
      </w:r>
      <w:r>
        <w:t>SI2-10-02</w:t>
      </w:r>
    </w:p>
    <w:p>
      <w:pPr>
        <w:pStyle w:val="ListBullet"/>
        <w:spacing w:after="100"/>
      </w:pPr>
      <w:r>
        <w:t xml:space="preserve">Treibhausgase und ihre Ursprünge beschreiben (UF1), </w:t>
      </w:r>
      <w:r>
        <w:t>SI2-10-03</w:t>
      </w:r>
    </w:p>
    <w:p>
      <w:pPr>
        <w:pStyle w:val="ListBullet"/>
        <w:spacing w:after="100"/>
      </w:pPr>
      <w:r>
        <w:t xml:space="preserve">die Abfolge verschiedener Reaktionen in einem Stoffkreislauf erklären (UF4), </w:t>
      </w:r>
      <w:r>
        <w:t>SI2-10-04</w:t>
      </w:r>
    </w:p>
    <w:p>
      <w:pPr>
        <w:pStyle w:val="ListBullet"/>
        <w:spacing w:after="100"/>
      </w:pPr>
      <w:r>
        <w:t xml:space="preserve">räumliche Strukturen von Kohlenwasserstoffmolekülen auch mithilfe von digitalen Modellen veranschaulichen (E6, K1), </w:t>
      </w:r>
      <w:r>
        <w:t>SI2-10-06</w:t>
      </w:r>
    </w:p>
    <w:p>
      <w:pPr>
        <w:pStyle w:val="ListBullet"/>
        <w:spacing w:after="100"/>
      </w:pPr>
      <w:r>
        <w:t xml:space="preserve">typische Stoffeigenschaften wie Löslichkeit und Siedetemperatur von ausgewählten Alkanen und Alkanolen ermitteln und mithilfe ihrer Molekülstrukturen und zwischenmolekularen Wechselwirkungen erklären (E4, E5, E6), </w:t>
      </w:r>
      <w:r>
        <w:t>SI2-10-07</w:t>
      </w:r>
    </w:p>
    <w:p>
      <w:pPr>
        <w:pStyle w:val="ListBullet"/>
        <w:spacing w:after="100"/>
      </w:pPr>
      <w:r>
        <w:t xml:space="preserve">Messdaten von Verbrennungsvorgängen fossiler und regenerativer Energierohstoffe digital beschaffen und vergleichen (E5, K2), </w:t>
      </w:r>
      <w:r>
        <w:t>SI2-10-08</w:t>
      </w:r>
    </w:p>
    <w:p>
      <w:pPr>
        <w:pStyle w:val="ListBullet"/>
        <w:spacing w:after="100"/>
      </w:pPr>
      <w:r>
        <w:t xml:space="preserve">Vor- und Nachteile der Nutzung von fossilen und regenerativen Energieträgern unter ökologischen, ökonomischen und ethischen Gesichtspunkten diskutieren (B4, K4), </w:t>
      </w:r>
      <w:r>
        <w:t>SI2-10-10</w:t>
      </w:r>
    </w:p>
    <w:p>
      <w:pPr>
        <w:pStyle w:val="Heading3"/>
        <w:keepNext/>
        <w:spacing w:after="140"/>
      </w:pPr>
      <w:r>
        <w:t>Übergreifende Lernleistungen</w:t>
      </w:r>
    </w:p>
    <w:p>
      <w:pPr>
        <w:pStyle w:val="ListBullet"/>
        <w:spacing w:after="100"/>
      </w:pPr>
      <w:r>
        <w:t xml:space="preserve">Quellen zu fossilen und regenerativen Energieträgern auf Relevanz, Qualität und Intention prüfen. </w:t>
      </w:r>
      <w:r>
        <w:t>SI2-K2</w:t>
      </w:r>
    </w:p>
    <w:p>
      <w:pPr>
        <w:pStyle w:val="ListBullet"/>
        <w:spacing w:after="100"/>
      </w:pPr>
      <w:r>
        <w:t xml:space="preserve">Eine Entscheidung für einen Energieträger argumentativ vertreten und nach Gegenargumenten überprüfen. </w:t>
      </w:r>
      <w:r>
        <w:t>SI2-B4</w:t>
      </w:r>
    </w:p>
    <w:p>
      <w:pPr>
        <w:pStyle w:val="Heading3"/>
        <w:keepNext/>
        <w:spacing w:after="140"/>
      </w:pPr>
      <w:r>
        <w:t>Digitale Lernmaterialien</w:t>
      </w:r>
    </w:p>
    <w:p>
      <w:pPr>
        <w:pStyle w:val="ListBullet"/>
        <w:spacing w:after="100"/>
      </w:pPr>
      <w:hyperlink r:id="rId13">
        <w:r>
          <w:t>Nomenklaturquiz</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Löslichkeit und Siedetemperatur vergleichend untersuchen; Verbrennungsdaten fossiler und regenerativer Energieträger recherchieren und eine Konsumentscheidung ökologisch, ökonomisch und ethisch begründen.</w:t>
      </w:r>
    </w:p>
    <w:p>
      <w:bookmarkStart w:id="7014" w:name="uv_10_3"/>
      <w:pPr>
        <w:pStyle w:val="Heading2"/>
        <w:keepNext/>
        <w:spacing w:after="140"/>
      </w:pPr>
      <w:r>
        <w:t>10.3 Vielseitige Kunststoffe</w:t>
      </w:r>
      <w:bookmarkEnd w:id="7014"/>
    </w:p>
    <w:p>
      <w:pPr>
        <w:spacing w:after="140"/>
      </w:pPr>
      <w:r>
        <w:t>Jahrgang 10 · Sekundarstufe I · ca. 7 Unterrichtsstunden zu 45 Minuten</w:t>
      </w:r>
    </w:p>
    <w:p>
      <w:pPr>
        <w:spacing w:after="140"/>
      </w:pPr>
      <w:r>
        <w:rPr>
          <w:b/>
        </w:rPr>
        <w:t xml:space="preserve">Leitfrage </w:t>
      </w:r>
      <w:r>
        <w:t>Warum wird eine Plastiktüte weich, ein Topfgriff aber nicht?</w:t>
      </w:r>
    </w:p>
    <w:p>
      <w:pPr>
        <w:pStyle w:val="Heading3"/>
        <w:keepNext/>
        <w:spacing w:after="140"/>
      </w:pPr>
      <w:r>
        <w:t>Inhalte und Schwerpunkte</w:t>
      </w:r>
    </w:p>
    <w:p>
      <w:pPr>
        <w:spacing w:after="140"/>
      </w:pPr>
      <w:r>
        <w:t>IF10: Organische Chemie</w:t>
      </w:r>
    </w:p>
    <w:p>
      <w:pPr>
        <w:pStyle w:val="ListBullet"/>
        <w:spacing w:after="100"/>
      </w:pPr>
      <w:r>
        <w:t>Makromoleküle: ausgewählte Kunststoffe</w:t>
      </w:r>
    </w:p>
    <w:p>
      <w:pPr>
        <w:pStyle w:val="Heading3"/>
        <w:keepNext/>
        <w:spacing w:after="140"/>
      </w:pPr>
      <w:r>
        <w:t>Lernweg und methodische Gestaltung</w:t>
      </w:r>
    </w:p>
    <w:p>
      <w:pPr>
        <w:pStyle w:val="ListBullet"/>
        <w:spacing w:after="100"/>
      </w:pPr>
      <w:r>
        <w:t>Experiment:</w:t>
      </w:r>
    </w:p>
    <w:p>
      <w:pPr>
        <w:pStyle w:val="ListBullet"/>
        <w:spacing w:after="100"/>
      </w:pPr>
      <w:r>
        <w:t>Herstellung eines Polykondensats aus Ethandiol und Citronensäure</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vielseitige Verwendung von Kunststoffen im Alltag mit ihren Eigenschaften begründen (UF2). </w:t>
      </w:r>
      <w:r>
        <w:t>SI2-10-05</w:t>
      </w:r>
    </w:p>
    <w:p>
      <w:pPr>
        <w:pStyle w:val="ListBullet"/>
        <w:spacing w:after="100"/>
      </w:pPr>
      <w:r>
        <w:t xml:space="preserve">ausgewählte Eigenschaften von Kunststoffen auf deren makromolekulare Struktur und räumliche Anordnung zurückführen (E6). </w:t>
      </w:r>
      <w:r>
        <w:t>SI2-10-09</w:t>
      </w:r>
    </w:p>
    <w:p>
      <w:pPr>
        <w:pStyle w:val="ListBullet"/>
        <w:spacing w:after="100"/>
      </w:pPr>
      <w:r>
        <w:t xml:space="preserve">am Beispiel eines chemischen Produkts Kriterien hinsichtlich Verwendung, Ökonomie, Recyclingfähigkeit und Umweltverträglichkeit abwägen und im Hinblick auf die Verwendung einen eigenen sachlich fundierten Standpunkt beziehen (B3, B4, K4). </w:t>
      </w:r>
      <w:r>
        <w:t>SI2-10-11</w:t>
      </w:r>
    </w:p>
    <w:p>
      <w:pPr>
        <w:pStyle w:val="Heading3"/>
        <w:keepNext/>
        <w:spacing w:after="140"/>
      </w:pPr>
      <w:r>
        <w:t>Übergreifende Lernleistungen</w:t>
      </w:r>
    </w:p>
    <w:p>
      <w:pPr>
        <w:pStyle w:val="ListBullet"/>
        <w:spacing w:after="100"/>
      </w:pPr>
      <w:r>
        <w:t xml:space="preserve">Ein Kunststoffprodukt anhand seiner Struktur und Eigenschaften auswählen. </w:t>
      </w:r>
      <w:r>
        <w:t>SI2-UF2</w:t>
      </w:r>
    </w:p>
    <w:p>
      <w:pPr>
        <w:pStyle w:val="ListBullet"/>
        <w:spacing w:after="100"/>
      </w:pPr>
      <w:r>
        <w:t xml:space="preserve">Einen Produktvergleich faktenbasiert diskutieren und konstruktive Rückmeldung geben. </w:t>
      </w:r>
      <w:r>
        <w:t>SI2-K4</w:t>
      </w:r>
    </w:p>
    <w:p>
      <w:pPr>
        <w:pStyle w:val="ListBullet"/>
        <w:spacing w:after="100"/>
      </w:pPr>
      <w:r>
        <w:t xml:space="preserve">Produktalternativen gewichtet nach Umwelt-, Nutzungs- und gesellschaftlichen Folgen vergleichen. </w:t>
      </w:r>
      <w:r>
        <w:t>SI2-B3</w:t>
      </w:r>
    </w:p>
    <w:p>
      <w:pPr>
        <w:pStyle w:val="Heading3"/>
        <w:keepNext/>
        <w:spacing w:after="140"/>
      </w:pPr>
      <w:r>
        <w:t>Lernaufgabe und Überprüfung</w:t>
      </w:r>
    </w:p>
    <w:p>
      <w:pPr>
        <w:spacing w:after="140"/>
      </w:pPr>
      <w:r>
        <w:t>Eigenschaften ausgewählter Kunststoffe strukturbezogen erklären und zwei Produkte anhand von Verwendung, Kosten, Recyclingfähigkeit und Umweltverträglichkeit vergleichen.</w:t>
      </w:r>
    </w:p>
    <w:p>
      <w:bookmarkStart w:id="7015" w:name="uv_10_4"/>
      <w:pPr>
        <w:pStyle w:val="Heading2"/>
        <w:keepNext/>
        <w:spacing w:after="140"/>
      </w:pPr>
      <w:r>
        <w:t>10.4 Gase als Ausgangsstoffe für Industrierohstoffe</w:t>
      </w:r>
      <w:bookmarkEnd w:id="7015"/>
    </w:p>
    <w:p>
      <w:pPr>
        <w:spacing w:after="140"/>
      </w:pPr>
      <w:r>
        <w:t>Jahrgang 10 · Sekundarstufe I · ca. 7 Unterrichtsstunden zu 45 Minuten</w:t>
      </w:r>
    </w:p>
    <w:p>
      <w:pPr>
        <w:spacing w:after="140"/>
      </w:pPr>
      <w:r>
        <w:rPr>
          <w:b/>
        </w:rPr>
        <w:t xml:space="preserve">Leitfrage </w:t>
      </w:r>
      <w:r>
        <w:t>Kann man aus Luft einen Dünger herstellen, und wozu braucht man dabei einen Katalysator?</w:t>
      </w:r>
    </w:p>
    <w:p>
      <w:pPr>
        <w:pStyle w:val="Heading3"/>
        <w:keepNext/>
        <w:spacing w:after="140"/>
      </w:pPr>
      <w:r>
        <w:t>Inhalte und Schwerpunkte</w:t>
      </w:r>
    </w:p>
    <w:p>
      <w:pPr>
        <w:spacing w:after="140"/>
      </w:pPr>
      <w:r>
        <w:t>IF 8 Molekülverbindungen</w:t>
      </w:r>
    </w:p>
    <w:p>
      <w:pPr>
        <w:pStyle w:val="ListBullet"/>
        <w:spacing w:after="100"/>
      </w:pPr>
      <w:r>
        <w:t>Synthese von Ammoniak aus Stickstoff und Wasserstoff mit Reaktionsgleichung.</w:t>
      </w:r>
    </w:p>
    <w:p>
      <w:pPr>
        <w:pStyle w:val="ListBullet"/>
        <w:spacing w:after="100"/>
      </w:pPr>
      <w:r>
        <w:t>Wirkungsweise eines Katalysators im Modell; Reaktionsbedingungen des Haber-Bosch-Verfahrens qualitativ.</w:t>
      </w:r>
    </w:p>
    <w:p>
      <w:pPr>
        <w:pStyle w:val="ListBullet"/>
        <w:spacing w:after="100"/>
      </w:pPr>
      <w:r>
        <w:t>Digitale Recherche zur Rohstoffgewinnung aus Gasen; Kriterien zu Energiebedarf, Energiespeicherung und Ressourcennutzung.</w:t>
      </w:r>
    </w:p>
    <w:p>
      <w:pPr>
        <w:pStyle w:val="Heading3"/>
        <w:keepNext/>
        <w:spacing w:after="140"/>
      </w:pPr>
      <w:r>
        <w:t>Lernweg und methodische Gestaltung</w:t>
      </w:r>
    </w:p>
    <w:p>
      <w:pPr>
        <w:pStyle w:val="ListBullet"/>
        <w:spacing w:after="100"/>
      </w:pPr>
      <w:r>
        <w:t>Den Weg von den gasförmigen Ausgangsstoffen zum Industrierohstoff in einer Verfahrensdarstellung verfolgen.</w:t>
      </w:r>
    </w:p>
    <w:p>
      <w:pPr>
        <w:pStyle w:val="ListBullet"/>
        <w:spacing w:after="100"/>
      </w:pPr>
      <w:r>
        <w:t>Ein Katalysatormodell erklären und kritisch prüfen: Ein Katalysator wird nicht als Energielieferant verstanden.</w:t>
      </w:r>
    </w:p>
    <w:p>
      <w:pPr>
        <w:pStyle w:val="ListBullet"/>
        <w:spacing w:after="100"/>
      </w:pPr>
      <w:r>
        <w:t>Informationen aus digitalen Quellen vergleichen und eine Verfahrensentscheidung mit offengelegten Kriterien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Synthese eines Industrierohstoffs aus Synthesegas (z.B. Methan oder Ammoniak) auch mit Angabe von Reaktionsgleichungen erläutern (UF1, UF2). </w:t>
      </w:r>
      <w:r>
        <w:t>SI2-8-03</w:t>
      </w:r>
    </w:p>
    <w:p>
      <w:pPr>
        <w:pStyle w:val="ListBullet"/>
        <w:spacing w:after="100"/>
      </w:pPr>
      <w:r>
        <w:t xml:space="preserve">die Wirkungsweise eines Katalysators modellhaft an der Synthese eines Industrierohstoffs erläutern (E6). </w:t>
      </w:r>
      <w:r>
        <w:t>SI2-8-07</w:t>
      </w:r>
    </w:p>
    <w:p>
      <w:pPr>
        <w:pStyle w:val="ListBullet"/>
        <w:spacing w:after="100"/>
      </w:pPr>
      <w:r>
        <w:t xml:space="preserve">Informationen für ein technisches Verfahren zur Industrierohstoffgewinnung aus Gasen mithilfe digitaler Medien beschaffen und Bewertungskriterien auch unter Berücksichtigung der Energiespeicherung festlegen (B2, K2), </w:t>
      </w:r>
      <w:r>
        <w:t>SI2-8-08</w:t>
      </w:r>
    </w:p>
    <w:p>
      <w:pPr>
        <w:pStyle w:val="Heading3"/>
        <w:keepNext/>
        <w:spacing w:after="140"/>
      </w:pPr>
      <w:r>
        <w:t>Übergreifende Lernleistungen</w:t>
      </w:r>
    </w:p>
    <w:p>
      <w:pPr>
        <w:pStyle w:val="ListBullet"/>
        <w:spacing w:after="100"/>
      </w:pPr>
      <w:r>
        <w:t xml:space="preserve">Bewertungskriterien und Handlungsoptionen für die Industrierohstoffgewinnung entwickeln. </w:t>
      </w:r>
      <w:r>
        <w:t>SI2-B2</w:t>
      </w:r>
    </w:p>
    <w:p>
      <w:pPr>
        <w:pStyle w:val="Heading3"/>
        <w:keepNext/>
        <w:spacing w:after="140"/>
      </w:pPr>
      <w:r>
        <w:t>Lernaufgabe und Überprüfung</w:t>
      </w:r>
    </w:p>
    <w:p>
      <w:pPr>
        <w:spacing w:after="140"/>
      </w:pPr>
      <w:r>
        <w:t>Digitale Verfahrensdarstellung mit Reaktionsgleichung und Katalysatormodell; begründete Kriterien zur Energie- und Rohstoffnutzung.</w:t>
      </w:r>
    </w:p>
    <w:p>
      <w:bookmarkStart w:id="7016" w:name="ef"/>
      <w:pPr>
        <w:pStyle w:val="Heading1"/>
        <w:keepNext/>
        <w:pageBreakBefore/>
        <w:spacing w:after="140"/>
      </w:pPr>
      <w:r>
        <w:t>5 Unterrichtsvorhaben der Einführungsphase</w:t>
      </w:r>
      <w:bookmarkEnd w:id="7016"/>
    </w:p>
    <w:p>
      <w:pPr>
        <w:spacing w:after="140"/>
      </w:pPr>
      <w:r>
        <w:t>Die vier Vorhaben führen vom Parfum über die Reaktionsgeschwindigkeit zum Gleichgewicht und zum Kohlenstoffkreislauf. Die organischen Pflichtinhalte einschließlich Lebensmittelzusatzstoffen bleiben vollständig in EF.01 verankert. EF.03 greift die Estersynthese für die Gleichgewichtsbetrachtung wieder auf.</w:t>
      </w:r>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UV</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Thema</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Jahrgang</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UStd</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EF_01">
              <w:r>
                <w:t>EF.01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Duftstoffe und Aromastoffe am Beispiel Parfum</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EF_02">
              <w:r>
                <w:t>EF.02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Beeinflussung der Reaktionsgeschwindigkeit</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EF_03">
              <w:r>
                <w:t>EF.03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Das chemische Gleichgewicht</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EF_04">
              <w:r>
                <w:t>EF.04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Kohlenstoffkreislauf und Klima</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w:t>
            </w:r>
          </w:p>
        </w:tc>
      </w:tr>
    </w:tbl>
    <w:p>
      <w:pPr>
        <w:spacing w:after="60"/>
      </w:pPr>
    </w:p>
    <w:p>
      <w:bookmarkStart w:id="7017" w:name="uv_EF_01"/>
      <w:pPr>
        <w:pStyle w:val="Heading2"/>
        <w:keepNext/>
        <w:spacing w:after="140"/>
      </w:pPr>
      <w:r>
        <w:t>EF.01 Duftstoffe und Aromastoffe am Beispiel Parfum</w:t>
      </w:r>
      <w:bookmarkEnd w:id="7017"/>
    </w:p>
    <w:p>
      <w:pPr>
        <w:spacing w:after="140"/>
      </w:pPr>
      <w:r>
        <w:t>Jahrgang EF · Einführungsphase · ca. 36 Unterrichtsstunden zu 45 Minuten</w:t>
      </w:r>
    </w:p>
    <w:p>
      <w:pPr>
        <w:spacing w:after="140"/>
      </w:pPr>
      <w:r>
        <w:rPr>
          <w:b/>
        </w:rPr>
        <w:t xml:space="preserve">Leitfrage </w:t>
      </w:r>
      <w:r>
        <w:t>Warum verfliegt ein Duft in Minuten, während ein anderer bis zum Abend bleibt, und lässt sich ein Duft gezielt herstellen?</w:t>
      </w:r>
    </w:p>
    <w:p>
      <w:pPr>
        <w:pStyle w:val="Heading3"/>
        <w:keepNext/>
        <w:spacing w:after="140"/>
      </w:pPr>
      <w:r>
        <w:t>Inhalte und Schwerpunkte</w:t>
      </w:r>
    </w:p>
    <w:p>
      <w:pPr>
        <w:spacing w:after="140"/>
      </w:pPr>
      <w:r>
        <w:t>Organische Stoffklassen</w:t>
      </w:r>
    </w:p>
    <w:p>
      <w:pPr>
        <w:pStyle w:val="ListBullet"/>
        <w:spacing w:after="100"/>
      </w:pPr>
      <w:r>
        <w:t>Hydroxy-, Carbonyl-, Carboxy- und Estergruppe, funktionelle Gruppen und Nachweise; systematische Nomenklatur.</w:t>
      </w:r>
    </w:p>
    <w:p>
      <w:pPr>
        <w:pStyle w:val="ListBullet"/>
        <w:spacing w:after="100"/>
      </w:pPr>
      <w:r>
        <w:t>Einfach- und Mehrfachbindungen, EPA-Modell, Konstitutionsisomerie von Alkanolen.</w:t>
      </w:r>
    </w:p>
    <w:p>
      <w:pPr>
        <w:pStyle w:val="ListBullet"/>
        <w:spacing w:after="100"/>
      </w:pPr>
      <w:r>
        <w:t>Löslichkeit, Schmelz- und Siedetemperatur und intermolekulare Wechselwirkungen; Ethanol als Lösemittel.</w:t>
      </w:r>
    </w:p>
    <w:p>
      <w:pPr>
        <w:pStyle w:val="ListBullet"/>
        <w:spacing w:after="100"/>
      </w:pPr>
      <w:r>
        <w:t>Oxidationsreihe der Alkanole, Oxidationszahlen und Donator-Akzeptor-Prinzip; Produktnachweise.</w:t>
      </w:r>
    </w:p>
    <w:p>
      <w:pPr>
        <w:pStyle w:val="ListBullet"/>
        <w:spacing w:after="100"/>
      </w:pPr>
      <w:r>
        <w:t>Experimentelle Estersynthese; Transfer auf Aroma- und Konservierungsstoffe in Lebensmitteln.</w:t>
      </w:r>
    </w:p>
    <w:p>
      <w:pPr>
        <w:pStyle w:val="ListBullet"/>
        <w:spacing w:after="100"/>
      </w:pPr>
      <w:r>
        <w:t>Ethanolabbau und Gesunderhaltung; Lösemittelgebrauch und Entsorgung.</w:t>
      </w:r>
    </w:p>
    <w:p>
      <w:pPr>
        <w:pStyle w:val="Heading3"/>
        <w:keepNext/>
        <w:spacing w:after="140"/>
      </w:pPr>
      <w:r>
        <w:t>Lernweg und methodische Gestaltung</w:t>
      </w:r>
    </w:p>
    <w:p>
      <w:pPr>
        <w:pStyle w:val="ListBullet"/>
        <w:spacing w:after="100"/>
      </w:pPr>
      <w:r>
        <w:t>An Duftnoten und Modelldaten zur Flüchtigkeit Hypothesen entwickeln; Stoffeigenschaften durch Molekülaufbau und Wechselwirkungen erklären.</w:t>
      </w:r>
    </w:p>
    <w:p>
      <w:pPr>
        <w:pStyle w:val="ListBullet"/>
        <w:spacing w:after="100"/>
      </w:pPr>
      <w:r>
        <w:t>Löslichkeitsversuche planen, Moleküle und Isomere auch digital darstellen und systematisch benennen.</w:t>
      </w:r>
    </w:p>
    <w:p>
      <w:pPr>
        <w:pStyle w:val="ListBullet"/>
        <w:spacing w:after="100"/>
      </w:pPr>
      <w:r>
        <w:t>Die Oxidationsreihe geeigneter Alkanole experimentell untersuchen und Produkte nachweisen; den Ethanolabbau im Körper fachlich beurteilen.</w:t>
      </w:r>
    </w:p>
    <w:p>
      <w:pPr>
        <w:pStyle w:val="ListBullet"/>
        <w:spacing w:after="100"/>
      </w:pPr>
      <w:r>
        <w:t>Einen Ester im geeigneten Schulversuch herstellen und aus den Produkteigenschaften Hypothesen zur Estergruppe ableiten. Kosmetische Anwendung der Versuchsprodukte ist nicht Ziel des Experiments.</w:t>
      </w:r>
    </w:p>
    <w:p>
      <w:pPr>
        <w:pStyle w:val="ListBullet"/>
        <w:spacing w:after="100"/>
      </w:pPr>
      <w:r>
        <w:t>Die Duftwerkstatt durch eine verbindliche Lebensmittel-Fallstudie ergänzen: Nutzen und Risiken von Aroma- und Konservierungsstoffen aus gesundheitlicher und ökonomischer Sicht diskutieren; eine Konsumentscheidung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ordnen organische Verbindungen aufgrund ihrer funktionellen Gruppen in Stoffklassen ein und benennen diese nach systematischer Nomenklatur (S1, S6, S11), </w:t>
      </w:r>
      <w:r>
        <w:t>EF-OS-01</w:t>
      </w:r>
    </w:p>
    <w:p>
      <w:pPr>
        <w:pStyle w:val="ListBullet"/>
        <w:spacing w:after="100"/>
      </w:pPr>
      <w:r>
        <w:t xml:space="preserve">erläutern intermolekulare Wechselwirkungen organischer Verbindungen und erklären ausgewählte Eigenschaften sowie die Verwendung organischer Stoffe auf dieser Grundlage (S2, S13, E7), </w:t>
      </w:r>
      <w:r>
        <w:t>EF-OS-02</w:t>
      </w:r>
    </w:p>
    <w:p>
      <w:pPr>
        <w:pStyle w:val="ListBullet"/>
        <w:spacing w:after="100"/>
      </w:pPr>
      <w:r>
        <w:t xml:space="preserve">erläutern das Donator-Akzeptor-Prinzip unter Verwendung der Oxidationszahlen am Beispiel der Oxidationsreihe der Alkanole (S4, S12, S14, S16), </w:t>
      </w:r>
      <w:r>
        <w:t>EF-OS-03</w:t>
      </w:r>
    </w:p>
    <w:p>
      <w:pPr>
        <w:pStyle w:val="ListBullet"/>
        <w:spacing w:after="100"/>
      </w:pPr>
      <w:r>
        <w:t xml:space="preserve">stellen Isomere von Alkanolen dar und erklären die Konstitutionsisomerie (S11, E7). </w:t>
      </w:r>
      <w:r>
        <w:t>EF-OS-04</w:t>
      </w:r>
    </w:p>
    <w:p>
      <w:pPr>
        <w:pStyle w:val="ListBullet"/>
        <w:spacing w:after="100"/>
      </w:pPr>
      <w:r>
        <w:t xml:space="preserve">stellen auch unter Nutzung digitaler Werkzeuge die Molekülgeometrie von Kohlenstoffverbindungen dar und erklären die Molekülgeometrie mithilfe des EPA-Modells (E7, S13), </w:t>
      </w:r>
      <w:r>
        <w:t>EF-OS-05</w:t>
      </w:r>
    </w:p>
    <w:p>
      <w:pPr>
        <w:pStyle w:val="ListBullet"/>
        <w:spacing w:after="100"/>
      </w:pPr>
      <w:r>
        <w:t xml:space="preserve">deuten die Beobachtungen von Experimenten zur Oxidationsreihe der Alkanole und weisen die jeweiligen Produkte nach (E2, E5, S14), </w:t>
      </w:r>
      <w:r>
        <w:t>EF-OS-06</w:t>
      </w:r>
    </w:p>
    <w:p>
      <w:pPr>
        <w:pStyle w:val="ListBullet"/>
        <w:spacing w:after="100"/>
      </w:pPr>
      <w:r>
        <w:t xml:space="preserve">führen Estersynthesen durch und leiten aus Stoffeigenschaften der erhaltenen Produkte Hypothesen zum strukturellen Aufbau der Estergruppe ab (E3, E5), </w:t>
      </w:r>
      <w:r>
        <w:t>EF-OS-07</w:t>
      </w:r>
    </w:p>
    <w:p>
      <w:pPr>
        <w:pStyle w:val="ListBullet"/>
        <w:spacing w:after="100"/>
      </w:pPr>
      <w:r>
        <w:t xml:space="preserve">stellen Hypothesen zu Struktureigenschaftsbeziehungen einer ausgewählten Stoffklasse auf und untersuchen diese experimentell (E3, E4). </w:t>
      </w:r>
      <w:r>
        <w:t>EF-OS-08</w:t>
      </w:r>
    </w:p>
    <w:p>
      <w:pPr>
        <w:pStyle w:val="ListBullet"/>
        <w:spacing w:after="100"/>
      </w:pPr>
      <w:r>
        <w:t xml:space="preserve">beurteilen die Auswirkungen der Aufnahme von Ethanol hinsichtlich oxidativer Abbauprozesse im menschlichen Körper unter Aspekten der Gesunderhaltung (B6, B7, E1, E11, K6), </w:t>
      </w:r>
      <w:r>
        <w:t>EF-OS-09</w:t>
      </w:r>
    </w:p>
    <w:p>
      <w:pPr>
        <w:pStyle w:val="ListBullet"/>
        <w:spacing w:after="100"/>
      </w:pPr>
      <w:r>
        <w:t xml:space="preserve">diskutieren den Einsatz von Konservierungs- und Aromastoffen in der Lebensmittelindustrie aus gesundheitlicher und ökonomischer Perspektive und leiten entsprechende Handlungsoptionen zu deren Konsum ab (B5, B9, B10, K5, K8, K13), </w:t>
      </w:r>
      <w:r>
        <w:t>EF-OS-10</w:t>
      </w:r>
    </w:p>
    <w:p>
      <w:pPr>
        <w:pStyle w:val="ListBullet"/>
        <w:spacing w:after="100"/>
      </w:pPr>
      <w:r>
        <w:t xml:space="preserve">beurteilen die Verwendung von Lösemitteln in Produkten des Alltags auch im Hinblick auf die Entsorgung aus chemischer und ökologischer Perspektive (B1, B7, B8, B11, B14, S2, S10, E11). </w:t>
      </w:r>
      <w:r>
        <w:t>EF-OS-11</w:t>
      </w:r>
    </w:p>
    <w:p>
      <w:pPr>
        <w:pStyle w:val="Heading3"/>
        <w:keepNext/>
        <w:spacing w:after="140"/>
      </w:pPr>
      <w:r>
        <w:t>Übergreifende Lernleistungen</w:t>
      </w:r>
    </w:p>
    <w:p>
      <w:pPr>
        <w:pStyle w:val="ListBullet"/>
        <w:spacing w:after="100"/>
      </w:pPr>
      <w:r>
        <w:t xml:space="preserve">Alkohole und ihre Oxidationsprodukte nach funktionellen Gruppen ordnen. </w:t>
      </w:r>
      <w:r>
        <w:t>EF-S1</w:t>
      </w:r>
    </w:p>
    <w:p>
      <w:pPr>
        <w:pStyle w:val="ListBullet"/>
        <w:spacing w:after="100"/>
      </w:pPr>
      <w:r>
        <w:t xml:space="preserve">Löslichkeit und Siedetemperatur aus Struktur und Wechselwirkungen vorhersagen. </w:t>
      </w:r>
      <w:r>
        <w:t>EF-S2</w:t>
      </w:r>
    </w:p>
    <w:p>
      <w:pPr>
        <w:pStyle w:val="ListBullet"/>
        <w:spacing w:after="100"/>
      </w:pPr>
      <w:r>
        <w:t xml:space="preserve">Oxidationen der Alkanole als Redoxreaktionen bestimmen. </w:t>
      </w:r>
      <w:r>
        <w:t>EF-S4</w:t>
      </w:r>
    </w:p>
    <w:p>
      <w:pPr>
        <w:pStyle w:val="ListBullet"/>
        <w:spacing w:after="100"/>
      </w:pPr>
      <w:r>
        <w:t xml:space="preserve">Beobachtbare Stoffeigenschaft und Erklärung auf Teilchenebene trennen. </w:t>
      </w:r>
      <w:r>
        <w:t>EF-S6</w:t>
      </w:r>
    </w:p>
    <w:p>
      <w:pPr>
        <w:pStyle w:val="ListBullet"/>
        <w:spacing w:after="100"/>
      </w:pPr>
      <w:r>
        <w:t xml:space="preserve">Dynamisches Gleichgewicht bei der Estersynthese und Umkehrbarkeit erläutern; das Donator-Akzeptor-Prinzip der Alkoholoxidation einbeziehen. </w:t>
      </w:r>
      <w:r>
        <w:t>EF-S7</w:t>
      </w:r>
    </w:p>
    <w:p>
      <w:pPr>
        <w:pStyle w:val="ListBullet"/>
        <w:spacing w:after="100"/>
      </w:pPr>
      <w:r>
        <w:t xml:space="preserve">Ethanolabbau mit biologischen Vorgängen verknüpfen. </w:t>
      </w:r>
      <w:r>
        <w:t>EF-S10</w:t>
      </w:r>
    </w:p>
    <w:p>
      <w:pPr>
        <w:pStyle w:val="ListBullet"/>
        <w:spacing w:after="100"/>
      </w:pPr>
      <w:r>
        <w:t xml:space="preserve">Konstitutionsisomere und funktionelle Gruppen zur Erklärung der Stoffvielfalt nutzen. </w:t>
      </w:r>
      <w:r>
        <w:t>EF-S11</w:t>
      </w:r>
    </w:p>
    <w:p>
      <w:pPr>
        <w:pStyle w:val="ListBullet"/>
        <w:spacing w:after="100"/>
      </w:pPr>
      <w:r>
        <w:t xml:space="preserve">Oxidation anhand von Teilchenänderung, Bindungen und Oxidationszahlen deuten. </w:t>
      </w:r>
      <w:r>
        <w:t>EF-S12</w:t>
      </w:r>
    </w:p>
    <w:p>
      <w:pPr>
        <w:pStyle w:val="ListBullet"/>
        <w:spacing w:after="100"/>
      </w:pPr>
      <w:r>
        <w:t xml:space="preserve">EPA-Modell und Wechselwirkungsmodelle auf Alkohole anwenden. </w:t>
      </w:r>
      <w:r>
        <w:t>EF-S13</w:t>
      </w:r>
    </w:p>
    <w:p>
      <w:pPr>
        <w:pStyle w:val="ListBullet"/>
        <w:spacing w:after="100"/>
      </w:pPr>
      <w:r>
        <w:t xml:space="preserve">Die Oxidationsreihe der Alkanole auf Teilchenebene darstellen. </w:t>
      </w:r>
      <w:r>
        <w:t>EF-S14</w:t>
      </w:r>
    </w:p>
    <w:p>
      <w:pPr>
        <w:pStyle w:val="ListBullet"/>
        <w:spacing w:after="100"/>
      </w:pPr>
      <w:r>
        <w:t xml:space="preserve">Reaktionsgleichungen für die Oxidationsreihe entwickeln. </w:t>
      </w:r>
      <w:r>
        <w:t>EF-S16</w:t>
      </w:r>
    </w:p>
    <w:p>
      <w:pPr>
        <w:pStyle w:val="ListBullet"/>
        <w:spacing w:after="100"/>
      </w:pPr>
      <w:r>
        <w:t xml:space="preserve">Eine Estersynthese sicher durchführen, protokollieren und angeleitet auswerten. </w:t>
      </w:r>
      <w:r>
        <w:t>EF-E5</w:t>
      </w:r>
    </w:p>
    <w:p>
      <w:pPr>
        <w:pStyle w:val="ListBullet"/>
        <w:spacing w:after="100"/>
      </w:pPr>
      <w:r>
        <w:t xml:space="preserve">Ein EPA-Modell für Molekülgeometrie und Stoffeigenschaften nutzen. </w:t>
      </w:r>
      <w:r>
        <w:t>EF-E7</w:t>
      </w:r>
    </w:p>
    <w:p>
      <w:pPr>
        <w:pStyle w:val="ListBullet"/>
        <w:spacing w:after="100"/>
      </w:pPr>
      <w:r>
        <w:t xml:space="preserve">Befunde zum Ethanolabbau mit biologischen Kenntnissen verknüpfen. </w:t>
      </w:r>
      <w:r>
        <w:t>EF-E11</w:t>
      </w:r>
    </w:p>
    <w:p>
      <w:pPr>
        <w:pStyle w:val="ListBullet"/>
        <w:spacing w:after="100"/>
      </w:pPr>
      <w:r>
        <w:t xml:space="preserve">Informationen für einen verständlichen Blogbeitrag zu Aromastoffen auswählen. </w:t>
      </w:r>
      <w:r>
        <w:t>EF-K5</w:t>
      </w:r>
    </w:p>
    <w:p>
      <w:pPr>
        <w:pStyle w:val="ListBullet"/>
        <w:spacing w:after="100"/>
      </w:pPr>
      <w:r>
        <w:t xml:space="preserve">Alltagsbegriff Alkohol und chemische Stoffklasse unterscheiden. </w:t>
      </w:r>
      <w:r>
        <w:t>EF-K6</w:t>
      </w:r>
    </w:p>
    <w:p>
      <w:pPr>
        <w:pStyle w:val="ListBullet"/>
        <w:spacing w:after="100"/>
      </w:pPr>
      <w:r>
        <w:t xml:space="preserve">Informationen zu Konservierungsstoffen ordnen und Schlussfolgerungen formulieren. </w:t>
      </w:r>
      <w:r>
        <w:t>EF-K8</w:t>
      </w:r>
    </w:p>
    <w:p>
      <w:pPr>
        <w:pStyle w:val="ListBullet"/>
        <w:spacing w:after="100"/>
      </w:pPr>
      <w:r>
        <w:t xml:space="preserve">Einen Informationstext digital gemeinsam überarbeiten und eigene Positionen nach Rückmeldung reflektieren. </w:t>
      </w:r>
      <w:r>
        <w:t>EF-K13</w:t>
      </w:r>
    </w:p>
    <w:p>
      <w:pPr>
        <w:pStyle w:val="ListBullet"/>
        <w:spacing w:after="100"/>
      </w:pPr>
      <w:r>
        <w:t xml:space="preserve">Lösemittelverwendung aus Sicht von Anwendung und Entsorgung beurteilen. </w:t>
      </w:r>
      <w:r>
        <w:t>EF-B1</w:t>
      </w:r>
    </w:p>
    <w:p>
      <w:pPr>
        <w:pStyle w:val="ListBullet"/>
        <w:spacing w:after="100"/>
      </w:pPr>
      <w:r>
        <w:t xml:space="preserve">Kriterien für den Konsum aromatisierter und konservierter Produkte entwickeln. </w:t>
      </w:r>
      <w:r>
        <w:t>EF-B5</w:t>
      </w:r>
    </w:p>
    <w:p>
      <w:pPr>
        <w:pStyle w:val="ListBullet"/>
        <w:spacing w:after="100"/>
      </w:pPr>
      <w:r>
        <w:t xml:space="preserve">Chancen und Risiken der Ethanolverwendung fachlich bewerten. </w:t>
      </w:r>
      <w:r>
        <w:t>EF-B6</w:t>
      </w:r>
    </w:p>
    <w:p>
      <w:pPr>
        <w:pStyle w:val="ListBullet"/>
        <w:spacing w:after="100"/>
      </w:pPr>
      <w:r>
        <w:t xml:space="preserve">Eine Entscheidung zum Lösemittelgebrauch mit fachlichen Kriterien begründen. </w:t>
      </w:r>
      <w:r>
        <w:t>EF-B7</w:t>
      </w:r>
    </w:p>
    <w:p>
      <w:pPr>
        <w:pStyle w:val="ListBullet"/>
        <w:spacing w:after="100"/>
      </w:pPr>
      <w:r>
        <w:t xml:space="preserve">Die Bedeutung chemischer Kenntnisse für die sichere Produktverwendung erläutern. </w:t>
      </w:r>
      <w:r>
        <w:t>EF-B8</w:t>
      </w:r>
    </w:p>
    <w:p>
      <w:pPr>
        <w:pStyle w:val="ListBullet"/>
        <w:spacing w:after="100"/>
      </w:pPr>
      <w:r>
        <w:t xml:space="preserve">Chemische Produktbewertung von Geschmack, Kosten und persönlichen Präferenzen abgrenzen. </w:t>
      </w:r>
      <w:r>
        <w:t>EF-B9</w:t>
      </w:r>
    </w:p>
    <w:p>
      <w:pPr>
        <w:pStyle w:val="ListBullet"/>
        <w:spacing w:after="100"/>
      </w:pPr>
      <w:r>
        <w:t xml:space="preserve">Gefahren und Schutzmaßnahmen beim Umgang mit Alkoholen und Lösemitteln begründen. </w:t>
      </w:r>
      <w:r>
        <w:t>EF-B11</w:t>
      </w:r>
    </w:p>
    <w:p>
      <w:pPr>
        <w:pStyle w:val="ListBullet"/>
        <w:spacing w:after="100"/>
      </w:pPr>
      <w:r>
        <w:t xml:space="preserve">Chemische Kriterien für eine Entscheidung zur Verwendung und Entsorgung eines Lösemittels identifizieren. </w:t>
      </w:r>
      <w:r>
        <w:t>EF-B14</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4">
        <w:r>
          <w:t>Tempo und Balance zu Kinetik und Gleichgewicht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Duftstoff-Dossier mit Strukturformeln, Stoffeigenschaftserklärung, Oxidationsreihe und Estersyntheseprotokoll. Fachlich begründete Beurteilungen zu Ethanol, Lösemitteln sowie Aroma- und Konservierungsstoffen.</w:t>
      </w:r>
    </w:p>
    <w:p>
      <w:bookmarkStart w:id="7018" w:name="uv_EF_02"/>
      <w:pPr>
        <w:pStyle w:val="Heading2"/>
        <w:keepNext/>
        <w:spacing w:after="140"/>
      </w:pPr>
      <w:r>
        <w:t>EF.02 Beeinflussung der Reaktionsgeschwindigkeit</w:t>
      </w:r>
      <w:bookmarkEnd w:id="7018"/>
    </w:p>
    <w:p>
      <w:pPr>
        <w:spacing w:after="140"/>
      </w:pPr>
      <w:r>
        <w:t>Jahrgang EF · Einführungsphase · ca. 14 Unterrichtsstunden zu 45 Minuten</w:t>
      </w:r>
    </w:p>
    <w:p>
      <w:pPr>
        <w:spacing w:after="140"/>
      </w:pPr>
      <w:r>
        <w:rPr>
          <w:b/>
        </w:rPr>
        <w:t xml:space="preserve">Leitfrage </w:t>
      </w:r>
      <w:r>
        <w:t>Wie kann ein Wasserkocher möglichst schnell entkalkt werden?</w:t>
      </w:r>
      <w:r>
        <w:br/>
      </w:r>
      <w:r>
        <w:br/>
      </w:r>
      <w:r>
        <w:t>Wie lässt sich die Reaktionsgeschwindigkeit bestimmen und beeinflussen?</w:t>
      </w:r>
    </w:p>
    <w:p>
      <w:pPr>
        <w:pStyle w:val="Heading3"/>
        <w:keepNext/>
        <w:spacing w:after="140"/>
      </w:pPr>
      <w:r>
        <w:t>Inhalte und Schwerpunkte</w:t>
      </w:r>
    </w:p>
    <w:p>
      <w:pPr>
        <w:spacing w:after="140"/>
      </w:pPr>
      <w:r>
        <w:t>Reaktionsgeschwindigkeit und chemisches Gleichgewicht — Schwerpunkt Kinetik</w:t>
      </w:r>
    </w:p>
    <w:p>
      <w:pPr>
        <w:pStyle w:val="ListBullet"/>
        <w:spacing w:after="100"/>
      </w:pPr>
      <w:r>
        <w:t>Mittlere Reaktionsgeschwindigkeit; Konzentrations-Zeit-Diagramme.</w:t>
      </w:r>
    </w:p>
    <w:p>
      <w:pPr>
        <w:pStyle w:val="ListBullet"/>
        <w:spacing w:after="100"/>
      </w:pPr>
      <w:r>
        <w:t>Einfluss von Oberfläche, Konzentration, Temperatur und bei Gasreaktionen Druck; Variablenkontrolle.</w:t>
      </w:r>
    </w:p>
    <w:p>
      <w:pPr>
        <w:pStyle w:val="ListBullet"/>
        <w:spacing w:after="100"/>
      </w:pPr>
      <w:r>
        <w:t>Stoßtheorie, Aktivierungsenergie und Katalyse.</w:t>
      </w:r>
    </w:p>
    <w:p>
      <w:pPr>
        <w:pStyle w:val="Heading3"/>
        <w:keepNext/>
        <w:spacing w:after="140"/>
      </w:pPr>
      <w:r>
        <w:t>Lernweg und methodische Gestaltung</w:t>
      </w:r>
    </w:p>
    <w:p>
      <w:pPr>
        <w:pStyle w:val="ListBullet"/>
        <w:spacing w:after="100"/>
      </w:pPr>
      <w:r>
        <w:t>Die ursprüngliche Entkalkungsfrage bleibt Ausgangspunkt. Jeweils nur einen Einflussfaktor variieren und den zeitlichen Verlauf messen.</w:t>
      </w:r>
    </w:p>
    <w:p>
      <w:pPr>
        <w:pStyle w:val="ListBullet"/>
        <w:spacing w:after="100"/>
      </w:pPr>
      <w:r>
        <w:t>Aus Messreihen Diagramme erstellen und Durchschnittsgeschwindigkeiten grafisch bestimmen.</w:t>
      </w:r>
    </w:p>
    <w:p>
      <w:pPr>
        <w:pStyle w:val="ListBullet"/>
        <w:spacing w:after="100"/>
      </w:pPr>
      <w:r>
        <w:t>Stoßtheorie und Katalysatorwirkung durch Modelle bzw. digitale Simulationen darstellen; Modelle mit den Versuchsdaten vergleichen und Grenzen reflektieren.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den Einfluss eines Katalysators auf die Reaktionsgeschwindigkeit auch anhand grafischer Darstellungen (S3, S8, S9), </w:t>
      </w:r>
      <w:r>
        <w:t>EF-RG-01</w:t>
      </w:r>
    </w:p>
    <w:p>
      <w:pPr>
        <w:pStyle w:val="ListBullet"/>
        <w:spacing w:after="100"/>
      </w:pPr>
      <w:r>
        <w:t xml:space="preserve">definieren die Durchschnittsgeschwindigkeit chemischer Reaktionen und ermitteln diese grafisch aus experimentellen Daten (E5, K7, K9), </w:t>
      </w:r>
      <w:r>
        <w:t>EF-RG-05</w:t>
      </w:r>
    </w:p>
    <w:p>
      <w:pPr>
        <w:pStyle w:val="ListBullet"/>
        <w:spacing w:after="100"/>
      </w:pPr>
      <w:r>
        <w:t xml:space="preserve">überprüfen aufgestellte Hypothesen zum Einfluss verschiedener Faktoren auf die Reaktionsgeschwindigkeit durch Untersuchungen des zeitlichen Ablaufs einer chemischen Reaktion (E3, E4, E10, S9), </w:t>
      </w:r>
      <w:r>
        <w:t>EF-RG-06</w:t>
      </w:r>
    </w:p>
    <w:p>
      <w:pPr>
        <w:pStyle w:val="ListBullet"/>
        <w:spacing w:after="100"/>
      </w:pPr>
      <w:r>
        <w:t xml:space="preserve">stellen den zeitlichen Ablauf chemischer Reaktionen auf molekularer Ebene mithilfe der Stoßtheorie auch unter Nutzung digitaler Werkzeuge dar und deuten die Ergebnisse (E6, E7, E8, K11), </w:t>
      </w:r>
      <w:r>
        <w:t>EF-RG-07</w:t>
      </w:r>
    </w:p>
    <w:p>
      <w:pPr>
        <w:pStyle w:val="Heading3"/>
        <w:keepNext/>
        <w:spacing w:after="140"/>
      </w:pPr>
      <w:r>
        <w:t>Übergreifende Lernleistungen</w:t>
      </w:r>
    </w:p>
    <w:p>
      <w:pPr>
        <w:pStyle w:val="ListBullet"/>
        <w:spacing w:after="100"/>
      </w:pPr>
      <w:r>
        <w:t xml:space="preserve">Energieprofile einer katalysierten und unkatalysierten Reaktion erklären. </w:t>
      </w:r>
      <w:r>
        <w:t>EF-S3</w:t>
      </w:r>
    </w:p>
    <w:p>
      <w:pPr>
        <w:pStyle w:val="ListBullet"/>
        <w:spacing w:after="100"/>
      </w:pPr>
      <w:r>
        <w:t xml:space="preserve">Einfluss von Konzentration, Oberfläche, Temperatur und Katalysator untersuchen. </w:t>
      </w:r>
      <w:r>
        <w:t>EF-S8</w:t>
      </w:r>
    </w:p>
    <w:p>
      <w:pPr>
        <w:pStyle w:val="ListBullet"/>
        <w:spacing w:after="100"/>
      </w:pPr>
      <w:r>
        <w:t xml:space="preserve">Unterschiedliche Reaktionsverläufe mit der Stoßtheorie erklären. </w:t>
      </w:r>
      <w:r>
        <w:t>EF-S9</w:t>
      </w:r>
    </w:p>
    <w:p>
      <w:pPr>
        <w:pStyle w:val="ListBullet"/>
        <w:spacing w:after="100"/>
      </w:pPr>
      <w:r>
        <w:t xml:space="preserve">Entkalken als chemisch untersuchbare Alltagssituation erschließen. </w:t>
      </w:r>
      <w:r>
        <w:t>EF-E1</w:t>
      </w:r>
    </w:p>
    <w:p>
      <w:pPr>
        <w:pStyle w:val="ListBullet"/>
        <w:spacing w:after="100"/>
      </w:pPr>
      <w:r>
        <w:t xml:space="preserve">Eine Frage zum Einfluss der Temperatur auf die Entkalkung entwickeln. </w:t>
      </w:r>
      <w:r>
        <w:t>EF-E2</w:t>
      </w:r>
    </w:p>
    <w:p>
      <w:pPr>
        <w:pStyle w:val="ListBullet"/>
        <w:spacing w:after="100"/>
      </w:pPr>
      <w:r>
        <w:t xml:space="preserve">Eine überprüfbare Hypothese zum Konzentrationseinfluss aufstellen. </w:t>
      </w:r>
      <w:r>
        <w:t>EF-E3</w:t>
      </w:r>
    </w:p>
    <w:p>
      <w:pPr>
        <w:pStyle w:val="ListBullet"/>
        <w:spacing w:after="100"/>
      </w:pPr>
      <w:r>
        <w:t xml:space="preserve">Eine Messreihe mit kontrollierten Variablen planen. </w:t>
      </w:r>
      <w:r>
        <w:t>EF-E4</w:t>
      </w:r>
    </w:p>
    <w:p>
      <w:pPr>
        <w:pStyle w:val="ListBullet"/>
        <w:spacing w:after="100"/>
      </w:pPr>
      <w:r>
        <w:t xml:space="preserve">Messwerte digital auswerten und eine Teilchensimulation verwenden. </w:t>
      </w:r>
      <w:r>
        <w:t>EF-E6</w:t>
      </w:r>
    </w:p>
    <w:p>
      <w:pPr>
        <w:pStyle w:val="ListBullet"/>
        <w:spacing w:after="100"/>
      </w:pPr>
      <w:r>
        <w:t xml:space="preserve">Trends in Zeitreihen erkennen und mit der Stoßtheorie erklären. </w:t>
      </w:r>
      <w:r>
        <w:t>EF-E8</w:t>
      </w:r>
    </w:p>
    <w:p>
      <w:pPr>
        <w:pStyle w:val="ListBullet"/>
        <w:spacing w:after="100"/>
      </w:pPr>
      <w:r>
        <w:t xml:space="preserve">Messverfahren, eigene Ergebnisse und mögliche Störgrößen besprechen. </w:t>
      </w:r>
      <w:r>
        <w:t>EF-E10</w:t>
      </w:r>
    </w:p>
    <w:p>
      <w:pPr>
        <w:pStyle w:val="ListBullet"/>
        <w:spacing w:after="100"/>
      </w:pPr>
      <w:r>
        <w:t xml:space="preserve">Messwerttabelle in ein Diagramm und dessen Verlauf in einen Erklärungstext übertragen. </w:t>
      </w:r>
      <w:r>
        <w:t>EF-K7</w:t>
      </w:r>
    </w:p>
    <w:p>
      <w:pPr>
        <w:pStyle w:val="ListBullet"/>
        <w:spacing w:after="100"/>
      </w:pPr>
      <w:r>
        <w:t xml:space="preserve">Reaktionsgeschwindigkeit mit korrekten Begriffen und Einheiten erläutern. </w:t>
      </w:r>
      <w:r>
        <w:t>EF-K9</w:t>
      </w:r>
    </w:p>
    <w:p>
      <w:pPr>
        <w:pStyle w:val="ListBullet"/>
        <w:spacing w:after="100"/>
      </w:pPr>
      <w:r>
        <w:t xml:space="preserve">Eine digitale Simulation zur Stoßtheorie erläutern. </w:t>
      </w:r>
      <w:r>
        <w:t>EF-K11</w:t>
      </w:r>
    </w:p>
    <w:p>
      <w:pPr>
        <w:pStyle w:val="Heading3"/>
        <w:keepNext/>
        <w:spacing w:after="140"/>
      </w:pPr>
      <w:r>
        <w:t>Digitale Lernmaterialien</w:t>
      </w:r>
    </w:p>
    <w:p>
      <w:pPr>
        <w:pStyle w:val="ListBullet"/>
        <w:spacing w:after="100"/>
      </w:pPr>
      <w:hyperlink r:id="rId14">
        <w:r>
          <w:t>Tempo und Balance zu Kinetik und Gleichgewicht</w:t>
        </w:r>
      </w:hyperlink>
    </w:p>
    <w:p>
      <w:pPr>
        <w:pStyle w:val="ListBullet"/>
        <w:spacing w:after="100"/>
      </w:pPr>
      <w:hyperlink r:id="rId12">
        <w:r>
          <w:t>Mol Mission zur Stöchiometrie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Versuchsplanung mit Variablenkontrolle, Messreihe und Diagramm; Geschwindigkeit bestimmen und eine Entkalkungsempfehlung chemisch begründen.</w:t>
      </w:r>
    </w:p>
    <w:p>
      <w:bookmarkStart w:id="7019" w:name="uv_EF_03"/>
      <w:pPr>
        <w:pStyle w:val="Heading2"/>
        <w:keepNext/>
        <w:spacing w:after="140"/>
      </w:pPr>
      <w:r>
        <w:t>EF.03 Das chemische Gleichgewicht</w:t>
      </w:r>
      <w:bookmarkEnd w:id="7019"/>
    </w:p>
    <w:p>
      <w:pPr>
        <w:spacing w:after="140"/>
      </w:pPr>
      <w:r>
        <w:t>Jahrgang EF · Einführungsphase · ca. 16 Unterrichtsstunden zu 45 Minuten</w:t>
      </w:r>
    </w:p>
    <w:p>
      <w:pPr>
        <w:spacing w:after="140"/>
      </w:pPr>
      <w:r>
        <w:rPr>
          <w:b/>
        </w:rPr>
        <w:t xml:space="preserve">Leitfrage </w:t>
      </w:r>
      <w:r>
        <w:t>Warum bleibt bei der Duftstoffherstellung Ausgangsstoff übrig, obwohl wir lange genug warten?</w:t>
      </w:r>
    </w:p>
    <w:p>
      <w:pPr>
        <w:pStyle w:val="Heading3"/>
        <w:keepNext/>
        <w:spacing w:after="140"/>
      </w:pPr>
      <w:r>
        <w:t>Inhalte und Schwerpunkte</w:t>
      </w:r>
    </w:p>
    <w:p>
      <w:pPr>
        <w:spacing w:after="140"/>
      </w:pPr>
      <w:r>
        <w:t>Reaktionsgeschwindigkeit und chemisches Gleichgewicht — Schwerpunkt Gleichgewicht</w:t>
      </w:r>
    </w:p>
    <w:p>
      <w:pPr>
        <w:pStyle w:val="ListBullet"/>
        <w:spacing w:after="100"/>
      </w:pPr>
      <w:r>
        <w:t>Umkehrbare Reaktionen und dynamisches Gleichgewicht; konstante Konzentrationen bei fortlaufender Hin- und Rückreaktion.</w:t>
      </w:r>
    </w:p>
    <w:p>
      <w:pPr>
        <w:pStyle w:val="ListBullet"/>
        <w:spacing w:after="100"/>
      </w:pPr>
      <w:r>
        <w:t>Massenwirkungsgesetz und Kc; Gleichgewichtslagen berechnen und deuten.</w:t>
      </w:r>
    </w:p>
    <w:p>
      <w:pPr>
        <w:pStyle w:val="ListBullet"/>
        <w:spacing w:after="100"/>
      </w:pPr>
      <w:r>
        <w:t>Prinzip von Le Chatelier: Konzentration, Temperatur und Druck; Katalyse verändert die Einstellungsgeschwindigkeit, nicht die Gleichgewichtslage.</w:t>
      </w:r>
    </w:p>
    <w:p>
      <w:pPr>
        <w:pStyle w:val="ListBullet"/>
        <w:spacing w:after="100"/>
      </w:pPr>
      <w:r>
        <w:t>Technisches Verfahren am Beispiel der Ammoniaksynthese; ökonomische und ökologische Grenzen der Ausbeuteoptimierung.</w:t>
      </w:r>
    </w:p>
    <w:p>
      <w:pPr>
        <w:pStyle w:val="Heading3"/>
        <w:keepNext/>
        <w:spacing w:after="140"/>
      </w:pPr>
      <w:r>
        <w:t>Lernweg und methodische Gestaltung</w:t>
      </w:r>
    </w:p>
    <w:p>
      <w:pPr>
        <w:pStyle w:val="ListBullet"/>
        <w:spacing w:after="100"/>
      </w:pPr>
      <w:r>
        <w:t>Die Estersynthese aus EF.01 erneut betrachten und Hin- und Rückreaktion in einem Modellversuch sowie digital simulieren.</w:t>
      </w:r>
    </w:p>
    <w:p>
      <w:pPr>
        <w:pStyle w:val="ListBullet"/>
        <w:spacing w:after="100"/>
      </w:pPr>
      <w:r>
        <w:t>Aus Gleichgewichtsdaten das Massenwirkungsgesetz erarbeiten und Konzentrationen bzw. Kc berechnen.</w:t>
      </w:r>
    </w:p>
    <w:p>
      <w:pPr>
        <w:pStyle w:val="ListBullet"/>
        <w:spacing w:after="100"/>
      </w:pPr>
      <w:r>
        <w:t>Hypothesen zur Verschiebung ausgewählter Gleichgewichte überprüfen.</w:t>
      </w:r>
    </w:p>
    <w:p>
      <w:pPr>
        <w:pStyle w:val="ListBullet"/>
        <w:spacing w:after="100"/>
      </w:pPr>
      <w:r>
        <w:t>Für die Ammoniaksynthese Reaktionsbedingungen gegeneinander abwägen: Ausbeute, Geschwindigkeit, Energiebedarf und technische Grenzen.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beschreiben die Merkmale eines chemischen Gleichgewichtes anhand ausgewählter Reaktionen (S7, S15, K10), </w:t>
      </w:r>
      <w:r>
        <w:t>EF-RG-02</w:t>
      </w:r>
    </w:p>
    <w:p>
      <w:pPr>
        <w:pStyle w:val="ListBullet"/>
        <w:spacing w:after="100"/>
      </w:pPr>
      <w:r>
        <w:t xml:space="preserve">erklären anhand ausgewählter Reaktionen die Beeinflussung des chemischen Gleichgewichts nach dem Prinzip von Le Chatelier auch im Zusammenhang mit einem technischen Verfahren (S8, S15, K10), </w:t>
      </w:r>
      <w:r>
        <w:t>EF-RG-03</w:t>
      </w:r>
    </w:p>
    <w:p>
      <w:pPr>
        <w:pStyle w:val="ListBullet"/>
        <w:spacing w:after="100"/>
      </w:pPr>
      <w:r>
        <w:t xml:space="preserve">bestimmen rechnerisch Gleichgewichtslagen ausgewählter Reaktionen mithilfe des Massenwirkungsgesetzes und interpretieren die Ergebnisse (S7, S8, S17). </w:t>
      </w:r>
      <w:r>
        <w:t>EF-RG-04</w:t>
      </w:r>
    </w:p>
    <w:p>
      <w:pPr>
        <w:pStyle w:val="ListBullet"/>
        <w:spacing w:after="100"/>
      </w:pPr>
      <w:r>
        <w:t xml:space="preserve">simulieren den chemischen Gleichgewichtszustand als dynamisches Gleichgewicht auch unter Nutzung digitaler Werkzeuge (E6, E9, S15, K10). </w:t>
      </w:r>
      <w:r>
        <w:t>EF-RG-08</w:t>
      </w:r>
    </w:p>
    <w:p>
      <w:pPr>
        <w:pStyle w:val="ListBullet"/>
        <w:spacing w:after="100"/>
      </w:pPr>
      <w:r>
        <w:t xml:space="preserve">beurteilen den ökologischen wie ökonomischen Nutzen und die Grenzen der Beeinflussbarkeit chemischer Gleichgewichtslagen in einem technischen Verfahren (B3, B10, B12, E12), </w:t>
      </w:r>
      <w:r>
        <w:t>EF-RG-09</w:t>
      </w:r>
    </w:p>
    <w:p>
      <w:pPr>
        <w:pStyle w:val="Heading3"/>
        <w:keepNext/>
        <w:spacing w:after="140"/>
      </w:pPr>
      <w:r>
        <w:t>Übergreifende Lernleistungen</w:t>
      </w:r>
    </w:p>
    <w:p>
      <w:pPr>
        <w:pStyle w:val="ListBullet"/>
        <w:spacing w:after="100"/>
      </w:pPr>
      <w:r>
        <w:t xml:space="preserve">Dynamisches Gleichgewicht bei der Estersynthese und Umkehrbarkeit erläutern; das Donator-Akzeptor-Prinzip der Alkoholoxidation einbeziehen. </w:t>
      </w:r>
      <w:r>
        <w:t>EF-S7</w:t>
      </w:r>
    </w:p>
    <w:p>
      <w:pPr>
        <w:pStyle w:val="ListBullet"/>
        <w:spacing w:after="100"/>
      </w:pPr>
      <w:r>
        <w:t xml:space="preserve">Konstante Stoffmengen im dynamischen Gleichgewicht von fortlaufenden Teilchenreaktionen unterscheiden. </w:t>
      </w:r>
      <w:r>
        <w:t>EF-S15</w:t>
      </w:r>
    </w:p>
    <w:p>
      <w:pPr>
        <w:pStyle w:val="ListBullet"/>
        <w:spacing w:after="100"/>
      </w:pPr>
      <w:r>
        <w:t xml:space="preserve">Gleichgewichtslage aus vorgegebenen Stoffmengen mit dem Massenwirkungsgesetz berechnen. </w:t>
      </w:r>
      <w:r>
        <w:t>EF-S17</w:t>
      </w:r>
    </w:p>
    <w:p>
      <w:pPr>
        <w:pStyle w:val="ListBullet"/>
        <w:spacing w:after="100"/>
      </w:pPr>
      <w:r>
        <w:t xml:space="preserve">Möglichkeiten und Grenzen eines Gleichgewichtsmodells diskutieren. </w:t>
      </w:r>
      <w:r>
        <w:t>EF-E9</w:t>
      </w:r>
    </w:p>
    <w:p>
      <w:pPr>
        <w:pStyle w:val="ListBullet"/>
        <w:spacing w:after="100"/>
      </w:pPr>
      <w:r>
        <w:t xml:space="preserve">Das dynamische Gleichgewicht mit fachlich schlüssigen Argumenten erklären. </w:t>
      </w:r>
      <w:r>
        <w:t>EF-K10</w:t>
      </w:r>
    </w:p>
    <w:p>
      <w:pPr>
        <w:pStyle w:val="ListBullet"/>
        <w:spacing w:after="100"/>
      </w:pPr>
      <w:r>
        <w:t xml:space="preserve">Die Reichweite von Daten zur industriellen Gleichgewichtssteuerung beurteilen. </w:t>
      </w:r>
      <w:r>
        <w:t>EF-B3</w:t>
      </w:r>
    </w:p>
    <w:p>
      <w:pPr>
        <w:pStyle w:val="ListBullet"/>
        <w:spacing w:after="100"/>
      </w:pPr>
      <w:r>
        <w:t xml:space="preserve">Gesellschaftlichen und ökologischen Nutzen der Ammoniaksynthese beurteilen. </w:t>
      </w:r>
      <w:r>
        <w:t>EF-B10</w:t>
      </w:r>
    </w:p>
    <w:p>
      <w:pPr>
        <w:pStyle w:val="Heading3"/>
        <w:keepNext/>
        <w:spacing w:after="140"/>
      </w:pPr>
      <w:r>
        <w:t>Digitale Lernmaterialien</w:t>
      </w:r>
    </w:p>
    <w:p>
      <w:pPr>
        <w:pStyle w:val="ListBullet"/>
        <w:spacing w:after="100"/>
      </w:pPr>
      <w:hyperlink r:id="rId14">
        <w:r>
          <w:t>Tempo und Balance zu Kinetik und Gleichgewicht</w:t>
        </w:r>
      </w:hyperlink>
    </w:p>
    <w:p>
      <w:pPr>
        <w:pStyle w:val="ListBullet"/>
        <w:spacing w:after="100"/>
      </w:pPr>
      <w:hyperlink r:id="rId13">
        <w:r>
          <w:t>Nomenklaturquiz</w:t>
        </w:r>
      </w:hyperlink>
    </w:p>
    <w:p>
      <w:pPr>
        <w:pStyle w:val="ListBullet"/>
        <w:spacing w:after="100"/>
      </w:pPr>
      <w:hyperlink r:id="rId15">
        <w:r>
          <w:t>Treibhauseffekt Labor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Eine Gleichgewichtsstörung vorhersagen und quantitativ auswerten; Modellgrenzen diskutieren und eine industrielle Verfahrensentscheidung begründen.</w:t>
      </w:r>
    </w:p>
    <w:p>
      <w:bookmarkStart w:id="7020" w:name="uv_EF_04"/>
      <w:pPr>
        <w:pStyle w:val="Heading2"/>
        <w:keepNext/>
        <w:spacing w:after="140"/>
      </w:pPr>
      <w:r>
        <w:t>EF.04 Kohlenstoffkreislauf und Klima</w:t>
      </w:r>
      <w:bookmarkEnd w:id="7020"/>
    </w:p>
    <w:p>
      <w:pPr>
        <w:spacing w:after="140"/>
      </w:pPr>
      <w:r>
        <w:t>Jahrgang EF · Einführungsphase · ca. 20 Unterrichtsstunden zu 45 Minuten</w:t>
      </w:r>
    </w:p>
    <w:p>
      <w:pPr>
        <w:spacing w:after="140"/>
      </w:pPr>
      <w:r>
        <w:rPr>
          <w:b/>
        </w:rPr>
        <w:t xml:space="preserve">Leitfrage </w:t>
      </w:r>
      <w:r>
        <w:t>Die Ozeane nehmen Kohlendioxid auf. Warum löst sich das Klimaproblem damit nicht von selbst?</w:t>
      </w:r>
    </w:p>
    <w:p>
      <w:pPr>
        <w:pStyle w:val="Heading3"/>
        <w:keepNext/>
        <w:spacing w:after="140"/>
      </w:pPr>
      <w:r>
        <w:t>Inhalte und Schwerpunkte</w:t>
      </w:r>
    </w:p>
    <w:p>
      <w:pPr>
        <w:spacing w:after="140"/>
      </w:pPr>
      <w:r>
        <w:t>Reaktionsgeschwindigkeit und chemisches Gleichgewicht — natürlicher Stoffkreislauf</w:t>
      </w:r>
    </w:p>
    <w:p>
      <w:pPr>
        <w:pStyle w:val="ListBullet"/>
        <w:spacing w:after="100"/>
      </w:pPr>
      <w:r>
        <w:t>Natürlicher Kohlenstoffkreislauf und anthropogene Eingriffe; Speicher und Stoffflüsse.</w:t>
      </w:r>
    </w:p>
    <w:p>
      <w:pPr>
        <w:pStyle w:val="ListBullet"/>
        <w:spacing w:after="100"/>
      </w:pPr>
      <w:r>
        <w:t>Kohlenstoffdioxid-Löslichkeit und Carbonatgleichgewichte; Temperatur- und Konzentrationseinflüsse.</w:t>
      </w:r>
    </w:p>
    <w:p>
      <w:pPr>
        <w:pStyle w:val="ListBullet"/>
        <w:spacing w:after="100"/>
      </w:pPr>
      <w:r>
        <w:t>Folgen für Klima und Ozeane; Quellenkritik, Perspektiven und Grenzen von Modellen.</w:t>
      </w:r>
    </w:p>
    <w:p>
      <w:pPr>
        <w:pStyle w:val="ListBullet"/>
        <w:spacing w:after="100"/>
      </w:pPr>
      <w:r>
        <w:t>Maßnahmen zum Klimaschutz aus ökologischer und ökonomischer Perspektive.</w:t>
      </w:r>
    </w:p>
    <w:p>
      <w:pPr>
        <w:pStyle w:val="Heading3"/>
        <w:keepNext/>
        <w:spacing w:after="140"/>
      </w:pPr>
      <w:r>
        <w:t>Lernweg und methodische Gestaltung</w:t>
      </w:r>
    </w:p>
    <w:p>
      <w:pPr>
        <w:pStyle w:val="ListBullet"/>
        <w:spacing w:after="100"/>
      </w:pPr>
      <w:r>
        <w:t>Kohlenstoffflüsse modellieren und die Systemgrenzen offenlegen.</w:t>
      </w:r>
    </w:p>
    <w:p>
      <w:pPr>
        <w:pStyle w:val="ListBullet"/>
        <w:spacing w:after="100"/>
      </w:pPr>
      <w:r>
        <w:t>CO₂-Löslichkeit und Gleichgewichtsverschiebungen anhand geeigneter Versuche oder Daten untersuchen; Befunde chemisch deuten.</w:t>
      </w:r>
    </w:p>
    <w:p>
      <w:pPr>
        <w:pStyle w:val="ListBullet"/>
        <w:spacing w:after="100"/>
      </w:pPr>
      <w:r>
        <w:t>Verschiedene Darstellungen zum Einfluss des Menschen auf den Kohlenstoffkreislauf auf Datenbasis, Herkunft und Absicht prüfen.</w:t>
      </w:r>
    </w:p>
    <w:p>
      <w:pPr>
        <w:pStyle w:val="ListBullet"/>
        <w:spacing w:after="100"/>
      </w:pPr>
      <w:r>
        <w:t>Handlungsoptionen entwickeln, Kriterien gewichten und Folgen für Gleichgewichte sowie Nachhaltigkeit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anhand ausgewählter Reaktionen die Beeinflussung des chemischen Gleichgewichts nach dem Prinzip von Le Chatelier auch im Zusammenhang mit einem technischen Verfahren (S8, S15, K10), </w:t>
      </w:r>
      <w:r>
        <w:t>EF-RG-03</w:t>
      </w:r>
    </w:p>
    <w:p>
      <w:pPr>
        <w:pStyle w:val="ListBullet"/>
        <w:spacing w:after="100"/>
      </w:pPr>
      <w:r>
        <w:t xml:space="preserve">analysieren und beurteilen im Zusammenhang mit der jeweiligen Intention der Urheberschaft verschiedene Quellen und Darstellungsformen zu den Folgen anthropogener Einflüsse in einen natürlichen Stoffkreislauf (B2, B4, S5, K1, K2, K3, K4, K12), </w:t>
      </w:r>
      <w:r>
        <w:t>EF-RG-10</w:t>
      </w:r>
    </w:p>
    <w:p>
      <w:pPr>
        <w:pStyle w:val="ListBullet"/>
        <w:spacing w:after="100"/>
      </w:pPr>
      <w:r>
        <w:t xml:space="preserve">bewerten die Folgen eines Eingriffs in einen Stoffkreislauf mit Blick auf Gleichgewichtsprozesse in aktuell-gesellschaftlichen Zusammenhängen (B12, B13, B14, S5, E12, K13). </w:t>
      </w:r>
      <w:r>
        <w:t>EF-RG-11</w:t>
      </w:r>
    </w:p>
    <w:p>
      <w:pPr>
        <w:pStyle w:val="Heading3"/>
        <w:keepNext/>
        <w:spacing w:after="140"/>
      </w:pPr>
      <w:r>
        <w:t>Übergreifende Lernleistungen</w:t>
      </w:r>
    </w:p>
    <w:p>
      <w:pPr>
        <w:pStyle w:val="ListBullet"/>
        <w:spacing w:after="100"/>
      </w:pPr>
      <w:r>
        <w:t xml:space="preserve">Den Kohlenstoffkreislauf als Folge chemischer Reaktionen darstellen. </w:t>
      </w:r>
      <w:r>
        <w:t>EF-S5</w:t>
      </w:r>
    </w:p>
    <w:p>
      <w:pPr>
        <w:pStyle w:val="ListBullet"/>
        <w:spacing w:after="100"/>
      </w:pPr>
      <w:r>
        <w:t xml:space="preserve">Aussagegrenzen des Modellversuchs zur Meeresversauerung reflektieren. </w:t>
      </w:r>
      <w:r>
        <w:t>EF-E12</w:t>
      </w:r>
    </w:p>
    <w:p>
      <w:pPr>
        <w:pStyle w:val="ListBullet"/>
        <w:spacing w:after="100"/>
      </w:pPr>
      <w:r>
        <w:t xml:space="preserve">Angeleitet Quellen zum Kohlenstoffkreislauf recherchieren. </w:t>
      </w:r>
      <w:r>
        <w:t>EF-K1</w:t>
      </w:r>
    </w:p>
    <w:p>
      <w:pPr>
        <w:pStyle w:val="ListBullet"/>
        <w:spacing w:after="100"/>
      </w:pPr>
      <w:r>
        <w:t xml:space="preserve">Relevante Angaben aus Text, Diagramm und Reaktionsschema auswählen. </w:t>
      </w:r>
      <w:r>
        <w:t>EF-K2</w:t>
      </w:r>
    </w:p>
    <w:p>
      <w:pPr>
        <w:pStyle w:val="ListBullet"/>
        <w:spacing w:after="100"/>
      </w:pPr>
      <w:r>
        <w:t xml:space="preserve">Aussagen zweier Quellen zum selben Kohlenstoffdioxid-Datensatz vergleichen. </w:t>
      </w:r>
      <w:r>
        <w:t>EF-K3</w:t>
      </w:r>
    </w:p>
    <w:p>
      <w:pPr>
        <w:pStyle w:val="ListBullet"/>
        <w:spacing w:after="100"/>
      </w:pPr>
      <w:r>
        <w:t xml:space="preserve">Urheberschaft, Aktualität und fachliche Belege einer Quelle prüfen. </w:t>
      </w:r>
      <w:r>
        <w:t>EF-K4</w:t>
      </w:r>
    </w:p>
    <w:p>
      <w:pPr>
        <w:pStyle w:val="ListBullet"/>
        <w:spacing w:after="100"/>
      </w:pPr>
      <w:r>
        <w:t xml:space="preserve">Quellen angeben und Zitate in der Klimadarstellung kennzeichnen. </w:t>
      </w:r>
      <w:r>
        <w:t>EF-K12</w:t>
      </w:r>
    </w:p>
    <w:p>
      <w:pPr>
        <w:pStyle w:val="ListBullet"/>
        <w:spacing w:after="100"/>
      </w:pPr>
      <w:r>
        <w:t xml:space="preserve">Quellen nach vorgegebenen fachlichen Kriterien beurteilen. </w:t>
      </w:r>
      <w:r>
        <w:t>EF-B2</w:t>
      </w:r>
    </w:p>
    <w:p>
      <w:pPr>
        <w:pStyle w:val="ListBullet"/>
        <w:spacing w:after="100"/>
      </w:pPr>
      <w:r>
        <w:t xml:space="preserve">Auswahl von Diagrammen mit der Intention ihrer Urheber in Beziehung setzen. </w:t>
      </w:r>
      <w:r>
        <w:t>EF-B4</w:t>
      </w:r>
    </w:p>
    <w:p>
      <w:pPr>
        <w:pStyle w:val="ListBullet"/>
        <w:spacing w:after="100"/>
      </w:pPr>
      <w:r>
        <w:t xml:space="preserve">Eingriffe in den Kohlenstoffkreislauf im gesellschaftlichen Zusammenhang bewerten. </w:t>
      </w:r>
      <w:r>
        <w:t>EF-B12</w:t>
      </w:r>
    </w:p>
    <w:p>
      <w:pPr>
        <w:pStyle w:val="ListBullet"/>
        <w:spacing w:after="100"/>
      </w:pPr>
      <w:r>
        <w:t xml:space="preserve">Folgen eigener Mobilitätsentscheidungen ökologisch und ökonomisch abwägen. </w:t>
      </w:r>
      <w:r>
        <w:t>EF-B13</w:t>
      </w:r>
    </w:p>
    <w:p>
      <w:pPr>
        <w:pStyle w:val="Heading3"/>
        <w:keepNext/>
        <w:spacing w:after="140"/>
      </w:pPr>
      <w:r>
        <w:t>Digitale Lernmaterialien</w:t>
      </w:r>
    </w:p>
    <w:p>
      <w:pPr>
        <w:pStyle w:val="ListBullet"/>
        <w:spacing w:after="100"/>
      </w:pPr>
      <w:hyperlink r:id="rId15">
        <w:r>
          <w:t>Treibhauseffekt Labor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Quellenbasiertes Klimadossier mit Kreislaufdarstellung, chemischer Gleichgewichtserklärung und begründeter Bewertung einer Maßnahme.</w:t>
      </w:r>
    </w:p>
    <w:p>
      <w:bookmarkStart w:id="7021" w:name="gk"/>
      <w:pPr>
        <w:pStyle w:val="Heading1"/>
        <w:keepNext/>
        <w:pageBreakBefore/>
        <w:spacing w:after="140"/>
      </w:pPr>
      <w:r>
        <w:t>6 Unterrichtsvorhaben im Grundkurs</w:t>
      </w:r>
      <w:bookmarkEnd w:id="7021"/>
    </w:p>
    <w:p>
      <w:pPr>
        <w:spacing w:after="140"/>
      </w:pPr>
      <w:r>
        <w:t>Q1 beginnt mit dem zusammenhängenden Säure-Base-Block, gefolgt von Thermodynamik, Elektrochemie und Korrosion. Organische Reaktionswege einschließlich Estern und Fetten sowie Kunststoffe folgen in Q2. Salze bilden kein eigenes Kapitel; ihre verbindlichen Inhalte werden in GK.01 und GK.02 erarbeitet.</w:t>
      </w:r>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UV</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Thema</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Jahrgang</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UStd</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1">
              <w:r>
                <w:t>GK.01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Säuren und Basen mit analytischen Verfahren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2">
              <w:r>
                <w:t>GK.02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Thermodynamik</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3">
              <w:r>
                <w:t>GK.03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Elektrochemie mit galvanischer Zelle und Elektrolyse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4">
              <w:r>
                <w:t>GK.04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Korrosion von Metallen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5">
              <w:r>
                <w:t>GK.05</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Organische Chemie mit Reaktionswegen Estern und Fetten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6">
              <w:r>
                <w:t>GK.06</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Kunststoffe und funktionale Werkstoffe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30</w:t>
            </w:r>
          </w:p>
        </w:tc>
      </w:tr>
    </w:tbl>
    <w:p>
      <w:pPr>
        <w:spacing w:after="60"/>
      </w:pPr>
    </w:p>
    <w:p>
      <w:bookmarkStart w:id="7022" w:name="uv_GK_01"/>
      <w:pPr>
        <w:pStyle w:val="Heading2"/>
        <w:keepNext/>
        <w:spacing w:after="140"/>
      </w:pPr>
      <w:r>
        <w:t>GK.01 Säuren und Basen mit analytischen Verfahren</w:t>
      </w:r>
      <w:bookmarkEnd w:id="7022"/>
    </w:p>
    <w:p>
      <w:pPr>
        <w:spacing w:after="140"/>
      </w:pPr>
      <w:r>
        <w:t>Jahrgang Q1 · Grundkurs · ca. 36 Unterrichtsstunden zu 45 Minuten</w:t>
      </w:r>
    </w:p>
    <w:p>
      <w:pPr>
        <w:spacing w:after="140"/>
      </w:pPr>
      <w:r>
        <w:rPr>
          <w:b/>
        </w:rPr>
        <w:t xml:space="preserve">Leitfrage </w:t>
      </w:r>
      <w:r>
        <w:t>Gleicher pH-Wert, gleiche Wirkung? Wie entlarven wir die Versprechen auf einer Reinigerflasche?</w:t>
      </w:r>
    </w:p>
    <w:p>
      <w:pPr>
        <w:pStyle w:val="Heading3"/>
        <w:keepNext/>
        <w:spacing w:after="140"/>
      </w:pPr>
      <w:r>
        <w:t>Inhalte und Schwerpunkte</w:t>
      </w:r>
    </w:p>
    <w:p>
      <w:pPr>
        <w:spacing w:after="140"/>
      </w:pPr>
      <w:r>
        <w:t>Säuren, Basen und analytische Verfahren — zusammenhängender Auftaktblock</w:t>
      </w:r>
    </w:p>
    <w:p>
      <w:pPr>
        <w:pStyle w:val="ListBullet"/>
        <w:spacing w:after="100"/>
      </w:pPr>
      <w:r>
        <w:t>Brønsted-Konzept, Protolysegleichungen, Säure- und Basestärke, KS/pKS und KB/pKB; Massenwirkungsgesetz und Reaktionsgeschwindigkeit.</w:t>
      </w:r>
    </w:p>
    <w:p>
      <w:pPr>
        <w:pStyle w:val="ListBullet"/>
        <w:spacing w:after="100"/>
      </w:pPr>
      <w:r>
        <w:t>pH-Berechnung bei vollständiger Protolyse starker Säuren und Basen.</w:t>
      </w:r>
    </w:p>
    <w:p>
      <w:pPr>
        <w:pStyle w:val="ListBullet"/>
        <w:spacing w:after="100"/>
      </w:pPr>
      <w:r>
        <w:t>Säure-Base-Titration mit Indikator; Konzentrationsbestimmung, Messunsicherheit und Aussagekraft.</w:t>
      </w:r>
    </w:p>
    <w:p>
      <w:pPr>
        <w:pStyle w:val="ListBullet"/>
        <w:spacing w:after="100"/>
      </w:pPr>
      <w:r>
        <w:t>Ionengitter und Ionenbindung; qualitative Nachweise von Halogenid-, Ammonium- und Carbonat-Ionen durch Fällung, Farbreaktion bzw. Gasentwicklung; Bewertung von Salzen in Alltagsprodukten.</w:t>
      </w:r>
    </w:p>
    <w:p>
      <w:pPr>
        <w:pStyle w:val="Heading3"/>
        <w:keepNext/>
        <w:spacing w:after="140"/>
      </w:pPr>
      <w:r>
        <w:t>Lernweg und methodische Gestaltung</w:t>
      </w:r>
    </w:p>
    <w:p>
      <w:pPr>
        <w:pStyle w:val="ListBullet"/>
        <w:spacing w:after="100"/>
      </w:pPr>
      <w:r>
        <w:t>Reiniger und Lebensmittelproben untersuchen, Hypothesen aufstellen und geeignete qualitative bzw. quantitative Analyseverfahren begründet wählen.</w:t>
      </w:r>
    </w:p>
    <w:p>
      <w:pPr>
        <w:pStyle w:val="ListBullet"/>
        <w:spacing w:after="100"/>
      </w:pPr>
      <w:r>
        <w:t>Starke und schwache Säuren mit Metallen oder Carbonaten vergleichen; Unterschiede durch das Protolysegleichgewicht erklären.</w:t>
      </w:r>
    </w:p>
    <w:p>
      <w:pPr>
        <w:pStyle w:val="ListBullet"/>
        <w:spacing w:after="100"/>
      </w:pPr>
      <w:r>
        <w:t>Titrationen planen, durchführen und auswerten; Probenverdünnung, Messfehler und Matrixeffekte berücksichtigen. Eine titrierbare Gesamtsäure wird nicht ungeprüft als Gehalt einer einzelnen Säure bezeichnet.</w:t>
      </w:r>
    </w:p>
    <w:p>
      <w:pPr>
        <w:pStyle w:val="ListBullet"/>
        <w:spacing w:after="100"/>
      </w:pPr>
      <w:r>
        <w:t>Ionennachweise als Teil der Produktanalytik durchführen; Nutzen, Wirksamkeit, Dosierung, Risiken und Entsorgung saurer, basischer und salzhaltiger Produkte bewerten.</w:t>
      </w:r>
    </w:p>
    <w:p>
      <w:pPr>
        <w:pStyle w:val="ListBullet"/>
        <w:spacing w:after="100"/>
      </w:pPr>
      <w:r>
        <w:t>Die Wärmeentwicklung bei der Neutralisation dient als Beobachtungsbrücke zu Thermodynamik; die vollständige kalorimetrische Auswertung folgt unmittelbar im nächsten Block.</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klassifizieren die auch in Alltagsprodukten identifizierten Säuren und Basen mithilfe des Säure-Base-Konzepts von Brønsted und erläutern ihr Reaktionsverhalten unter Berücksichtigung von Protolysegleichungen (S1, S6, S7, S16, K6), </w:t>
      </w:r>
      <w:r>
        <w:t>GK-SB-01</w:t>
      </w:r>
    </w:p>
    <w:p>
      <w:pPr>
        <w:pStyle w:val="ListBullet"/>
        <w:spacing w:after="100"/>
      </w:pPr>
      <w:r>
        <w:t xml:space="preserve">erklären die unterschiedlichen Reaktionsgeschwindigkeiten von starken und schwachen Säuren mit unedlen Metallen oder Salzen anhand der Protolysereaktionen (S3, S7, S16), </w:t>
      </w:r>
      <w:r>
        <w:t>GK-SB-02</w:t>
      </w:r>
    </w:p>
    <w:p>
      <w:pPr>
        <w:pStyle w:val="ListBullet"/>
        <w:spacing w:after="100"/>
      </w:pPr>
      <w:r>
        <w:t xml:space="preserve">interpretieren die Gleichgewichtslage von Protolysereaktionen mithilfe des Massenwirkungsgesetzes und die daraus resultierenden Säure-/Base-Konstanten (S2, S7), </w:t>
      </w:r>
      <w:r>
        <w:t>GK-SB-03</w:t>
      </w:r>
    </w:p>
    <w:p>
      <w:pPr>
        <w:pStyle w:val="ListBullet"/>
        <w:spacing w:after="100"/>
      </w:pPr>
      <w:r>
        <w:t xml:space="preserve">berechnen pH-Werte wässriger Lösungen von Säuren und Basen bei vollständiger Protolyse (S17), </w:t>
      </w:r>
      <w:r>
        <w:t>GK-SB-04</w:t>
      </w:r>
    </w:p>
    <w:p>
      <w:pPr>
        <w:pStyle w:val="ListBullet"/>
        <w:spacing w:after="100"/>
      </w:pPr>
      <w:r>
        <w:t xml:space="preserve">weisen ausgewählte Ionensorten (Halogenid-Ionen, Ammonium-Ionen, Carbonat-Ionen) salzartiger Verbindungen qualitativ nach (E5), </w:t>
      </w:r>
      <w:r>
        <w:t>GK-SB-09</w:t>
      </w:r>
    </w:p>
    <w:p>
      <w:pPr>
        <w:pStyle w:val="ListBullet"/>
        <w:spacing w:after="100"/>
      </w:pPr>
      <w:r>
        <w:t xml:space="preserve">planen hypothesengeleitet Experimente zur Konzentrationsbestimmung von Säuren und Basen auch in Alltagsprodukten (E1, E2, E3, E4), </w:t>
      </w:r>
      <w:r>
        <w:t>GK-SB-10</w:t>
      </w:r>
    </w:p>
    <w:p>
      <w:pPr>
        <w:pStyle w:val="ListBullet"/>
        <w:spacing w:after="100"/>
      </w:pPr>
      <w:r>
        <w:t xml:space="preserve">führen das Verfahren einer Säure-Base-Titration mit Endpunktbestimmung mittels Indikator am Beispiel starker Säuren und Basen durch und werten die Ergebnisse auch unter Berücksichtigung einer Fehleranalyse aus (E5, E10, K10), </w:t>
      </w:r>
      <w:r>
        <w:t>GK-SB-11</w:t>
      </w:r>
    </w:p>
    <w:p>
      <w:pPr>
        <w:pStyle w:val="ListBullet"/>
        <w:spacing w:after="100"/>
      </w:pPr>
      <w:r>
        <w:t xml:space="preserve">beurteilen den Einsatz, die Wirksamkeit und das Gefahrenpotenzial von Säuren, Basen und Salzen als Inhaltsstoffe in Alltagsprodukten und leiten daraus begründet Handlungsoptionen ab (B8, B11, K8), </w:t>
      </w:r>
      <w:r>
        <w:t>GK-SB-13</w:t>
      </w:r>
    </w:p>
    <w:p>
      <w:pPr>
        <w:pStyle w:val="ListBullet"/>
        <w:spacing w:after="100"/>
      </w:pPr>
      <w:r>
        <w:t xml:space="preserve">bewerten die Qualität von Produkten des Alltags oder Umweltparameter auf der Grundlage von qualitativen und quantitativen Analyseergebnissen und beurteilen die Daten hinsichtlich ihrer Aussagekraft (B3, B8, K8). </w:t>
      </w:r>
      <w:r>
        <w:t>GK-SB-14</w:t>
      </w:r>
    </w:p>
    <w:p>
      <w:pPr>
        <w:pStyle w:val="Heading3"/>
        <w:keepNext/>
        <w:spacing w:after="140"/>
      </w:pPr>
      <w:r>
        <w:t>Übergreifende Lernleistungen</w:t>
      </w:r>
    </w:p>
    <w:p>
      <w:pPr>
        <w:pStyle w:val="ListBullet"/>
        <w:spacing w:after="100"/>
      </w:pPr>
      <w:r>
        <w:t xml:space="preserve">Alltagsstoffe nach dem Brønsted-Konzept einordnen und die Ordnung begründen. </w:t>
      </w:r>
      <w:r>
        <w:t>Q-S1</w:t>
      </w:r>
    </w:p>
    <w:p>
      <w:pPr>
        <w:pStyle w:val="ListBullet"/>
        <w:spacing w:after="100"/>
      </w:pPr>
      <w:r>
        <w:t xml:space="preserve">pH-Beobachtung und Protolysemodell konsequent unterscheiden. </w:t>
      </w:r>
      <w:r>
        <w:t>Q-S6</w:t>
      </w:r>
    </w:p>
    <w:p>
      <w:pPr>
        <w:pStyle w:val="ListBullet"/>
        <w:spacing w:after="100"/>
      </w:pPr>
      <w:r>
        <w:t xml:space="preserve">Umkehrbarkeit und Gleichgewicht von Protolysen mit dem Donator-Akzeptor-Prinzip erklären. </w:t>
      </w:r>
      <w:r>
        <w:t>Q-S7</w:t>
      </w:r>
    </w:p>
    <w:p>
      <w:pPr>
        <w:pStyle w:val="ListBullet"/>
        <w:spacing w:after="100"/>
      </w:pPr>
      <w:r>
        <w:t xml:space="preserve">Aus Teilchenmodellen ausgeglichene Protolysegleichungen entwickeln. </w:t>
      </w:r>
      <w:r>
        <w:t>Q-S16</w:t>
      </w:r>
    </w:p>
    <w:p>
      <w:pPr>
        <w:pStyle w:val="ListBullet"/>
        <w:spacing w:after="100"/>
      </w:pPr>
      <w:r>
        <w:t xml:space="preserve">Eine Untersuchungsfrage zur Konzentration eines Alltagsprodukts entwickeln. </w:t>
      </w:r>
      <w:r>
        <w:t>Q-E2</w:t>
      </w:r>
    </w:p>
    <w:p>
      <w:pPr>
        <w:pStyle w:val="ListBullet"/>
        <w:spacing w:after="100"/>
      </w:pPr>
      <w:r>
        <w:t xml:space="preserve">Quantitative Analyse sicher durchführen, protokollieren und auswerten. </w:t>
      </w:r>
      <w:r>
        <w:t>Q-E5</w:t>
      </w:r>
    </w:p>
    <w:p>
      <w:pPr>
        <w:pStyle w:val="ListBullet"/>
        <w:spacing w:after="100"/>
      </w:pPr>
      <w:r>
        <w:t xml:space="preserve">Den eigenen Analyseweg und die Messunsicherheit kritisch reflektieren. </w:t>
      </w:r>
      <w:r>
        <w:t>Q-E10</w:t>
      </w:r>
    </w:p>
    <w:p>
      <w:pPr>
        <w:pStyle w:val="ListBullet"/>
        <w:spacing w:after="100"/>
      </w:pPr>
      <w:r>
        <w:t xml:space="preserve">Alltagsbezeichnung sauer und chemische Beschreibung der Protolyse unterscheiden. </w:t>
      </w:r>
      <w:r>
        <w:t>Q-K6</w:t>
      </w:r>
    </w:p>
    <w:p>
      <w:pPr>
        <w:pStyle w:val="ListBullet"/>
        <w:spacing w:after="100"/>
      </w:pPr>
      <w:r>
        <w:t xml:space="preserve">Reaktionsgleichung, Messwerttabelle, Diagramm und Erklärung ineinander überführen. </w:t>
      </w:r>
      <w:r>
        <w:t>Q-K7</w:t>
      </w:r>
    </w:p>
    <w:p>
      <w:pPr>
        <w:pStyle w:val="ListBullet"/>
        <w:spacing w:after="100"/>
      </w:pPr>
      <w:r>
        <w:t xml:space="preserve">Das gewählte Analyseverfahren fachlich schlüssig begründen. </w:t>
      </w:r>
      <w:r>
        <w:t>Q-K10</w:t>
      </w:r>
    </w:p>
    <w:p>
      <w:pPr>
        <w:pStyle w:val="ListBullet"/>
        <w:spacing w:after="100"/>
      </w:pPr>
      <w:r>
        <w:t xml:space="preserve">Tragweite und Grenzen einer Produktanalyse bewerten. </w:t>
      </w:r>
      <w:r>
        <w:t>Q-B3</w:t>
      </w:r>
    </w:p>
    <w:p>
      <w:pPr>
        <w:pStyle w:val="ListBullet"/>
        <w:spacing w:after="100"/>
      </w:pPr>
      <w:r>
        <w:t xml:space="preserve">Die Bedeutung analytischer Kompetenzen für Alltag und Berufsfelder der Qualitätskontrolle erläutern. </w:t>
      </w:r>
      <w:r>
        <w:t>Q-B8</w:t>
      </w:r>
    </w:p>
    <w:p>
      <w:pPr>
        <w:pStyle w:val="ListBullet"/>
        <w:spacing w:after="100"/>
      </w:pPr>
      <w:r>
        <w:t xml:space="preserve">Sichere Handlungsoptionen bei der Anwendung eines Reinigers ableiten. </w:t>
      </w:r>
      <w:r>
        <w:t>Q-B11</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6">
        <w:r>
          <w:t>Chemie Formelsammlung</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Analysebericht mit begründeter Methodenwahl, Rechnungen und Fehleranalyse; Beratung zu sicherer Produktanwendung.</w:t>
      </w:r>
    </w:p>
    <w:p>
      <w:bookmarkStart w:id="7023" w:name="uv_GK_02"/>
      <w:pPr>
        <w:pStyle w:val="Heading2"/>
        <w:keepNext/>
        <w:spacing w:after="140"/>
      </w:pPr>
      <w:r>
        <w:t>GK.02 Thermodynamik</w:t>
      </w:r>
      <w:bookmarkEnd w:id="7023"/>
    </w:p>
    <w:p>
      <w:pPr>
        <w:spacing w:after="140"/>
      </w:pPr>
      <w:r>
        <w:t>Jahrgang Q1 · Grundkurs · ca. 22 Unterrichtsstunden zu 45 Minuten</w:t>
      </w:r>
    </w:p>
    <w:p>
      <w:pPr>
        <w:spacing w:after="140"/>
      </w:pPr>
      <w:r>
        <w:rPr>
          <w:b/>
        </w:rPr>
        <w:t xml:space="preserve">Leitfrage </w:t>
      </w:r>
      <w:r>
        <w:t>Ein Kältepack kühlt ohne Strom. Woher kommt die Energie für das Lösen, und wohin geht die Wärme?</w:t>
      </w:r>
    </w:p>
    <w:p>
      <w:pPr>
        <w:pStyle w:val="Heading3"/>
        <w:keepNext/>
        <w:spacing w:after="140"/>
      </w:pPr>
      <w:r>
        <w:t>Inhalte und Schwerpunkte</w:t>
      </w:r>
    </w:p>
    <w:p>
      <w:pPr>
        <w:spacing w:after="140"/>
      </w:pPr>
      <w:r>
        <w:t>Säuren, Basen und analytische Verfahren; Elektrochemische Prozesse und Energetik</w:t>
      </w:r>
    </w:p>
    <w:p>
      <w:pPr>
        <w:pStyle w:val="ListBullet"/>
        <w:spacing w:after="100"/>
      </w:pPr>
      <w:r>
        <w:t>Innere Energie, Wärme, Arbeit und Reaktionsenthalpie; erster Hauptsatz.</w:t>
      </w:r>
    </w:p>
    <w:p>
      <w:pPr>
        <w:pStyle w:val="ListBullet"/>
        <w:spacing w:after="100"/>
      </w:pPr>
      <w:r>
        <w:t>Neutralisationsenthalpie und Kalorimetrie; Vergleich mit Literaturdaten und Fehlerquellen.</w:t>
      </w:r>
    </w:p>
    <w:p>
      <w:pPr>
        <w:pStyle w:val="ListBullet"/>
        <w:spacing w:after="100"/>
      </w:pPr>
      <w:r>
        <w:t>Endotherme und exotherme Lösungsvorgänge bei Salzen: Gitter- und Solvatationsenergie.</w:t>
      </w:r>
    </w:p>
    <w:p>
      <w:pPr>
        <w:pStyle w:val="ListBullet"/>
        <w:spacing w:after="100"/>
      </w:pPr>
      <w:r>
        <w:t>Standardbildungs- und Standardreaktionsenthalpien, Satz von Hess; Verbrennungsreaktionen und energetische Bilanzen.</w:t>
      </w:r>
    </w:p>
    <w:p>
      <w:pPr>
        <w:pStyle w:val="Heading3"/>
        <w:keepNext/>
        <w:spacing w:after="140"/>
      </w:pPr>
      <w:r>
        <w:t>Lernweg und methodische Gestaltung</w:t>
      </w:r>
    </w:p>
    <w:p>
      <w:pPr>
        <w:pStyle w:val="ListBullet"/>
        <w:spacing w:after="100"/>
      </w:pPr>
      <w:r>
        <w:t>Die Neutralisationsreaktion aus dem Säure-Base-Block kalorimetrisch untersuchen und Messdaten mit Literaturwerten vergleichen.</w:t>
      </w:r>
    </w:p>
    <w:p>
      <w:pPr>
        <w:pStyle w:val="ListBullet"/>
        <w:spacing w:after="100"/>
      </w:pPr>
      <w:r>
        <w:t>Lösungsenthalpien geeigneter Salze messen und mit Gitter- und Solvatationsenergie erklären; Eignung für Wärme- und Kältepacks beurteilen.</w:t>
      </w:r>
    </w:p>
    <w:p>
      <w:pPr>
        <w:pStyle w:val="ListBullet"/>
        <w:spacing w:after="100"/>
      </w:pPr>
      <w:r>
        <w:t>Reaktionsenthalpien von Verbrennungen mit dem Satz von Hess bestimmen und Systemgrenzen der Bilanz angeben.</w:t>
      </w:r>
    </w:p>
    <w:p>
      <w:pPr>
        <w:pStyle w:val="ListBullet"/>
        <w:spacing w:after="100"/>
      </w:pPr>
      <w:r>
        <w:t>Die Umwandlung chemischer Energie in Wärme und elektrische Arbeit zunächst modellhaft unterscheiden; Messung und Bewertung elektrochemischer Energiewandler werden im Folgeblock durchgeführt.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definieren den Begriff der Reaktionsenthalpie und grenzen diesen von der inneren Energie ab (S3), </w:t>
      </w:r>
      <w:r>
        <w:t>GK-SB-05</w:t>
      </w:r>
    </w:p>
    <w:p>
      <w:pPr>
        <w:pStyle w:val="ListBullet"/>
        <w:spacing w:after="100"/>
      </w:pPr>
      <w:r>
        <w:t xml:space="preserve">erklären im Zusammenhang mit der Neutralisationsreaktion den ersten Hauptsatz der Thermodynamik (Prinzip der Energieerhaltung) (S3, S10), </w:t>
      </w:r>
      <w:r>
        <w:t>GK-SB-06</w:t>
      </w:r>
    </w:p>
    <w:p>
      <w:pPr>
        <w:pStyle w:val="ListBullet"/>
        <w:spacing w:after="100"/>
      </w:pPr>
      <w:r>
        <w:t xml:space="preserve">erläutern die Neutralisationsreaktion unter Berücksichtigung der Neutralisationsenthalpie (S3, S12), </w:t>
      </w:r>
      <w:r>
        <w:t>GK-SB-07</w:t>
      </w:r>
    </w:p>
    <w:p>
      <w:pPr>
        <w:pStyle w:val="ListBullet"/>
        <w:spacing w:after="100"/>
      </w:pPr>
      <w:r>
        <w:t xml:space="preserve">deuten endotherme und exotherme Lösungsvorgänge bei Salzen unter Berücksichtigung der Gitter- und Solvatationsenergie (S12, K8). </w:t>
      </w:r>
      <w:r>
        <w:t>GK-SB-08</w:t>
      </w:r>
    </w:p>
    <w:p>
      <w:pPr>
        <w:pStyle w:val="ListBullet"/>
        <w:spacing w:after="100"/>
      </w:pPr>
      <w:r>
        <w:t xml:space="preserve">bestimmen die Reaktionsenthalpie der Neutralisationsreaktion von starken Säuren mit starken Basen kalorimetrisch und vergleichen das Ergebnis mit Literaturdaten (E5, K1). </w:t>
      </w:r>
      <w:r>
        <w:t>GK-SB-12</w:t>
      </w:r>
    </w:p>
    <w:p>
      <w:pPr>
        <w:pStyle w:val="ListBullet"/>
        <w:spacing w:after="100"/>
      </w:pPr>
      <w:r>
        <w:t xml:space="preserve">interpretieren energetische Erscheinungen bei Redoxreaktionen auf die Umwandlung eines Teils der in Stoffen gespeicherten Energie in Wärme und Arbeit (S3, E11). </w:t>
      </w:r>
      <w:r>
        <w:t>GK-EC-08</w:t>
      </w:r>
    </w:p>
    <w:p>
      <w:pPr>
        <w:pStyle w:val="ListBullet"/>
        <w:spacing w:after="100"/>
      </w:pPr>
      <w:r>
        <w:t xml:space="preserve">ermitteln auch rechnerisch die Standardreaktionsenthalpien ausgewählter Redoxreaktionen unter Anwendung des Satzes von Hess (E4, E7, S17, K2). </w:t>
      </w:r>
      <w:r>
        <w:t>GK-EC-12</w:t>
      </w:r>
    </w:p>
    <w:p>
      <w:pPr>
        <w:pStyle w:val="Heading3"/>
        <w:keepNext/>
        <w:spacing w:after="140"/>
      </w:pPr>
      <w:r>
        <w:t>Übergreifende Lernleistungen</w:t>
      </w:r>
    </w:p>
    <w:p>
      <w:pPr>
        <w:pStyle w:val="ListBullet"/>
        <w:spacing w:after="100"/>
      </w:pPr>
      <w:r>
        <w:t xml:space="preserve">Chemische Energetik mit physikalischer Arbeit und Energieerhaltung vernetzen. </w:t>
      </w:r>
      <w:r>
        <w:t>Q-S10</w:t>
      </w:r>
    </w:p>
    <w:p>
      <w:pPr>
        <w:pStyle w:val="ListBullet"/>
        <w:spacing w:after="100"/>
      </w:pPr>
      <w:r>
        <w:t xml:space="preserve">Thermodynamische Daten aus Tabellen, Diagrammen und Texten erschließen. </w:t>
      </w:r>
      <w:r>
        <w:t>Q-K2</w:t>
      </w:r>
    </w:p>
    <w:p>
      <w:pPr>
        <w:pStyle w:val="ListBullet"/>
        <w:spacing w:after="100"/>
      </w:pPr>
      <w:r>
        <w:t xml:space="preserve">Daten zu Lösungsvorgängen strukturieren und Schlussfolgerungen ableiten. </w:t>
      </w:r>
      <w:r>
        <w:t>Q-K8</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6">
        <w:r>
          <w:t>Chemie Formelsammlung</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Kalorimetrieprotokoll, Hess-Rechnung und begründete Wahl eines Wärme- oder Kältepacks.</w:t>
      </w:r>
    </w:p>
    <w:p>
      <w:bookmarkStart w:id="7024" w:name="uv_GK_03"/>
      <w:pPr>
        <w:pStyle w:val="Heading2"/>
        <w:keepNext/>
        <w:spacing w:after="140"/>
      </w:pPr>
      <w:r>
        <w:t>GK.03 Elektrochemie mit galvanischer Zelle und Elektrolyse</w:t>
      </w:r>
      <w:bookmarkEnd w:id="7024"/>
    </w:p>
    <w:p>
      <w:pPr>
        <w:spacing w:after="140"/>
      </w:pPr>
      <w:r>
        <w:t>Jahrgang Q1 · Grundkurs · ca. 29 Unterrichtsstunden zu 45 Minuten</w:t>
      </w:r>
    </w:p>
    <w:p>
      <w:pPr>
        <w:spacing w:after="140"/>
      </w:pPr>
      <w:r>
        <w:rPr>
          <w:b/>
        </w:rPr>
        <w:t xml:space="preserve">Leitfrage </w:t>
      </w:r>
      <w:r>
        <w:t>Kann dieselbe Reaktion erst Strom liefern und anschließend mit Strom rückwärts laufen?</w:t>
      </w:r>
    </w:p>
    <w:p>
      <w:pPr>
        <w:pStyle w:val="Heading3"/>
        <w:keepNext/>
        <w:spacing w:after="140"/>
      </w:pPr>
      <w:r>
        <w:t>Inhalte und Schwerpunkte</w:t>
      </w:r>
    </w:p>
    <w:p>
      <w:pPr>
        <w:spacing w:after="140"/>
      </w:pPr>
      <w:r>
        <w:t>Elektrochemische Prozesse und Energetik</w:t>
      </w:r>
    </w:p>
    <w:p>
      <w:pPr>
        <w:pStyle w:val="ListBullet"/>
        <w:spacing w:after="100"/>
      </w:pPr>
      <w:r>
        <w:t>Redoxreaktionen als dynamische Gleichgewichte; Donator-Akzeptor-Prinzip und Teilgleichungen.</w:t>
      </w:r>
    </w:p>
    <w:p>
      <w:pPr>
        <w:pStyle w:val="ListBullet"/>
        <w:spacing w:after="100"/>
      </w:pPr>
      <w:r>
        <w:t>Metallbindung, Elektronengasmodell, elektrochemische Doppelschicht und bewegliche hydratisierte Ionen.</w:t>
      </w:r>
    </w:p>
    <w:p>
      <w:pPr>
        <w:pStyle w:val="ListBullet"/>
        <w:spacing w:after="100"/>
      </w:pPr>
      <w:r>
        <w:t>Galvanische Zellen, Spannungsreihe und Zellspannungen; Batterie, Akkumulator und Brennstoffzelle.</w:t>
      </w:r>
    </w:p>
    <w:p>
      <w:pPr>
        <w:pStyle w:val="ListBullet"/>
        <w:spacing w:after="100"/>
      </w:pPr>
      <w:r>
        <w:t>Elektrolyse als Umkehr einer galvanischen Reaktion; Energieumwandlung, Energiespeicherung und alternative Energieträger.</w:t>
      </w:r>
    </w:p>
    <w:p>
      <w:pPr>
        <w:pStyle w:val="ListBullet"/>
        <w:spacing w:after="100"/>
      </w:pPr>
      <w:r>
        <w:t>Heterogene Katalyse an der Brennstoffzelle; Vergleich mit fossilen Energiequellen anhand recherchierter thermodynamischer Daten.</w:t>
      </w:r>
    </w:p>
    <w:p>
      <w:pPr>
        <w:pStyle w:val="Heading3"/>
        <w:keepNext/>
        <w:spacing w:after="140"/>
      </w:pPr>
      <w:r>
        <w:t>Lernweg und methodische Gestaltung</w:t>
      </w:r>
    </w:p>
    <w:p>
      <w:pPr>
        <w:pStyle w:val="ListBullet"/>
        <w:spacing w:after="100"/>
      </w:pPr>
      <w:r>
        <w:t>Hypothesen zu Redoxreaktionen aufstellen und experimentell prüfen; Messdaten galvanischer Zellen zur Spannungsreihe auswerten.</w:t>
      </w:r>
    </w:p>
    <w:p>
      <w:pPr>
        <w:pStyle w:val="ListBullet"/>
        <w:spacing w:after="100"/>
      </w:pPr>
      <w:r>
        <w:t>Daniell-Element aufbauen, Zellspannungen berechnen und Elektrodenreaktionen auch digital modellieren.</w:t>
      </w:r>
    </w:p>
    <w:p>
      <w:pPr>
        <w:pStyle w:val="ListBullet"/>
        <w:spacing w:after="100"/>
      </w:pPr>
      <w:r>
        <w:t>Laden und Entladen vergleichen; Wasserelektrolyse und Brennstoffzelle stofflich und energetisch untersuchen und die heterogene Katalyse erklären.</w:t>
      </w:r>
    </w:p>
    <w:p>
      <w:pPr>
        <w:pStyle w:val="ListBullet"/>
        <w:spacing w:after="100"/>
      </w:pPr>
      <w:r>
        <w:t>Batterie, Akku, Wasserstoff und fossile Brennstoffe anhand von Wirkungsgrad, Herstellung, Rohstoffen, Lebensdauer und Entsorgung vergleichen; Quellen und ihre Interessen kritisch prüfen.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Redoxreaktionen als dynamische Gleichgewichtsreaktionen unter Berücksichtigung des Donator-Akzeptor-Konzepts (S7, S12, K7), </w:t>
      </w:r>
      <w:r>
        <w:t>GK-EC-01</w:t>
      </w:r>
    </w:p>
    <w:p>
      <w:pPr>
        <w:pStyle w:val="ListBullet"/>
        <w:spacing w:after="100"/>
      </w:pPr>
      <w:r>
        <w:t xml:space="preserve">nennen die metallische Bindung und die Beweglichkeit hydratisierter Ionen als Voraussetzungen für einen geschlossenen Stromkreislauf der galvanischen Zelle und der Elektrolyse (S12, S15, K10), </w:t>
      </w:r>
      <w:r>
        <w:t>GK-EC-02</w:t>
      </w:r>
    </w:p>
    <w:p>
      <w:pPr>
        <w:pStyle w:val="ListBullet"/>
        <w:spacing w:after="100"/>
      </w:pPr>
      <w:r>
        <w:t xml:space="preserve">erläutern den Aufbau und die Funktionsweise einer galvanischen Zelle hinsichtlich der chemischen Prozesse auch mit digitalen Werkzeugen und berechnen die jeweilige Zellspannung (S3, S17, E6, K11), </w:t>
      </w:r>
      <w:r>
        <w:t>GK-EC-03</w:t>
      </w:r>
    </w:p>
    <w:p>
      <w:pPr>
        <w:pStyle w:val="ListBullet"/>
        <w:spacing w:after="100"/>
      </w:pPr>
      <w:r>
        <w:t xml:space="preserve">erläutern den Aufbau und die Funktion ausgewählter elektrochemischer Spannungsquellen aus Alltag und Technik (Batterie, Akkumulator, Brennstoffzelle) unter Berücksichtigung der Teilreaktionen und möglicher Zellspannungen (S10, S12, K9), </w:t>
      </w:r>
      <w:r>
        <w:t>GK-EC-04</w:t>
      </w:r>
    </w:p>
    <w:p>
      <w:pPr>
        <w:pStyle w:val="ListBullet"/>
        <w:spacing w:after="100"/>
      </w:pPr>
      <w:r>
        <w:t xml:space="preserve">erklären am Beispiel einer Brennstoffzelle die Funktion der heterogenen Katalyse unter Verwendung geeigneter Medien (S8, S12, K11), </w:t>
      </w:r>
      <w:r>
        <w:t>GK-EC-05</w:t>
      </w:r>
    </w:p>
    <w:p>
      <w:pPr>
        <w:pStyle w:val="ListBullet"/>
        <w:spacing w:after="100"/>
      </w:pPr>
      <w:r>
        <w:t xml:space="preserve">erläutern die Reaktionen einer Elektrolyse auf stofflicher und energetischer Ebene als Umkehr der Reaktionen eines galvanischen Elements (S7, S12, K8), </w:t>
      </w:r>
      <w:r>
        <w:t>GK-EC-06</w:t>
      </w:r>
    </w:p>
    <w:p>
      <w:pPr>
        <w:pStyle w:val="ListBullet"/>
        <w:spacing w:after="100"/>
      </w:pPr>
      <w:r>
        <w:t xml:space="preserve">interpretieren energetische Erscheinungen bei Redoxreaktionen auf die Umwandlung eines Teils der in Stoffen gespeicherten Energie in Wärme und Arbeit (S3, E11). </w:t>
      </w:r>
      <w:r>
        <w:t>GK-EC-08</w:t>
      </w:r>
    </w:p>
    <w:p>
      <w:pPr>
        <w:pStyle w:val="ListBullet"/>
        <w:spacing w:after="100"/>
      </w:pPr>
      <w:r>
        <w:t xml:space="preserve">entwickeln Hypothesen zum Auftreten von Redoxreaktionen zwischen Metallatomen und -ionen und überprüfen diese experimentell (E3, E4, E5, E10), </w:t>
      </w:r>
      <w:r>
        <w:t>GK-EC-09</w:t>
      </w:r>
    </w:p>
    <w:p>
      <w:pPr>
        <w:pStyle w:val="ListBullet"/>
        <w:spacing w:after="100"/>
      </w:pPr>
      <w:r>
        <w:t xml:space="preserve">ermitteln Messdaten ausgewählter galvanischer Zellen zur Einordnung in die elektrochemische Spannungsreihe (E6, E8), </w:t>
      </w:r>
      <w:r>
        <w:t>GK-EC-11</w:t>
      </w:r>
    </w:p>
    <w:p>
      <w:pPr>
        <w:pStyle w:val="ListBullet"/>
        <w:spacing w:after="100"/>
      </w:pPr>
      <w:r>
        <w:t xml:space="preserve">bewerten die Verbrennung fossiler Energieträger und elektrochemische Energiewandler hinsichtlich Effizienz und Nachhaltigkeit auch mithilfe von recherchierten thermodynamischen Daten (B2, B4, E8, K3, K12), </w:t>
      </w:r>
      <w:r>
        <w:t>GK-EC-13</w:t>
      </w:r>
    </w:p>
    <w:p>
      <w:pPr>
        <w:pStyle w:val="ListBullet"/>
        <w:spacing w:after="100"/>
      </w:pPr>
      <w:r>
        <w:t xml:space="preserve">diskutieren Möglichkeiten und Grenzen bei der Umwandlung, Speicherung und Nutzung elektrischer Energie auf Grundlage der relevanten chemischen und thermodynamischen Aspekte im Hinblick auf nachhaltiges Handeln (B3, B10, B13, E12, K8), </w:t>
      </w:r>
      <w:r>
        <w:t>GK-EC-14</w:t>
      </w:r>
    </w:p>
    <w:p>
      <w:pPr>
        <w:pStyle w:val="Heading3"/>
        <w:keepNext/>
        <w:spacing w:after="140"/>
      </w:pPr>
      <w:r>
        <w:t>Übergreifende Lernleistungen</w:t>
      </w:r>
    </w:p>
    <w:p>
      <w:pPr>
        <w:pStyle w:val="ListBullet"/>
        <w:spacing w:after="100"/>
      </w:pPr>
      <w:r>
        <w:t xml:space="preserve">Stoff- und Energieumwandlung einer Brennstoffzelle interpretieren. </w:t>
      </w:r>
      <w:r>
        <w:t>Q-S3</w:t>
      </w:r>
    </w:p>
    <w:p>
      <w:pPr>
        <w:pStyle w:val="ListBullet"/>
        <w:spacing w:after="100"/>
      </w:pPr>
      <w:r>
        <w:t xml:space="preserve">Stoff- und Energieumwandlungen beim Laden und Entladen auf Teilchenebene deuten. </w:t>
      </w:r>
      <w:r>
        <w:t>Q-S12</w:t>
      </w:r>
    </w:p>
    <w:p>
      <w:pPr>
        <w:pStyle w:val="ListBullet"/>
        <w:spacing w:after="100"/>
      </w:pPr>
      <w:r>
        <w:t xml:space="preserve">Die dynamischen Vorgänge an einer Elektrode vom makroskopischen Gleichgewicht unterscheiden. </w:t>
      </w:r>
      <w:r>
        <w:t>Q-S15</w:t>
      </w:r>
    </w:p>
    <w:p>
      <w:pPr>
        <w:pStyle w:val="ListBullet"/>
        <w:spacing w:after="100"/>
      </w:pPr>
      <w:r>
        <w:t xml:space="preserve">Zellspannungen berechnen; im LK Konzentrationseinflüsse einbeziehen. </w:t>
      </w:r>
      <w:r>
        <w:t>Q-S17</w:t>
      </w:r>
    </w:p>
    <w:p>
      <w:pPr>
        <w:pStyle w:val="ListBullet"/>
        <w:spacing w:after="100"/>
      </w:pPr>
      <w:r>
        <w:t xml:space="preserve">Reaktionshypothesen aus der Spannungsreihe ableiten und prüfen. </w:t>
      </w:r>
      <w:r>
        <w:t>Q-E3</w:t>
      </w:r>
    </w:p>
    <w:p>
      <w:pPr>
        <w:pStyle w:val="ListBullet"/>
        <w:spacing w:after="100"/>
      </w:pPr>
      <w:r>
        <w:t xml:space="preserve">Elektrochemische Messwerte digital aufnehmen, darstellen und für Berechnungen nutzen. </w:t>
      </w:r>
      <w:r>
        <w:t>Q-E6</w:t>
      </w:r>
    </w:p>
    <w:p>
      <w:pPr>
        <w:pStyle w:val="ListBullet"/>
        <w:spacing w:after="100"/>
      </w:pPr>
      <w:r>
        <w:t xml:space="preserve">Beziehungen in Zellspannungsdaten erkennen und theoriebezogen erklären. </w:t>
      </w:r>
      <w:r>
        <w:t>Q-E8</w:t>
      </w:r>
    </w:p>
    <w:p>
      <w:pPr>
        <w:pStyle w:val="ListBullet"/>
        <w:spacing w:after="100"/>
      </w:pPr>
      <w:r>
        <w:t xml:space="preserve">Reproduzierbarkeit, Modellannahmen und Grenzen einer Energiebilanz beurteilen. </w:t>
      </w:r>
      <w:r>
        <w:t>Q-E12</w:t>
      </w:r>
    </w:p>
    <w:p>
      <w:pPr>
        <w:pStyle w:val="ListBullet"/>
        <w:spacing w:after="100"/>
      </w:pPr>
      <w:r>
        <w:t xml:space="preserve">Wirkungsgradangaben verschiedener Quellen anhand ihrer Systemgrenzen vergleichen. </w:t>
      </w:r>
      <w:r>
        <w:t>Q-K3</w:t>
      </w:r>
    </w:p>
    <w:p>
      <w:pPr>
        <w:pStyle w:val="ListBullet"/>
        <w:spacing w:after="100"/>
      </w:pPr>
      <w:r>
        <w:t xml:space="preserve">Aufbau und Funktion eines Akkumulators fachsprachlich korrekt darstellen. </w:t>
      </w:r>
      <w:r>
        <w:t>Q-K9</w:t>
      </w:r>
    </w:p>
    <w:p>
      <w:pPr>
        <w:pStyle w:val="ListBullet"/>
        <w:spacing w:after="100"/>
      </w:pPr>
      <w:r>
        <w:t xml:space="preserve">Urheberschaft prüfen, Quellen belegen und Zitate im Energievergleich kennzeichnen. </w:t>
      </w:r>
      <w:r>
        <w:t>Q-K12</w:t>
      </w:r>
    </w:p>
    <w:p>
      <w:pPr>
        <w:pStyle w:val="ListBullet"/>
        <w:spacing w:after="100"/>
      </w:pPr>
      <w:r>
        <w:t xml:space="preserve">Gesellschaftliche Relevanz und ökologische Bedeutung elektrochemischer Verfahren bewerten. </w:t>
      </w:r>
      <w:r>
        <w:t>Q-B10</w:t>
      </w:r>
    </w:p>
    <w:p>
      <w:pPr>
        <w:pStyle w:val="Heading3"/>
        <w:keepNext/>
        <w:spacing w:after="140"/>
      </w:pPr>
      <w:r>
        <w:t>Digitale Lernmaterialien</w:t>
      </w:r>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Messbericht zur galvanischen Zelle, Erklärung des Ladezyklus und begründeter Energieträgervergleich.</w:t>
      </w:r>
    </w:p>
    <w:p>
      <w:bookmarkStart w:id="7025" w:name="uv_GK_04"/>
      <w:pPr>
        <w:pStyle w:val="Heading2"/>
        <w:keepNext/>
        <w:spacing w:after="140"/>
      </w:pPr>
      <w:r>
        <w:t>GK.04 Korrosion von Metallen</w:t>
      </w:r>
      <w:bookmarkEnd w:id="7025"/>
    </w:p>
    <w:p>
      <w:pPr>
        <w:spacing w:after="140"/>
      </w:pPr>
      <w:r>
        <w:t>Jahrgang Q1 · Grundkurs · ca. 8 Unterrichtsstunden zu 45 Minuten</w:t>
      </w:r>
    </w:p>
    <w:p>
      <w:pPr>
        <w:spacing w:after="140"/>
      </w:pPr>
      <w:r>
        <w:rPr>
          <w:b/>
        </w:rPr>
        <w:t xml:space="preserve">Leitfrage </w:t>
      </w:r>
      <w:r>
        <w:t>Ein Kratzer im Blech: Warum schützt Zink das Eisen weiter, Zinn aber nicht?</w:t>
      </w:r>
    </w:p>
    <w:p>
      <w:pPr>
        <w:pStyle w:val="Heading3"/>
        <w:keepNext/>
        <w:spacing w:after="140"/>
      </w:pPr>
      <w:r>
        <w:t>Inhalte und Schwerpunkte</w:t>
      </w:r>
    </w:p>
    <w:p>
      <w:pPr>
        <w:spacing w:after="140"/>
      </w:pPr>
      <w:r>
        <w:t>Elektrochemische Prozesse und Energetik</w:t>
      </w:r>
    </w:p>
    <w:p>
      <w:pPr>
        <w:pStyle w:val="ListBullet"/>
        <w:spacing w:after="100"/>
      </w:pPr>
      <w:r>
        <w:t>Säure- und Sauerstoffkorrosion; Lokalelemente und Teilreaktionen.</w:t>
      </w:r>
    </w:p>
    <w:p>
      <w:pPr>
        <w:pStyle w:val="ListBullet"/>
        <w:spacing w:after="100"/>
      </w:pPr>
      <w:r>
        <w:t>Korrosionsschutz durch Beschichtung, Galvanik und Opferanode.</w:t>
      </w:r>
    </w:p>
    <w:p>
      <w:pPr>
        <w:pStyle w:val="ListBullet"/>
        <w:spacing w:after="100"/>
      </w:pPr>
      <w:r>
        <w:t>Ökologische und ökonomische Folgen von Korrosion und Schutzmaßnahmen.</w:t>
      </w:r>
    </w:p>
    <w:p>
      <w:pPr>
        <w:pStyle w:val="Heading3"/>
        <w:keepNext/>
        <w:spacing w:after="140"/>
      </w:pPr>
      <w:r>
        <w:t>Lernweg und methodische Gestaltung</w:t>
      </w:r>
    </w:p>
    <w:p>
      <w:pPr>
        <w:pStyle w:val="ListBullet"/>
        <w:spacing w:after="100"/>
      </w:pPr>
      <w:r>
        <w:t>Hypothesen zur Bildung von Lokalelementen entwickeln und durch kontrollierte Versuchsreihen prüfen.</w:t>
      </w:r>
    </w:p>
    <w:p>
      <w:pPr>
        <w:pStyle w:val="ListBullet"/>
        <w:spacing w:after="100"/>
      </w:pPr>
      <w:r>
        <w:t>Korrosionsschutzverfahren eigenständig entwickeln, durchführen und die Beobachtungen mit Teilgleichungen erklären.</w:t>
      </w:r>
    </w:p>
    <w:p>
      <w:pPr>
        <w:pStyle w:val="ListBullet"/>
        <w:spacing w:after="100"/>
      </w:pPr>
      <w:r>
        <w:t>Für ein Bauteil eine Schutzmaßnahme unter Berücksichtigung von Lebensdauer, Rohstoff- und Energieaufwand auswählen.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die Bildung eines Lokalelements bei Korrosionsvorgängen auch mithilfe von Reaktionsgleichungen (S3, S16, E1), </w:t>
      </w:r>
      <w:r>
        <w:t>GK-EC-07</w:t>
      </w:r>
    </w:p>
    <w:p>
      <w:pPr>
        <w:pStyle w:val="ListBullet"/>
        <w:spacing w:after="100"/>
      </w:pPr>
      <w:r>
        <w:t xml:space="preserve">entwickeln eigenständig ausgewählte Experimente zum Korrosionsschutz (Galvanik, Opferanode) und führen sie durch (E1, E4, E5), </w:t>
      </w:r>
      <w:r>
        <w:t>GK-EC-10</w:t>
      </w:r>
    </w:p>
    <w:p>
      <w:pPr>
        <w:pStyle w:val="ListBullet"/>
        <w:spacing w:after="100"/>
      </w:pPr>
      <w:r>
        <w:t xml:space="preserve">beurteilen Folgen von Korrosionsvorgängen und adäquate Korrosionsschutzmaßnahmen unter ökologischen und ökonomischen Aspekten (B12, B14, E1). </w:t>
      </w:r>
      <w:r>
        <w:t>GK-EC-15</w:t>
      </w:r>
    </w:p>
    <w:p>
      <w:pPr>
        <w:pStyle w:val="Heading3"/>
        <w:keepNext/>
        <w:spacing w:after="140"/>
      </w:pPr>
      <w:r>
        <w:t>Übergreifende Lernleistungen</w:t>
      </w:r>
    </w:p>
    <w:p>
      <w:pPr>
        <w:pStyle w:val="ListBullet"/>
        <w:spacing w:after="100"/>
      </w:pPr>
      <w:r>
        <w:t xml:space="preserve">Aus einer Korrosionserscheinung eine chemische Problemstellung ableiten. </w:t>
      </w:r>
      <w:r>
        <w:t>Q-E1</w:t>
      </w:r>
    </w:p>
    <w:p>
      <w:pPr>
        <w:pStyle w:val="ListBullet"/>
        <w:spacing w:after="100"/>
      </w:pPr>
      <w:r>
        <w:t xml:space="preserve">Folgen von Korrosionsschutz in historischen und aktuellen technischen Anwendungen beurteilen. </w:t>
      </w:r>
      <w:r>
        <w:t>Q-B12</w:t>
      </w:r>
    </w:p>
    <w:p>
      <w:pPr>
        <w:pStyle w:val="Heading3"/>
        <w:keepNext/>
        <w:spacing w:after="140"/>
      </w:pPr>
      <w:r>
        <w:t>Lernaufgabe und Überprüfung</w:t>
      </w:r>
    </w:p>
    <w:p>
      <w:pPr>
        <w:spacing w:after="140"/>
      </w:pPr>
      <w:r>
        <w:t>Versuchsbericht mit Kontrollversuchen und begründeter Schutzentscheidung.</w:t>
      </w:r>
    </w:p>
    <w:p>
      <w:bookmarkStart w:id="7026" w:name="uv_GK_05"/>
      <w:pPr>
        <w:pStyle w:val="Heading2"/>
        <w:keepNext/>
        <w:spacing w:after="140"/>
      </w:pPr>
      <w:r>
        <w:t>GK.05 Organische Chemie mit Reaktionswegen Estern und Fetten</w:t>
      </w:r>
      <w:bookmarkEnd w:id="7026"/>
    </w:p>
    <w:p>
      <w:pPr>
        <w:spacing w:after="140"/>
      </w:pPr>
      <w:r>
        <w:t>Jahrgang Q2 · Grundkurs · ca. 42 Unterrichtsstunden zu 45 Minuten</w:t>
      </w:r>
    </w:p>
    <w:p>
      <w:pPr>
        <w:spacing w:after="140"/>
      </w:pPr>
      <w:r>
        <w:rPr>
          <w:b/>
        </w:rPr>
        <w:t xml:space="preserve">Leitfrage </w:t>
      </w:r>
      <w:r>
        <w:t>Vom Erdöl zum Duftstoff und vom Pflanzenöl zum Streichfett: Welche Umbauten am Molekül machen den Unterschied?</w:t>
      </w:r>
    </w:p>
    <w:p>
      <w:pPr>
        <w:pStyle w:val="Heading3"/>
        <w:keepNext/>
        <w:spacing w:after="140"/>
      </w:pPr>
      <w:r>
        <w:t>Inhalte und Schwerpunkte</w:t>
      </w:r>
    </w:p>
    <w:p>
      <w:pPr>
        <w:spacing w:after="140"/>
      </w:pPr>
      <w:r>
        <w:t>Reaktionswege in der organischen Chemie</w:t>
      </w:r>
    </w:p>
    <w:p>
      <w:pPr>
        <w:pStyle w:val="ListBullet"/>
        <w:spacing w:after="100"/>
      </w:pPr>
      <w:r>
        <w:t>Stoffklassen einschließlich Halogenalkane, Alkene, Alkine und Amine; funktionelle Gruppen und spezifische Nachweise.</w:t>
      </w:r>
    </w:p>
    <w:p>
      <w:pPr>
        <w:pStyle w:val="ListBullet"/>
        <w:spacing w:after="100"/>
      </w:pPr>
      <w:r>
        <w:t>Einfach- und Mehrfachbindungen, EPA-Modell, Konstitutions- und Stereoisomerie; inter- und intramolekulare Wechselwirkungen.</w:t>
      </w:r>
    </w:p>
    <w:p>
      <w:pPr>
        <w:pStyle w:val="ListBullet"/>
        <w:spacing w:after="100"/>
      </w:pPr>
      <w:r>
        <w:t>Radikalische Substitution und elektrophile Addition unter definierten Reaktionsbedingungen; organische Redoxwege und Oxidationszahlen.</w:t>
      </w:r>
    </w:p>
    <w:p>
      <w:pPr>
        <w:pStyle w:val="ListBullet"/>
        <w:spacing w:after="100"/>
      </w:pPr>
      <w:r>
        <w:t>Estersynthese, homogene Katalyse und Optimierung der Ausbeute nach Le Chatelier.</w:t>
      </w:r>
    </w:p>
    <w:p>
      <w:pPr>
        <w:pStyle w:val="ListBullet"/>
        <w:spacing w:after="100"/>
      </w:pPr>
      <w:r>
        <w:t>Gesättigte und ungesättigte Fette: Aufbau, Eigenschaften, experimentelle Unterscheidung und Verarbeitung; Bewertung für Lebensmitteltechnik und Ernährung.</w:t>
      </w:r>
    </w:p>
    <w:p>
      <w:pPr>
        <w:pStyle w:val="Heading3"/>
        <w:keepNext/>
        <w:spacing w:after="140"/>
      </w:pPr>
      <w:r>
        <w:t>Lernweg und methodische Gestaltung</w:t>
      </w:r>
    </w:p>
    <w:p>
      <w:pPr>
        <w:pStyle w:val="ListBullet"/>
        <w:spacing w:after="100"/>
      </w:pPr>
      <w:r>
        <w:t>Einen Syntheseweg ausgehend von Rohölfraktionen und Crackprodukten planen; Stoffklassen einschließlich der Amine systematisieren und Modelle digital darstellen.</w:t>
      </w:r>
    </w:p>
    <w:p>
      <w:pPr>
        <w:pStyle w:val="ListBullet"/>
        <w:spacing w:after="100"/>
      </w:pPr>
      <w:r>
        <w:t>Die radikalische Substitution und die elektrophile Addition Schritt für Schritt erklären; Bedingungen, Nachweise und Grenzen der Darstellung prüfen. Cis-trans-Isomerie an geeigneten Alkenen und Fettsäuren untersuchen.</w:t>
      </w:r>
    </w:p>
    <w:p>
      <w:pPr>
        <w:pStyle w:val="ListBullet"/>
        <w:spacing w:after="100"/>
      </w:pPr>
      <w:r>
        <w:t>Organische Oxidationswege über Oxidationszahlen erklären und Reaktionsverläufe durch Doppelbindungs-, Carbonyl- und Carboxy-Nachweise überprüfen.</w:t>
      </w:r>
    </w:p>
    <w:p>
      <w:pPr>
        <w:pStyle w:val="ListBullet"/>
        <w:spacing w:after="100"/>
      </w:pPr>
      <w:r>
        <w:t>Eine Estersynthese durchführen, Ausbeute optimieren und die homogene Katalyse erklären; gesättigte und ungesättigte Fettsäuren experimentell unterscheiden.</w:t>
      </w:r>
    </w:p>
    <w:p>
      <w:pPr>
        <w:pStyle w:val="ListBullet"/>
        <w:spacing w:after="100"/>
      </w:pPr>
      <w:r>
        <w:t>Für ein Produkt Nutzen und Risiken recherchieren und Fette nach Zusammensetzung und Verarbeitung bewerten. Die Molekülbausteine funktionaler Produkte bilden die Brücke zu Kunststoffen.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von Vertretern der Stoffklassen der Alkane, Halogenalkane, Alkene, Alkine, Alkanole, Alkanale, Alkanone, Carbonsäuren, Ester und Amine auch mit digitalen Werkzeugen dar und berücksichtigen dabei auch ausgewählte Isomere (S1, E7, K11), </w:t>
      </w:r>
      <w:r>
        <w:t>GK-OC-01</w:t>
      </w:r>
    </w:p>
    <w:p>
      <w:pPr>
        <w:pStyle w:val="ListBullet"/>
        <w:spacing w:after="100"/>
      </w:pPr>
      <w:r>
        <w:t xml:space="preserve">erläutern den Aufbau und die Eigenschaften von gesättigten und ungesättigten Fetten (S1, S11, S13), </w:t>
      </w:r>
      <w:r>
        <w:t>GK-OC-02</w:t>
      </w:r>
    </w:p>
    <w:p>
      <w:pPr>
        <w:pStyle w:val="ListBullet"/>
        <w:spacing w:after="100"/>
      </w:pPr>
      <w:r>
        <w:t xml:space="preserve">erklären Stoffeigenschaften und Reaktionsverhalten mit dem Einfluss der jeweiligen funktionellen Gruppen unter Berücksichtigung von inter- und intramolekularen Wechselwirkungen (S2, S13), </w:t>
      </w:r>
      <w:r>
        <w:t>GK-OC-03</w:t>
      </w:r>
    </w:p>
    <w:p>
      <w:pPr>
        <w:pStyle w:val="ListBullet"/>
        <w:spacing w:after="100"/>
      </w:pPr>
      <w:r>
        <w:t xml:space="preserve">erklären Redoxreaktionen in organischen Synthesewegen unter Berücksichtigung der Oxidationszahlen (S3, S11, S16), </w:t>
      </w:r>
      <w:r>
        <w:t>GK-OC-04</w:t>
      </w:r>
    </w:p>
    <w:p>
      <w:pPr>
        <w:pStyle w:val="ListBullet"/>
        <w:spacing w:after="100"/>
      </w:pPr>
      <w:r>
        <w:t xml:space="preserve">erklären die Estersynthese aus Alkanolen und Carbonsäuren unter Berücksichtigung der Katalyse (S4, S8, S9, K7), </w:t>
      </w:r>
      <w:r>
        <w:t>GK-OC-05</w:t>
      </w:r>
    </w:p>
    <w:p>
      <w:pPr>
        <w:pStyle w:val="ListBullet"/>
        <w:spacing w:after="100"/>
      </w:pPr>
      <w:r>
        <w:t xml:space="preserve">erläutern die Reaktionsmechanismen der radikalischen Substitutions- und elektrophilen Additionsreaktion unter Berücksichtigung der spezifischen Reaktionsbedingungen auch mit digitalen Werkzeugen (S8, S9, S14, E9, K11). </w:t>
      </w:r>
      <w:r>
        <w:t>GK-OC-06</w:t>
      </w:r>
    </w:p>
    <w:p>
      <w:pPr>
        <w:pStyle w:val="ListBullet"/>
        <w:spacing w:after="100"/>
      </w:pPr>
      <w:r>
        <w:t xml:space="preserve">schließen mithilfe von spezifischen Nachweisen der Reaktionsprodukte (Doppelbindung zwischen Kohlenstoff-Atomen, Carbonyl- und Carboxy-Gruppe) auf den Reaktionsverlauf und bestimmen den Reaktionstyp (E5, E7, S4, K10), </w:t>
      </w:r>
      <w:r>
        <w:t>GK-OC-07</w:t>
      </w:r>
    </w:p>
    <w:p>
      <w:pPr>
        <w:pStyle w:val="ListBullet"/>
        <w:spacing w:after="100"/>
      </w:pPr>
      <w:r>
        <w:t xml:space="preserve">erläutern die Planung und Durchführung einer Estersynthese in Bezug auf die Optimierung der Ausbeute auf der Grundlage des Prinzips von Le Chatelier (E4, E5, K13), </w:t>
      </w:r>
      <w:r>
        <w:t>GK-OC-08</w:t>
      </w:r>
    </w:p>
    <w:p>
      <w:pPr>
        <w:pStyle w:val="ListBullet"/>
        <w:spacing w:after="100"/>
      </w:pPr>
      <w:r>
        <w:t xml:space="preserve">unterscheiden experimentell zwischen gesättigten und ungesättigten Fettsäuren (E5, E11). </w:t>
      </w:r>
      <w:r>
        <w:t>GK-OC-09</w:t>
      </w:r>
    </w:p>
    <w:p>
      <w:pPr>
        <w:pStyle w:val="ListBullet"/>
        <w:spacing w:after="100"/>
      </w:pPr>
      <w:r>
        <w:t xml:space="preserve">recherchieren und bewerten Nutzen und Risiken ausgewählter Produkte der organischen Chemie unter vorgegebenen Fragestellungen (B1, B11, K2, K4), </w:t>
      </w:r>
      <w:r>
        <w:t>GK-OC-10</w:t>
      </w:r>
    </w:p>
    <w:p>
      <w:pPr>
        <w:pStyle w:val="ListBullet"/>
        <w:spacing w:after="100"/>
      </w:pPr>
      <w:r>
        <w:t xml:space="preserve">beurteilen die Qualität von Fetten hinsichtlich ihrer Zusammensetzung und Verarbeitung im Bereich der Lebensmitteltechnik und der eigenen Ernährung (B7, B8, K8). </w:t>
      </w:r>
      <w:r>
        <w:t>GK-OC-11</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Ausbeute einer Estersynthese durch Reaktionsbedingungen und Katalyse beeinflussen. </w:t>
      </w:r>
      <w:r>
        <w:t>Q-S8</w:t>
      </w:r>
    </w:p>
    <w:p>
      <w:pPr>
        <w:pStyle w:val="ListBullet"/>
        <w:spacing w:after="100"/>
      </w:pPr>
      <w:r>
        <w:t xml:space="preserve">Unterschiedliche organische Reaktionsverläufe begründet erklären. </w:t>
      </w:r>
      <w:r>
        <w:t>Q-S9</w:t>
      </w:r>
    </w:p>
    <w:p>
      <w:pPr>
        <w:pStyle w:val="ListBullet"/>
        <w:spacing w:after="100"/>
      </w:pPr>
      <w:r>
        <w:t xml:space="preserve">Fetteigenschaften mit Modellen intra- und intermolekularer Wechselwirkungen erklären. </w:t>
      </w:r>
      <w:r>
        <w:t>Q-S13</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Untersuchungsbefunde zu Fetten mit biologischen und ernährungsbezogenen Fragestellungen verbinden. </w:t>
      </w:r>
      <w:r>
        <w:t>Q-E11</w:t>
      </w:r>
    </w:p>
    <w:p>
      <w:pPr>
        <w:pStyle w:val="ListBullet"/>
        <w:spacing w:after="100"/>
      </w:pPr>
      <w:r>
        <w:t xml:space="preserve">Reaktionsmechanismen mit geeigneten digitalen Darstellungen präsentieren. </w:t>
      </w:r>
      <w:r>
        <w:t>Q-K11</w:t>
      </w:r>
    </w:p>
    <w:p>
      <w:pPr>
        <w:pStyle w:val="ListBullet"/>
        <w:spacing w:after="100"/>
      </w:pPr>
      <w:r>
        <w:t xml:space="preserve">Produktnutzen und Risiken aus verschiedenen Perspektiven beurteilen. </w:t>
      </w:r>
      <w:r>
        <w:t>Q-B1</w:t>
      </w:r>
    </w:p>
    <w:p>
      <w:pPr>
        <w:pStyle w:val="ListBullet"/>
        <w:spacing w:after="100"/>
      </w:pPr>
      <w:r>
        <w:t xml:space="preserve">Eine Ernährungsentscheidung aus chemischen Kriterien zu Fetten begründen. </w:t>
      </w:r>
      <w:r>
        <w:t>Q-B7</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9">
        <w:r>
          <w:t>Nährstoff Navigator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Syntheseportfolio mit Mechanismen, Nachweisen, Esterprotokoll und begründeter Fettbewertung. Die Pflichtmechanismen des GK sind radikalische Substitution und elektrophile Addition; eine vertiefte SN1/SN2-Behandlung ist nicht Voraussetzung.</w:t>
      </w:r>
    </w:p>
    <w:p>
      <w:bookmarkStart w:id="7027" w:name="uv_GK_06"/>
      <w:pPr>
        <w:pStyle w:val="Heading2"/>
        <w:keepNext/>
        <w:spacing w:after="140"/>
      </w:pPr>
      <w:r>
        <w:t>GK.06 Kunststoffe und funktionale Werkstoffe</w:t>
      </w:r>
      <w:bookmarkEnd w:id="7027"/>
    </w:p>
    <w:p>
      <w:pPr>
        <w:spacing w:after="140"/>
      </w:pPr>
      <w:r>
        <w:t>Jahrgang Q2 · Grundkurs · ca. 30 Unterrichtsstunden zu 45 Minuten</w:t>
      </w:r>
    </w:p>
    <w:p>
      <w:pPr>
        <w:spacing w:after="140"/>
      </w:pPr>
      <w:r>
        <w:rPr>
          <w:b/>
        </w:rPr>
        <w:t xml:space="preserve">Leitfrage </w:t>
      </w:r>
      <w:r>
        <w:t>Eine Jacke hält Regen ab, lässt aber Wasserdampf hinaus. Wie baut man einem Werkstoff solche Eigenschaften ein?</w:t>
      </w:r>
    </w:p>
    <w:p>
      <w:pPr>
        <w:pStyle w:val="Heading3"/>
        <w:keepNext/>
        <w:spacing w:after="140"/>
      </w:pPr>
      <w:r>
        <w:t>Inhalte und Schwerpunkte</w:t>
      </w:r>
    </w:p>
    <w:p>
      <w:pPr>
        <w:spacing w:after="140"/>
      </w:pPr>
      <w:r>
        <w:t>Moderne Werkstoffe</w:t>
      </w:r>
    </w:p>
    <w:p>
      <w:pPr>
        <w:pStyle w:val="ListBullet"/>
        <w:spacing w:after="100"/>
      </w:pPr>
      <w:r>
        <w:t>Struktur und Eigenschaften von Makromolekülen; Kettenlänge und Vernetzungsgrad, Thermoplaste, Duroplaste und Elastomere.</w:t>
      </w:r>
    </w:p>
    <w:p>
      <w:pPr>
        <w:pStyle w:val="ListBullet"/>
        <w:spacing w:after="100"/>
      </w:pPr>
      <w:r>
        <w:t>Verknüpfung von Monomeren zu Makromolekülen durch Polymerisation; Reaktionsgleichungen und Vergleich mit geeigneten Polykondensaten.</w:t>
      </w:r>
    </w:p>
    <w:p>
      <w:pPr>
        <w:pStyle w:val="ListBullet"/>
        <w:spacing w:after="100"/>
      </w:pPr>
      <w:r>
        <w:t>Rohstoffgewinnung und Verarbeitung, Produktlebensweg, Kunststoffverwertung und Wertstoffkreisläufe.</w:t>
      </w:r>
    </w:p>
    <w:p>
      <w:pPr>
        <w:pStyle w:val="ListBullet"/>
        <w:spacing w:after="100"/>
      </w:pPr>
      <w:r>
        <w:t>Eigenschaften eines Funktionspolymers untersuchen und modellhaft erklären; Werkstoffauswahl und Nachhaltigkeit.</w:t>
      </w:r>
    </w:p>
    <w:p>
      <w:pPr>
        <w:pStyle w:val="Heading3"/>
        <w:keepNext/>
        <w:spacing w:after="140"/>
      </w:pPr>
      <w:r>
        <w:t>Lernweg und methodische Gestaltung</w:t>
      </w:r>
    </w:p>
    <w:p>
      <w:pPr>
        <w:pStyle w:val="ListBullet"/>
        <w:spacing w:after="100"/>
      </w:pPr>
      <w:r>
        <w:t>Experimente zu Werkstoffeigenschaften selbstständig planen, durchführen und zur Klassifikation auswerten; aus Strukturen Vorhersagen ableiten.</w:t>
      </w:r>
    </w:p>
    <w:p>
      <w:pPr>
        <w:pStyle w:val="ListBullet"/>
        <w:spacing w:after="100"/>
      </w:pPr>
      <w:r>
        <w:t>Den Produktlebensweg von PE und einem funktionalen Werkstoff von der Rohstoffgewinnung bis zur Verwertung darstellen. Synthesen an Reaktionsgleichungen erklären.</w:t>
      </w:r>
    </w:p>
    <w:p>
      <w:pPr>
        <w:pStyle w:val="ListBullet"/>
        <w:spacing w:after="100"/>
      </w:pPr>
      <w:r>
        <w:t>Verpackungsabfälle anhand ihrer Eigenschaften experimentell trennen; stoffliche und energetische Verwertung vergleichen.</w:t>
      </w:r>
    </w:p>
    <w:p>
      <w:pPr>
        <w:pStyle w:val="ListBullet"/>
        <w:spacing w:after="100"/>
      </w:pPr>
      <w:r>
        <w:t>Die Werkstoffentwicklung aus InnoProducts in diesen Block integrieren: Ein Funktionspolymer untersuchen, ein begründetes Produktkonzept entwickeln und in einer fachlichen Beratung verteidigen.</w:t>
      </w:r>
    </w:p>
    <w:p>
      <w:pPr>
        <w:pStyle w:val="ListBullet"/>
        <w:spacing w:after="100"/>
      </w:pPr>
      <w:r>
        <w:t>Erdöl und nachwachsende Rohstoffe ökologisch, ökonomisch und sozial bewerten. Kriterien für alltägliche Nutzung und Entsorgung gewichten; Gegenargumente berücksichtigen.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die Eigenschaften von Kunststoffen aufgrund ihrer molekularen Strukturen (Kettenlänge, Vernetzungsgrad) (S11, S13), </w:t>
      </w:r>
      <w:r>
        <w:t>GK-MW-01</w:t>
      </w:r>
    </w:p>
    <w:p>
      <w:pPr>
        <w:pStyle w:val="ListBullet"/>
        <w:spacing w:after="100"/>
      </w:pPr>
      <w:r>
        <w:t xml:space="preserve">klassifizieren Kunststoffe anhand ihrer Eigenschaften begründet nach Thermoplasten, Duroplasten und Elastomeren (S1, S2), </w:t>
      </w:r>
      <w:r>
        <w:t>GK-MW-02</w:t>
      </w:r>
    </w:p>
    <w:p>
      <w:pPr>
        <w:pStyle w:val="ListBullet"/>
        <w:spacing w:after="100"/>
      </w:pPr>
      <w:r>
        <w:t xml:space="preserve">erläutern die Verknüpfung von Monomermolekülen zu Makromolekülen mithilfe von Reaktionsgleichungen an einem Beispiel (S4, S12, S16), </w:t>
      </w:r>
      <w:r>
        <w:t>GK-MW-03</w:t>
      </w:r>
    </w:p>
    <w:p>
      <w:pPr>
        <w:pStyle w:val="ListBullet"/>
        <w:spacing w:after="100"/>
      </w:pPr>
      <w:r>
        <w:t xml:space="preserve">beschreiben den Weg eines Anwendungsproduktes von der Rohstoffgewinnung über die Produktion bis zur Verwertung (S5, S10, K1, K2). </w:t>
      </w:r>
      <w:r>
        <w:t>GK-MW-04</w:t>
      </w:r>
    </w:p>
    <w:p>
      <w:pPr>
        <w:pStyle w:val="ListBullet"/>
        <w:spacing w:after="100"/>
      </w:pPr>
      <w:r>
        <w:t xml:space="preserve">führen eigenständig geplante Experimente zur Untersuchung von Eigenschaften organischer Werkstoffe durch und werten diese aus (E4, E5), </w:t>
      </w:r>
      <w:r>
        <w:t>GK-MW-05</w:t>
      </w:r>
    </w:p>
    <w:p>
      <w:pPr>
        <w:pStyle w:val="ListBullet"/>
        <w:spacing w:after="100"/>
      </w:pPr>
      <w:r>
        <w:t xml:space="preserve">planen zielgerichtet anhand der Eigenschaften verschiedener Kunststoffe Experimente zur Trennung und Verwertung von Verpackungsabfällen (E4, S2), </w:t>
      </w:r>
      <w:r>
        <w:t>GK-MW-06</w:t>
      </w:r>
    </w:p>
    <w:p>
      <w:pPr>
        <w:pStyle w:val="ListBullet"/>
        <w:spacing w:after="100"/>
      </w:pPr>
      <w:r>
        <w:t xml:space="preserve">erklären ermittelte Stoffeigenschaften am Beispiel eines Funktionspolymers mit geeigneten Modellen (E1, E5, E7, S2). </w:t>
      </w:r>
      <w:r>
        <w:t>GK-MW-07</w:t>
      </w:r>
    </w:p>
    <w:p>
      <w:pPr>
        <w:pStyle w:val="ListBullet"/>
        <w:spacing w:after="100"/>
      </w:pPr>
      <w:r>
        <w:t xml:space="preserve">bewerten den Einsatz von Erdöl und nachwachsenden Rohstoffen für die Herstellung und die Verwendung von Produkten aus Kunststoffen im Sinne einer nachhaltigen Entwicklung aus ökologischer, ökonomischer und sozialer Perspektive (B9, B12, B13), </w:t>
      </w:r>
      <w:r>
        <w:t>GK-MW-08</w:t>
      </w:r>
    </w:p>
    <w:p>
      <w:pPr>
        <w:pStyle w:val="ListBullet"/>
        <w:spacing w:after="100"/>
      </w:pPr>
      <w:r>
        <w:t xml:space="preserve">vergleichen anhand von Bewertungskriterien Produkte aus unterschiedlichen Kunststoffen und leiten daraus Handlungsoptionen für die alltägliche Nutzung ab (B5, B14, K2, K8, K13), </w:t>
      </w:r>
      <w:r>
        <w:t>GK-MW-09</w:t>
      </w:r>
    </w:p>
    <w:p>
      <w:pPr>
        <w:pStyle w:val="ListBullet"/>
        <w:spacing w:after="100"/>
      </w:pPr>
      <w:r>
        <w:t xml:space="preserve">bewerten stoffliche und energetische Verfahren der Kunststoffverwertung unter Berücksichtigung ausgewählter Nachhaltigkeitsziele (B6, B13, S3, K5, K8). </w:t>
      </w:r>
      <w:r>
        <w:t>GK-MW-10</w:t>
      </w:r>
    </w:p>
    <w:p>
      <w:pPr>
        <w:pStyle w:val="Heading3"/>
        <w:keepNext/>
        <w:spacing w:after="140"/>
      </w:pPr>
      <w:r>
        <w:t>Übergreifende Lernleistungen</w:t>
      </w:r>
    </w:p>
    <w:p>
      <w:pPr>
        <w:pStyle w:val="ListBullet"/>
        <w:spacing w:after="100"/>
      </w:pPr>
      <w:r>
        <w:t xml:space="preserve">Werkstoffeigenschaften aus Struktur und Wechselwirkungen vorhersagen. </w:t>
      </w:r>
      <w:r>
        <w:t>Q-S2</w:t>
      </w:r>
    </w:p>
    <w:p>
      <w:pPr>
        <w:pStyle w:val="ListBullet"/>
        <w:spacing w:after="100"/>
      </w:pPr>
      <w:r>
        <w:t xml:space="preserve">Rohstoffgewinnung, Synthese und Verwertung als chemisches Reaktionssystem beschreiben. </w:t>
      </w:r>
      <w:r>
        <w:t>Q-S5</w:t>
      </w:r>
    </w:p>
    <w:p>
      <w:pPr>
        <w:pStyle w:val="ListBullet"/>
        <w:spacing w:after="100"/>
      </w:pPr>
      <w:r>
        <w:t xml:space="preserve">Kunststoffvielfalt aus Kettenaufbau und Vernetzung erklären. </w:t>
      </w:r>
      <w:r>
        <w:t>Q-S11</w:t>
      </w:r>
    </w:p>
    <w:p>
      <w:pPr>
        <w:pStyle w:val="ListBullet"/>
        <w:spacing w:after="100"/>
      </w:pPr>
      <w:r>
        <w:t xml:space="preserve">Eigenschaftsuntersuchungen mit kontrollierten Variablen planen. </w:t>
      </w:r>
      <w:r>
        <w:t>Q-E4</w:t>
      </w:r>
    </w:p>
    <w:p>
      <w:pPr>
        <w:pStyle w:val="ListBullet"/>
        <w:spacing w:after="100"/>
      </w:pPr>
      <w:r>
        <w:t xml:space="preserve">Ein passendes Modell zur Erklärung eines Funktionspolymers auswählen. </w:t>
      </w:r>
      <w:r>
        <w:t>Q-E7</w:t>
      </w:r>
    </w:p>
    <w:p>
      <w:pPr>
        <w:pStyle w:val="ListBullet"/>
        <w:spacing w:after="100"/>
      </w:pPr>
      <w:r>
        <w:t xml:space="preserve">Den Lebensweg eines Kunststoffprodukts zielgerichtet recherchieren. </w:t>
      </w:r>
      <w:r>
        <w:t>Q-K1</w:t>
      </w:r>
    </w:p>
    <w:p>
      <w:pPr>
        <w:pStyle w:val="ListBullet"/>
        <w:spacing w:after="100"/>
      </w:pPr>
      <w:r>
        <w:t xml:space="preserve">Vertrauenswürdigkeit und Herkunft von Quellen zu Produktnutzen und Risiken prüfen. </w:t>
      </w:r>
      <w:r>
        <w:t>Q-K4</w:t>
      </w:r>
    </w:p>
    <w:p>
      <w:pPr>
        <w:pStyle w:val="ListBullet"/>
        <w:spacing w:after="100"/>
      </w:pPr>
      <w:r>
        <w:t xml:space="preserve">Eine Produktpräsentation auf die Zielgruppe zuschneiden. </w:t>
      </w:r>
      <w:r>
        <w:t>Q-K5</w:t>
      </w:r>
    </w:p>
    <w:p>
      <w:pPr>
        <w:pStyle w:val="ListBullet"/>
        <w:spacing w:after="100"/>
      </w:pPr>
      <w:r>
        <w:t xml:space="preserve">Eine Werkstoffbewertung digital kollaborativ erarbeiten, Rückmeldungen prüfen und die Position gegebenenfalls korrigieren. </w:t>
      </w:r>
      <w:r>
        <w:t>Q-K13</w:t>
      </w:r>
    </w:p>
    <w:p>
      <w:pPr>
        <w:pStyle w:val="ListBullet"/>
        <w:spacing w:after="100"/>
      </w:pPr>
      <w:r>
        <w:t xml:space="preserve">Fachliche Richtigkeit und Vertrauenswürdigkeit recherchierter Produktdaten beurteilen. </w:t>
      </w:r>
      <w:r>
        <w:t>Q-B2</w:t>
      </w:r>
    </w:p>
    <w:p>
      <w:pPr>
        <w:pStyle w:val="ListBullet"/>
        <w:spacing w:after="100"/>
      </w:pPr>
      <w:r>
        <w:t xml:space="preserve">Quellen- und Darstellungswahl auf Interessen der Urheber prüfen. </w:t>
      </w:r>
      <w:r>
        <w:t>Q-B4</w:t>
      </w:r>
    </w:p>
    <w:p>
      <w:pPr>
        <w:pStyle w:val="ListBullet"/>
        <w:spacing w:after="100"/>
      </w:pPr>
      <w:r>
        <w:t xml:space="preserve">Handlungsoptionen für eine Werkstoffwahl nach gewichteten Kriterien abwägen. </w:t>
      </w:r>
      <w:r>
        <w:t>Q-B5</w:t>
      </w:r>
    </w:p>
    <w:p>
      <w:pPr>
        <w:pStyle w:val="ListBullet"/>
        <w:spacing w:after="100"/>
      </w:pPr>
      <w:r>
        <w:t xml:space="preserve">Chancen und Risiken von Kunststoffverwertungsverfahren fachlich bewerten. </w:t>
      </w:r>
      <w:r>
        <w:t>Q-B6</w:t>
      </w:r>
    </w:p>
    <w:p>
      <w:pPr>
        <w:pStyle w:val="ListBullet"/>
        <w:spacing w:after="100"/>
      </w:pPr>
      <w:r>
        <w:t xml:space="preserve">Die Grenzen rein chemischer Bewertung bei sozialen und wirtschaftlichen Produktfragen aufzeigen. </w:t>
      </w:r>
      <w:r>
        <w:t>Q-B9</w:t>
      </w:r>
    </w:p>
    <w:p>
      <w:pPr>
        <w:pStyle w:val="ListBullet"/>
        <w:spacing w:after="100"/>
      </w:pPr>
      <w:r>
        <w:t xml:space="preserve">Werkstoffwahl und eigenes Konsumverhalten ökologisch, ökonomisch und sozial bewerten. </w:t>
      </w:r>
      <w:r>
        <w:t>Q-B13</w:t>
      </w:r>
    </w:p>
    <w:p>
      <w:pPr>
        <w:pStyle w:val="ListBullet"/>
        <w:spacing w:after="100"/>
      </w:pPr>
      <w:r>
        <w:t xml:space="preserve">Die Gewichtung von Kriterien der Werkstoffentscheidung reflektieren. </w:t>
      </w:r>
      <w:r>
        <w:t>Q-B14</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8">
        <w:r>
          <w:t>Klausuratelier Polymere und Aromaten</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Werkstoff-Dossier mit Versuchsplanung, Strukturmodell, Syntheseweg, Trennversuch und Produktbewertung.</w:t>
      </w:r>
    </w:p>
    <w:p>
      <w:bookmarkStart w:id="7028" w:name="lk"/>
      <w:pPr>
        <w:pStyle w:val="Heading1"/>
        <w:keepNext/>
        <w:pageBreakBefore/>
        <w:spacing w:after="140"/>
      </w:pPr>
      <w:r>
        <w:t>7 Unterrichtsvorhaben im Leistungskurs</w:t>
      </w:r>
      <w:bookmarkEnd w:id="7028"/>
    </w:p>
    <w:p>
      <w:pPr>
        <w:spacing w:after="140"/>
      </w:pPr>
      <w:r>
        <w:t>Q1 beginnt mit Säuren und Basen, Thermodynamik, Elektrochemie und Korrosion. Die Organik startet in Q1 und wird zu Beginn von Q2 mit Estern, Fetten und Aromaten vertieft. Anschließend folgen Kunststoffe einschließlich Nanochemie und Farbstoffe. Die bisherigen InnoProducts-Inhalte sind auf Organik und Kunststoffe verteilt; ein gesondertes Salze-Kapitel entfällt.</w:t>
      </w:r>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UV</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Thema</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Jahrgang</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UStd</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1">
              <w:r>
                <w:t>LK.01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Säuren und Basen mit analytischen Verfahren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2">
              <w:r>
                <w:t>LK.02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Thermodynamik</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3">
              <w:r>
                <w:t>LK.03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Elektrochemie mit galvanischer Zelle und Elektrolyse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4">
              <w:r>
                <w:t>LK.04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Korrosion von Metallen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5">
              <w:r>
                <w:t>LK.05</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Organische Chemie I mit Struktur und Reaktionsmechanismen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6">
              <w:r>
                <w:t>LK.06</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Organische Chemie II mit Estern Fetten und Aromaten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7">
              <w:r>
                <w:t>LK.07</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Kunststoffe und funktionale Werkstoffe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8">
              <w:r>
                <w:t>LK.08</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Farbstoffe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24</w:t>
            </w:r>
          </w:p>
        </w:tc>
      </w:tr>
    </w:tbl>
    <w:p>
      <w:pPr>
        <w:spacing w:after="60"/>
      </w:pPr>
    </w:p>
    <w:p>
      <w:bookmarkStart w:id="7029" w:name="uv_LK_01"/>
      <w:pPr>
        <w:pStyle w:val="Heading2"/>
        <w:keepNext/>
        <w:spacing w:after="140"/>
      </w:pPr>
      <w:r>
        <w:t>LK.01 Säuren und Basen mit analytischen Verfahren</w:t>
      </w:r>
      <w:bookmarkEnd w:id="7029"/>
    </w:p>
    <w:p>
      <w:pPr>
        <w:spacing w:after="140"/>
      </w:pPr>
      <w:r>
        <w:t>Jahrgang Q1 · Leistungskurs · ca. 50 Unterrichtsstunden zu 45 Minuten</w:t>
      </w:r>
    </w:p>
    <w:p>
      <w:pPr>
        <w:spacing w:after="140"/>
      </w:pPr>
      <w:r>
        <w:rPr>
          <w:b/>
        </w:rPr>
        <w:t xml:space="preserve">Leitfrage </w:t>
      </w:r>
      <w:r>
        <w:t>Gleicher pH-Wert, gleiche Wirkung? Wie entlarven wir die Versprechen auf einer Reinigerflasche?</w:t>
      </w:r>
    </w:p>
    <w:p>
      <w:pPr>
        <w:pStyle w:val="Heading3"/>
        <w:keepNext/>
        <w:spacing w:after="140"/>
      </w:pPr>
      <w:r>
        <w:t>Inhalte und Schwerpunkte</w:t>
      </w:r>
    </w:p>
    <w:p>
      <w:pPr>
        <w:spacing w:after="140"/>
      </w:pPr>
      <w:r>
        <w:t>Säuren, Basen und analytische Verfahren — zusammenhängender Auftaktblock</w:t>
      </w:r>
    </w:p>
    <w:p>
      <w:pPr>
        <w:pStyle w:val="ListBullet"/>
        <w:spacing w:after="100"/>
      </w:pPr>
      <w:r>
        <w:t>Brønsted-Konzept, Protolysegleichungen, Säure- und Basestärke, KS/pKS und KB/pKB; Massenwirkungsgesetz und Reaktionsgeschwindigkeit.</w:t>
      </w:r>
    </w:p>
    <w:p>
      <w:pPr>
        <w:pStyle w:val="ListBullet"/>
        <w:spacing w:after="100"/>
      </w:pPr>
      <w:r>
        <w:t>pH-Berechnung bei vollständiger und unvollständiger Protolyse; Näherungen und Gültigkeitsbedingungen.</w:t>
      </w:r>
    </w:p>
    <w:p>
      <w:pPr>
        <w:pStyle w:val="ListBullet"/>
        <w:spacing w:after="100"/>
      </w:pPr>
      <w:r>
        <w:t>Säure-Base-Titration mit Indikator; Konzentrationsbestimmung, Messunsicherheit und Aussagekraft.</w:t>
      </w:r>
    </w:p>
    <w:p>
      <w:pPr>
        <w:pStyle w:val="ListBullet"/>
        <w:spacing w:after="100"/>
      </w:pPr>
      <w:r>
        <w:t>Ionengitter und Ionenbindung; qualitative Nachweise von Halogenid-, Ammonium- und Carbonat-Ionen durch Fällung, Farbreaktion bzw. Gasentwicklung; Bewertung von Salzen in Alltagsprodukten.</w:t>
      </w:r>
    </w:p>
    <w:p>
      <w:pPr>
        <w:pStyle w:val="ListBullet"/>
        <w:spacing w:after="100"/>
      </w:pPr>
      <w:r>
        <w:t>Puffer und Henderson-Hasselbalch-Gleichung; Löslichkeitsgleichgewichte und Löslichkeitsprodukt.</w:t>
      </w:r>
    </w:p>
    <w:p>
      <w:pPr>
        <w:pStyle w:val="ListBullet"/>
        <w:spacing w:after="100"/>
      </w:pPr>
      <w:r>
        <w:t>pH-metrische Titration ein- und mehrprotoniger Säuren; Kurven mit Anfangs-pH, Halbäquivalenz- und Äquivalenzpunkt; Auswahl eines geeigneten Indikators.</w:t>
      </w:r>
    </w:p>
    <w:p>
      <w:pPr>
        <w:pStyle w:val="Heading3"/>
        <w:keepNext/>
        <w:spacing w:after="140"/>
      </w:pPr>
      <w:r>
        <w:t>Lernweg und methodische Gestaltung</w:t>
      </w:r>
    </w:p>
    <w:p>
      <w:pPr>
        <w:pStyle w:val="ListBullet"/>
        <w:spacing w:after="100"/>
      </w:pPr>
      <w:r>
        <w:t>Reiniger und Lebensmittelproben untersuchen, Hypothesen aufstellen und geeignete qualitative bzw. quantitative Analyseverfahren begründet wählen.</w:t>
      </w:r>
    </w:p>
    <w:p>
      <w:pPr>
        <w:pStyle w:val="ListBullet"/>
        <w:spacing w:after="100"/>
      </w:pPr>
      <w:r>
        <w:t>Starke und schwache Säuren mit Metallen oder Carbonaten vergleichen; Unterschiede durch das Protolysegleichgewicht erklären.</w:t>
      </w:r>
    </w:p>
    <w:p>
      <w:pPr>
        <w:pStyle w:val="ListBullet"/>
        <w:spacing w:after="100"/>
      </w:pPr>
      <w:r>
        <w:t>Titrationen planen, durchführen und auswerten; Probenverdünnung, Messfehler und Matrixeffekte berücksichtigen. Eine titrierbare Gesamtsäure wird nicht ungeprüft als Gehalt einer einzelnen Säure bezeichnet.</w:t>
      </w:r>
    </w:p>
    <w:p>
      <w:pPr>
        <w:pStyle w:val="ListBullet"/>
        <w:spacing w:after="100"/>
      </w:pPr>
      <w:r>
        <w:t>Ionennachweise als Teil der Produktanalytik durchführen; Nutzen, Wirksamkeit, Dosierung, Risiken und Entsorgung saurer, basischer und salzhaltiger Produkte bewerten.</w:t>
      </w:r>
    </w:p>
    <w:p>
      <w:pPr>
        <w:pStyle w:val="ListBullet"/>
        <w:spacing w:after="100"/>
      </w:pPr>
      <w:r>
        <w:t>Puffer im Kontext von Körperflüssigkeiten untersuchen und berechnen; Fällungsreaktionen quantitativ mit Löslichkeitsgleichgewichten erklären.</w:t>
      </w:r>
    </w:p>
    <w:p>
      <w:pPr>
        <w:pStyle w:val="ListBullet"/>
        <w:spacing w:after="100"/>
      </w:pPr>
      <w:r>
        <w:t>Titrationskurven rechnerisch vorhersagen und mit pH-metrischen Daten vergleichen; Verfahren auf Eignung und Grenzen prüfen. Die elektrochemische Funktionsweise der pH-Elektrode folgt in LK.03.</w:t>
      </w:r>
    </w:p>
    <w:p>
      <w:pPr>
        <w:pStyle w:val="ListBullet"/>
        <w:spacing w:after="100"/>
      </w:pPr>
      <w:r>
        <w:t>Die Wärmeentwicklung bei der Neutralisation dient als Beobachtungsbrücke zu Thermodynamik; die vollständige kalorimetrische Auswertung folgt unmittelbar im nächsten Block.</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klassifizieren die auch in Produkten des Alltags identifizierten Säuren und Basen mithilfe des Säure-Base-Konzepts von Brønsted und erläutern ihr Reaktionsverhalten unter Berücksichtigung von Protolysegleichungen (S1, S6, S7, S16, K6), </w:t>
      </w:r>
      <w:r>
        <w:t>LK-SB-01</w:t>
      </w:r>
    </w:p>
    <w:p>
      <w:pPr>
        <w:pStyle w:val="ListBullet"/>
        <w:spacing w:after="100"/>
      </w:pPr>
      <w:r>
        <w:t xml:space="preserve">erläutern die unterschiedlichen Reaktionsgeschwindigkeiten von starken und schwachen Säuren mit unedlen Metallen oder Salzen anhand der unterschiedlichen Gleichgewichtslage der Protolysereaktionen (S3, S7, S16), </w:t>
      </w:r>
      <w:r>
        <w:t>LK-SB-02</w:t>
      </w:r>
    </w:p>
    <w:p>
      <w:pPr>
        <w:pStyle w:val="ListBullet"/>
        <w:spacing w:after="100"/>
      </w:pPr>
      <w:r>
        <w:t xml:space="preserve">leiten die Säure-/Base-Konstante und den pKS/pKB-Wert von Säuren und Basen mithilfe des Massenwirkungsgesetzes ab und berechnen diese (S7, S17), </w:t>
      </w:r>
      <w:r>
        <w:t>LK-SB-03</w:t>
      </w:r>
    </w:p>
    <w:p>
      <w:pPr>
        <w:pStyle w:val="ListBullet"/>
        <w:spacing w:after="100"/>
      </w:pPr>
      <w:r>
        <w:t xml:space="preserve">interpretieren die Gleichgewichtslage von Protolysereaktionen mithilfe des Massenwirkungsgesetzes und die daraus resultierenden Säure-/Base-Konstanten (S2, S7), </w:t>
      </w:r>
      <w:r>
        <w:t>LK-SB-04</w:t>
      </w:r>
    </w:p>
    <w:p>
      <w:pPr>
        <w:pStyle w:val="ListBullet"/>
        <w:spacing w:after="100"/>
      </w:pPr>
      <w:r>
        <w:t xml:space="preserve">berechnen pH-Werte wässriger Lösungen von Säuren und Basen auch bei nicht vollständiger Protolyse (S17), </w:t>
      </w:r>
      <w:r>
        <w:t>LK-SB-05</w:t>
      </w:r>
    </w:p>
    <w:p>
      <w:pPr>
        <w:pStyle w:val="ListBullet"/>
        <w:spacing w:after="100"/>
      </w:pPr>
      <w:r>
        <w:t xml:space="preserve">sagen den Verlauf von Titrationskurven von starken und schwachen Säuren und Basen anhand der Berechnung der charakteristischen Punkte (AnfangspH-Wert, Halbäquivalenzpunkt, Äquivalenzpunkt) voraus (S10, S17), </w:t>
      </w:r>
      <w:r>
        <w:t>LK-SB-06</w:t>
      </w:r>
    </w:p>
    <w:p>
      <w:pPr>
        <w:pStyle w:val="ListBullet"/>
        <w:spacing w:after="100"/>
      </w:pPr>
      <w:r>
        <w:t xml:space="preserve">erläutern die Wirkung eines Puffersystems auf Grundlage seiner Zusammensetzung (S2, S7, S16), </w:t>
      </w:r>
      <w:r>
        <w:t>LK-SB-07</w:t>
      </w:r>
    </w:p>
    <w:p>
      <w:pPr>
        <w:pStyle w:val="ListBullet"/>
        <w:spacing w:after="100"/>
      </w:pPr>
      <w:r>
        <w:t xml:space="preserve">berechnen den pH-Wert von Puffersystemen anhand der Henderson-Hasselbalch-Gleichung (S17), </w:t>
      </w:r>
      <w:r>
        <w:t>LK-SB-08</w:t>
      </w:r>
    </w:p>
    <w:p>
      <w:pPr>
        <w:pStyle w:val="ListBullet"/>
        <w:spacing w:after="100"/>
      </w:pPr>
      <w:r>
        <w:t xml:space="preserve">erklären Fällungsreaktionen auf der Grundlage von Löslichkeitsgleichgewichten (S2, S7). </w:t>
      </w:r>
      <w:r>
        <w:t>LK-SB-13</w:t>
      </w:r>
    </w:p>
    <w:p>
      <w:pPr>
        <w:pStyle w:val="ListBullet"/>
        <w:spacing w:after="100"/>
      </w:pPr>
      <w:r>
        <w:t xml:space="preserve">weisen ausgewählte Ionensorten (Halogenid-Ionen, Ammonium-Ionen, Carbonat-Ionen) salzartiger Verbindungen qualitativ nach (E5), </w:t>
      </w:r>
      <w:r>
        <w:t>LK-SB-14</w:t>
      </w:r>
    </w:p>
    <w:p>
      <w:pPr>
        <w:pStyle w:val="ListBullet"/>
        <w:spacing w:after="100"/>
      </w:pPr>
      <w:r>
        <w:t xml:space="preserve">planen hypothesengeleitet Experimente zur Konzentrationsbestimmung von Säuren und Basen auch in Alltagsprodukten (E1, E2, E3, E4), </w:t>
      </w:r>
      <w:r>
        <w:t>LK-SB-15</w:t>
      </w:r>
    </w:p>
    <w:p>
      <w:pPr>
        <w:pStyle w:val="ListBullet"/>
        <w:spacing w:after="100"/>
      </w:pPr>
      <w:r>
        <w:t xml:space="preserve">führen das Verfahren einer Säure-Base-Titration mit Endpunktbestimmung mittels Indikator durch und werten die Ergebnisse auch unter Berücksichtigung einer Fehleranalyse aus (E5, E10, K10), </w:t>
      </w:r>
      <w:r>
        <w:t>LK-SB-16</w:t>
      </w:r>
    </w:p>
    <w:p>
      <w:pPr>
        <w:pStyle w:val="ListBullet"/>
        <w:spacing w:after="100"/>
      </w:pPr>
      <w:r>
        <w:t xml:space="preserve">werten pH-metrische Titrationen von ein- und mehrprotonigen Säuren aus und erläutern den Verlauf der Titrationskurven auch bei unvollständiger Protolyse (S9, E8, E10, K7), </w:t>
      </w:r>
      <w:r>
        <w:t>LK-SB-17</w:t>
      </w:r>
    </w:p>
    <w:p>
      <w:pPr>
        <w:pStyle w:val="ListBullet"/>
        <w:spacing w:after="100"/>
      </w:pPr>
      <w:r>
        <w:t xml:space="preserve">beurteilen den Einsatz, die Wirksamkeit und das Gefahrenpotenzial von Säuren, Basen und Salzen als Inhaltsstoffe in Alltagsprodukten und leiten daraus begründet Handlungsoptionen ab (B8, B11, K8), </w:t>
      </w:r>
      <w:r>
        <w:t>LK-SB-20</w:t>
      </w:r>
    </w:p>
    <w:p>
      <w:pPr>
        <w:pStyle w:val="ListBullet"/>
        <w:spacing w:after="100"/>
      </w:pPr>
      <w:r>
        <w:t xml:space="preserve">bewerten die Qualität von Produkten des Alltags oder Umweltparameter auf der Grundlage von qualitativen und quantitativen Analyseergebnissen und beurteilen die Daten hinsichtlich ihrer Aussagekraft (B3, B8, K8), </w:t>
      </w:r>
      <w:r>
        <w:t>LK-SB-21</w:t>
      </w:r>
    </w:p>
    <w:p>
      <w:pPr>
        <w:pStyle w:val="ListBullet"/>
        <w:spacing w:after="100"/>
      </w:pPr>
      <w:r>
        <w:t xml:space="preserve">beurteilen verschiedene Säure-Base-Titrationsverfahren hinsichtlich ihrer Angemessenheit und Grenzen (B3, K8, K9). </w:t>
      </w:r>
      <w:r>
        <w:t>LK-SB-22</w:t>
      </w:r>
    </w:p>
    <w:p>
      <w:pPr>
        <w:pStyle w:val="Heading3"/>
        <w:keepNext/>
        <w:spacing w:after="140"/>
      </w:pPr>
      <w:r>
        <w:t>Übergreifende Lernleistungen</w:t>
      </w:r>
    </w:p>
    <w:p>
      <w:pPr>
        <w:pStyle w:val="ListBullet"/>
        <w:spacing w:after="100"/>
      </w:pPr>
      <w:r>
        <w:t xml:space="preserve">Alltagsstoffe nach dem Brønsted-Konzept einordnen und die Ordnung begründen. </w:t>
      </w:r>
      <w:r>
        <w:t>Q-S1</w:t>
      </w:r>
    </w:p>
    <w:p>
      <w:pPr>
        <w:pStyle w:val="ListBullet"/>
        <w:spacing w:after="100"/>
      </w:pPr>
      <w:r>
        <w:t xml:space="preserve">pH-Beobachtung und Protolysemodell konsequent unterscheiden. </w:t>
      </w:r>
      <w:r>
        <w:t>Q-S6</w:t>
      </w:r>
    </w:p>
    <w:p>
      <w:pPr>
        <w:pStyle w:val="ListBullet"/>
        <w:spacing w:after="100"/>
      </w:pPr>
      <w:r>
        <w:t xml:space="preserve">Umkehrbarkeit und Gleichgewicht von Protolysen mit dem Donator-Akzeptor-Prinzip erklären. </w:t>
      </w:r>
      <w:r>
        <w:t>Q-S7</w:t>
      </w:r>
    </w:p>
    <w:p>
      <w:pPr>
        <w:pStyle w:val="ListBullet"/>
        <w:spacing w:after="100"/>
      </w:pPr>
      <w:r>
        <w:t xml:space="preserve">Aus Teilchenmodellen ausgeglichene Protolysegleichungen entwickeln. </w:t>
      </w:r>
      <w:r>
        <w:t>Q-S16</w:t>
      </w:r>
    </w:p>
    <w:p>
      <w:pPr>
        <w:pStyle w:val="ListBullet"/>
        <w:spacing w:after="100"/>
      </w:pPr>
      <w:r>
        <w:t xml:space="preserve">Eine Untersuchungsfrage zur Konzentration eines Alltagsprodukts entwickeln. </w:t>
      </w:r>
      <w:r>
        <w:t>Q-E2</w:t>
      </w:r>
    </w:p>
    <w:p>
      <w:pPr>
        <w:pStyle w:val="ListBullet"/>
        <w:spacing w:after="100"/>
      </w:pPr>
      <w:r>
        <w:t xml:space="preserve">Quantitative Analyse sicher durchführen, protokollieren und auswerten. </w:t>
      </w:r>
      <w:r>
        <w:t>Q-E5</w:t>
      </w:r>
    </w:p>
    <w:p>
      <w:pPr>
        <w:pStyle w:val="ListBullet"/>
        <w:spacing w:after="100"/>
      </w:pPr>
      <w:r>
        <w:t xml:space="preserve">Den eigenen Analyseweg und die Messunsicherheit kritisch reflektieren. </w:t>
      </w:r>
      <w:r>
        <w:t>Q-E10</w:t>
      </w:r>
    </w:p>
    <w:p>
      <w:pPr>
        <w:pStyle w:val="ListBullet"/>
        <w:spacing w:after="100"/>
      </w:pPr>
      <w:r>
        <w:t xml:space="preserve">Alltagsbezeichnung sauer und chemische Beschreibung der Protolyse unterscheiden. </w:t>
      </w:r>
      <w:r>
        <w:t>Q-K6</w:t>
      </w:r>
    </w:p>
    <w:p>
      <w:pPr>
        <w:pStyle w:val="ListBullet"/>
        <w:spacing w:after="100"/>
      </w:pPr>
      <w:r>
        <w:t xml:space="preserve">Reaktionsgleichung, Messwerttabelle, Diagramm und Erklärung ineinander überführen. </w:t>
      </w:r>
      <w:r>
        <w:t>Q-K7</w:t>
      </w:r>
    </w:p>
    <w:p>
      <w:pPr>
        <w:pStyle w:val="ListBullet"/>
        <w:spacing w:after="100"/>
      </w:pPr>
      <w:r>
        <w:t xml:space="preserve">Das gewählte Analyseverfahren fachlich schlüssig begründen. </w:t>
      </w:r>
      <w:r>
        <w:t>Q-K10</w:t>
      </w:r>
    </w:p>
    <w:p>
      <w:pPr>
        <w:pStyle w:val="ListBullet"/>
        <w:spacing w:after="100"/>
      </w:pPr>
      <w:r>
        <w:t xml:space="preserve">Tragweite und Grenzen einer Produktanalyse bewerten. </w:t>
      </w:r>
      <w:r>
        <w:t>Q-B3</w:t>
      </w:r>
    </w:p>
    <w:p>
      <w:pPr>
        <w:pStyle w:val="ListBullet"/>
        <w:spacing w:after="100"/>
      </w:pPr>
      <w:r>
        <w:t xml:space="preserve">Die Bedeutung analytischer Kompetenzen für Alltag und Berufsfelder der Qualitätskontrolle erläutern. </w:t>
      </w:r>
      <w:r>
        <w:t>Q-B8</w:t>
      </w:r>
    </w:p>
    <w:p>
      <w:pPr>
        <w:pStyle w:val="ListBullet"/>
        <w:spacing w:after="100"/>
      </w:pPr>
      <w:r>
        <w:t xml:space="preserve">Sichere Handlungsoptionen bei der Anwendung eines Reinigers ableiten. </w:t>
      </w:r>
      <w:r>
        <w:t>Q-B11</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7">
        <w:r>
          <w:t>Energie Mission zur Thermochemie</w:t>
        </w:r>
      </w:hyperlink>
    </w:p>
    <w:p>
      <w:pPr>
        <w:pStyle w:val="ListBullet"/>
        <w:spacing w:after="100"/>
      </w:pPr>
      <w:hyperlink r:id="rId16">
        <w:r>
          <w:t>Chemie Formelsammlung</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Analysebericht mit begründeter Methodenwahl, Rechnungen und Fehleranalyse; Beratung zu sicherer Produktanwendung. Zusätzlich Pufferberechnung, Auswertung einer mehrprotonigen Titration und Löslichkeitsgleichgewicht.</w:t>
      </w:r>
    </w:p>
    <w:p>
      <w:bookmarkStart w:id="7030" w:name="uv_LK_02"/>
      <w:pPr>
        <w:pStyle w:val="Heading2"/>
        <w:keepNext/>
        <w:spacing w:after="140"/>
      </w:pPr>
      <w:r>
        <w:t>LK.02 Thermodynamik</w:t>
      </w:r>
      <w:bookmarkEnd w:id="7030"/>
    </w:p>
    <w:p>
      <w:pPr>
        <w:spacing w:after="140"/>
      </w:pPr>
      <w:r>
        <w:t>Jahrgang Q1 · Leistungskurs · ca. 30 Unterrichtsstunden zu 45 Minuten</w:t>
      </w:r>
    </w:p>
    <w:p>
      <w:pPr>
        <w:spacing w:after="140"/>
      </w:pPr>
      <w:r>
        <w:rPr>
          <w:b/>
        </w:rPr>
        <w:t xml:space="preserve">Leitfrage </w:t>
      </w:r>
      <w:r>
        <w:t>Ein Kältepack kühlt ohne Strom. Woher kommt die Energie für das Lösen, und wohin geht die Wärme?</w:t>
      </w:r>
    </w:p>
    <w:p>
      <w:pPr>
        <w:pStyle w:val="Heading3"/>
        <w:keepNext/>
        <w:spacing w:after="140"/>
      </w:pPr>
      <w:r>
        <w:t>Inhalte und Schwerpunkte</w:t>
      </w:r>
    </w:p>
    <w:p>
      <w:pPr>
        <w:spacing w:after="140"/>
      </w:pPr>
      <w:r>
        <w:t>Säuren, Basen und analytische Verfahren; Elektrochemische Prozesse und Energetik</w:t>
      </w:r>
    </w:p>
    <w:p>
      <w:pPr>
        <w:pStyle w:val="ListBullet"/>
        <w:spacing w:after="100"/>
      </w:pPr>
      <w:r>
        <w:t>Innere Energie, Wärme, Arbeit und Reaktionsenthalpie; erster Hauptsatz.</w:t>
      </w:r>
    </w:p>
    <w:p>
      <w:pPr>
        <w:pStyle w:val="ListBullet"/>
        <w:spacing w:after="100"/>
      </w:pPr>
      <w:r>
        <w:t>Neutralisationsenthalpie und Kalorimetrie; Vergleich mit Literaturdaten und Fehlerquellen.</w:t>
      </w:r>
    </w:p>
    <w:p>
      <w:pPr>
        <w:pStyle w:val="ListBullet"/>
        <w:spacing w:after="100"/>
      </w:pPr>
      <w:r>
        <w:t>Endotherme und exotherme Lösungsvorgänge bei Salzen: Gitter- und Solvatationsenergie.</w:t>
      </w:r>
    </w:p>
    <w:p>
      <w:pPr>
        <w:pStyle w:val="ListBullet"/>
        <w:spacing w:after="100"/>
      </w:pPr>
      <w:r>
        <w:t>Standardbildungs- und Standardreaktionsenthalpien, Satz von Hess; Verbrennungsreaktionen und energetische Bilanzen.</w:t>
      </w:r>
    </w:p>
    <w:p>
      <w:pPr>
        <w:pStyle w:val="ListBullet"/>
        <w:spacing w:after="100"/>
      </w:pPr>
      <w:r>
        <w:t>Entropie, zweiter Hauptsatz und spontaner endothermer Lösungsvorgang.</w:t>
      </w:r>
    </w:p>
    <w:p>
      <w:pPr>
        <w:pStyle w:val="ListBullet"/>
        <w:spacing w:after="100"/>
      </w:pPr>
      <w:r>
        <w:t>Freie Enthalpie und Gibbs-Helmholtz-Gleichung; Einfluss der Temperatur. Thermodynamische Begünstigung und Reaktionsgeschwindigkeit unterscheiden.</w:t>
      </w:r>
    </w:p>
    <w:p>
      <w:pPr>
        <w:pStyle w:val="Heading3"/>
        <w:keepNext/>
        <w:spacing w:after="140"/>
      </w:pPr>
      <w:r>
        <w:t>Lernweg und methodische Gestaltung</w:t>
      </w:r>
    </w:p>
    <w:p>
      <w:pPr>
        <w:pStyle w:val="ListBullet"/>
        <w:spacing w:after="100"/>
      </w:pPr>
      <w:r>
        <w:t>Die Neutralisationsreaktion aus dem Säure-Base-Block kalorimetrisch untersuchen und Messdaten mit Literaturwerten vergleichen.</w:t>
      </w:r>
    </w:p>
    <w:p>
      <w:pPr>
        <w:pStyle w:val="ListBullet"/>
        <w:spacing w:after="100"/>
      </w:pPr>
      <w:r>
        <w:t>Lösungsenthalpien geeigneter Salze messen und mit Gitter- und Solvatationsenergie erklären; Eignung für Wärme- und Kältepacks beurteilen.</w:t>
      </w:r>
    </w:p>
    <w:p>
      <w:pPr>
        <w:pStyle w:val="ListBullet"/>
        <w:spacing w:after="100"/>
      </w:pPr>
      <w:r>
        <w:t>Reaktionsenthalpien von Verbrennungen mit dem Satz von Hess bestimmen und Systemgrenzen der Bilanz angeben.</w:t>
      </w:r>
    </w:p>
    <w:p>
      <w:pPr>
        <w:pStyle w:val="ListBullet"/>
        <w:spacing w:after="100"/>
      </w:pPr>
      <w:r>
        <w:t>Spontane endotherme Lösungsvorgänge als Anlass für Entropie und zweiten Hauptsatz nutzen; freie Enthalpien temperaturabhängig berechnen.</w:t>
      </w:r>
    </w:p>
    <w:p>
      <w:pPr>
        <w:pStyle w:val="ListBullet"/>
        <w:spacing w:after="100"/>
      </w:pPr>
      <w:r>
        <w:t>Die Umwandlung chemischer Energie in Wärme und elektrische Arbeit zunächst modellhaft unterscheiden; Messung und Bewertung elektrochemischer Energiewandler werden im Folgeblock durchgeführt.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definieren den Begriff der Reaktionsenthalpie und grenzen diesen von der inneren Energie ab (S3), </w:t>
      </w:r>
      <w:r>
        <w:t>LK-SB-09</w:t>
      </w:r>
    </w:p>
    <w:p>
      <w:pPr>
        <w:pStyle w:val="ListBullet"/>
        <w:spacing w:after="100"/>
      </w:pPr>
      <w:r>
        <w:t xml:space="preserve">erklären im Zusammenhang mit der Neutralisationsreaktion den ersten Hauptsatz der Thermodynamik (Prinzip der Energieerhaltung) (S3, S10), </w:t>
      </w:r>
      <w:r>
        <w:t>LK-SB-10</w:t>
      </w:r>
    </w:p>
    <w:p>
      <w:pPr>
        <w:pStyle w:val="ListBullet"/>
        <w:spacing w:after="100"/>
      </w:pPr>
      <w:r>
        <w:t xml:space="preserve">erläutern die Neutralisationsreaktion unter Berücksichtigung der Neutralisationsenthalpie (S3, S12), </w:t>
      </w:r>
      <w:r>
        <w:t>LK-SB-11</w:t>
      </w:r>
    </w:p>
    <w:p>
      <w:pPr>
        <w:pStyle w:val="ListBullet"/>
        <w:spacing w:after="100"/>
      </w:pPr>
      <w:r>
        <w:t xml:space="preserve">erklären endotherme und exotherme Lösungsvorgänge bei Salzen unter Einbeziehung der Gitter- und Solvatationsenergie und führen den spontanen Ablauf eines endothermen Lösungsvorgangs auf die Entropieänderung zurück (S12, K8), </w:t>
      </w:r>
      <w:r>
        <w:t>LK-SB-12</w:t>
      </w:r>
    </w:p>
    <w:p>
      <w:pPr>
        <w:pStyle w:val="ListBullet"/>
        <w:spacing w:after="100"/>
      </w:pPr>
      <w:r>
        <w:t xml:space="preserve">bestimmen die Reaktionsenthalpie der Neutralisationsreaktion von starken Säuren mit starken Basen kalorimetrisch und vergleichen das Ergebnis mit Literaturdaten (E5, K1), </w:t>
      </w:r>
      <w:r>
        <w:t>LK-SB-18</w:t>
      </w:r>
    </w:p>
    <w:p>
      <w:pPr>
        <w:pStyle w:val="ListBullet"/>
        <w:spacing w:after="100"/>
      </w:pPr>
      <w:r>
        <w:t xml:space="preserve">interpretieren die Messdaten von Lösungsenthalpien verschiedener Salze unter Berücksichtigung der Entropie (S12, E8). </w:t>
      </w:r>
      <w:r>
        <w:t>LK-SB-19</w:t>
      </w:r>
    </w:p>
    <w:p>
      <w:pPr>
        <w:pStyle w:val="ListBullet"/>
        <w:spacing w:after="100"/>
      </w:pPr>
      <w:r>
        <w:t xml:space="preserve">interpretieren energetische Erscheinungen bei Redoxreaktionen auf die Umwandlung eines Teils der in Stoffen gespeicherten Energie in Wärme und Arbeit unter Berücksichtigung der Einschränkung durch den zweiten Hauptsatz der Thermodynamik (S3, S12, K10), </w:t>
      </w:r>
      <w:r>
        <w:t>LK-EC-09</w:t>
      </w:r>
    </w:p>
    <w:p>
      <w:pPr>
        <w:pStyle w:val="ListBullet"/>
        <w:spacing w:after="100"/>
      </w:pPr>
      <w:r>
        <w:t xml:space="preserve">berechnen die freie Enthalpie bei Redoxreaktionen (S3, S17, K8). </w:t>
      </w:r>
      <w:r>
        <w:t>LK-EC-10</w:t>
      </w:r>
    </w:p>
    <w:p>
      <w:pPr>
        <w:pStyle w:val="ListBullet"/>
        <w:spacing w:after="100"/>
      </w:pPr>
      <w:r>
        <w:t xml:space="preserve">erklären die Herleitung elektrochemischer und thermodynamischer Gesetzmäßigkeiten (Faraday, Nernst, Gibbs-Helmholtz) aus experimentellen Daten (E8, S17, K8), </w:t>
      </w:r>
      <w:r>
        <w:t>LK-EC-15</w:t>
      </w:r>
    </w:p>
    <w:p>
      <w:pPr>
        <w:pStyle w:val="ListBullet"/>
        <w:spacing w:after="100"/>
      </w:pPr>
      <w:r>
        <w:t xml:space="preserve">ermitteln die Standardreaktionsenthalpien ausgewählter Redoxreaktionen unter Anwendung des Satzes von Hess auch rechnerisch (E2, E4, E7, S16, S17, K2). </w:t>
      </w:r>
      <w:r>
        <w:t>LK-EC-19</w:t>
      </w:r>
    </w:p>
    <w:p>
      <w:pPr>
        <w:pStyle w:val="Heading3"/>
        <w:keepNext/>
        <w:spacing w:after="140"/>
      </w:pPr>
      <w:r>
        <w:t>Übergreifende Lernleistungen</w:t>
      </w:r>
    </w:p>
    <w:p>
      <w:pPr>
        <w:pStyle w:val="ListBullet"/>
        <w:spacing w:after="100"/>
      </w:pPr>
      <w:r>
        <w:t xml:space="preserve">Chemische Energetik mit physikalischer Arbeit und Energieerhaltung vernetzen. </w:t>
      </w:r>
      <w:r>
        <w:t>Q-S10</w:t>
      </w:r>
    </w:p>
    <w:p>
      <w:pPr>
        <w:pStyle w:val="ListBullet"/>
        <w:spacing w:after="100"/>
      </w:pPr>
      <w:r>
        <w:t xml:space="preserve">Thermodynamische Daten aus Tabellen, Diagrammen und Texten erschließen. </w:t>
      </w:r>
      <w:r>
        <w:t>Q-K2</w:t>
      </w:r>
    </w:p>
    <w:p>
      <w:pPr>
        <w:pStyle w:val="ListBullet"/>
        <w:spacing w:after="100"/>
      </w:pPr>
      <w:r>
        <w:t xml:space="preserve">Daten zu Lösungsvorgängen strukturieren und Schlussfolgerungen ableiten. </w:t>
      </w:r>
      <w:r>
        <w:t>Q-K8</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Kalorimetrieprotokoll, Hess-Rechnung und begründete Wahl eines Wärme- oder Kältepacks. Entropie und freie Enthalpie zur Erklärung der Reaktionsrichtung nutzen.</w:t>
      </w:r>
    </w:p>
    <w:p>
      <w:bookmarkStart w:id="7031" w:name="uv_LK_03"/>
      <w:pPr>
        <w:pStyle w:val="Heading2"/>
        <w:keepNext/>
        <w:spacing w:after="140"/>
      </w:pPr>
      <w:r>
        <w:t>LK.03 Elektrochemie mit galvanischer Zelle und Elektrolyse</w:t>
      </w:r>
      <w:bookmarkEnd w:id="7031"/>
    </w:p>
    <w:p>
      <w:pPr>
        <w:spacing w:after="140"/>
      </w:pPr>
      <w:r>
        <w:t>Jahrgang Q1 · Leistungskurs · ca. 34 Unterrichtsstunden zu 45 Minuten</w:t>
      </w:r>
    </w:p>
    <w:p>
      <w:pPr>
        <w:spacing w:after="140"/>
      </w:pPr>
      <w:r>
        <w:rPr>
          <w:b/>
        </w:rPr>
        <w:t xml:space="preserve">Leitfrage </w:t>
      </w:r>
      <w:r>
        <w:t>Kann dieselbe Reaktion erst Strom liefern und anschließend mit Strom rückwärts laufen?</w:t>
      </w:r>
    </w:p>
    <w:p>
      <w:pPr>
        <w:pStyle w:val="Heading3"/>
        <w:keepNext/>
        <w:spacing w:after="140"/>
      </w:pPr>
      <w:r>
        <w:t>Inhalte und Schwerpunkte</w:t>
      </w:r>
    </w:p>
    <w:p>
      <w:pPr>
        <w:spacing w:after="140"/>
      </w:pPr>
      <w:r>
        <w:t>Elektrochemische Prozesse und Energetik</w:t>
      </w:r>
    </w:p>
    <w:p>
      <w:pPr>
        <w:pStyle w:val="ListBullet"/>
        <w:spacing w:after="100"/>
      </w:pPr>
      <w:r>
        <w:t>Redoxreaktionen als dynamische Gleichgewichte; Donator-Akzeptor-Prinzip und Teilgleichungen.</w:t>
      </w:r>
    </w:p>
    <w:p>
      <w:pPr>
        <w:pStyle w:val="ListBullet"/>
        <w:spacing w:after="100"/>
      </w:pPr>
      <w:r>
        <w:t>Metallbindung, Elektronengasmodell, elektrochemische Doppelschicht und bewegliche hydratisierte Ionen.</w:t>
      </w:r>
    </w:p>
    <w:p>
      <w:pPr>
        <w:pStyle w:val="ListBullet"/>
        <w:spacing w:after="100"/>
      </w:pPr>
      <w:r>
        <w:t>Galvanische Zellen, Spannungsreihe und Zellspannungen; Batterie, Akkumulator und Brennstoffzelle.</w:t>
      </w:r>
    </w:p>
    <w:p>
      <w:pPr>
        <w:pStyle w:val="ListBullet"/>
        <w:spacing w:after="100"/>
      </w:pPr>
      <w:r>
        <w:t>Elektrolyse als Umkehr einer galvanischen Reaktion; Energieumwandlung, Energiespeicherung und alternative Energieträger.</w:t>
      </w:r>
    </w:p>
    <w:p>
      <w:pPr>
        <w:pStyle w:val="ListBullet"/>
        <w:spacing w:after="100"/>
      </w:pPr>
      <w:r>
        <w:t>Heterogene Katalyse an der Brennstoffzelle; Vergleich mit fossilen Energiequellen anhand recherchierter thermodynamischer Daten.</w:t>
      </w:r>
    </w:p>
    <w:p>
      <w:pPr>
        <w:pStyle w:val="ListBullet"/>
        <w:spacing w:after="100"/>
      </w:pPr>
      <w:r>
        <w:t>Konzentrationszellen und Nernst-Gleichung, Konzentrationsbestimmung von Metall- und Nichtmetallionen; pH-Elektrode.</w:t>
      </w:r>
    </w:p>
    <w:p>
      <w:pPr>
        <w:pStyle w:val="ListBullet"/>
        <w:spacing w:after="100"/>
      </w:pPr>
      <w:r>
        <w:t>Faraday-Gesetze, Zersetzungsspannung und Überspannung; Stoffumsatz und Leistung.</w:t>
      </w:r>
    </w:p>
    <w:p>
      <w:pPr>
        <w:pStyle w:val="ListBullet"/>
        <w:spacing w:after="100"/>
      </w:pPr>
      <w:r>
        <w:t>Redoxtitration; freie Enthalpie bei Redoxreaktionen und Gibbs-Helmholtz-Zusammenhang aus experimentellen Daten.</w:t>
      </w:r>
    </w:p>
    <w:p>
      <w:pPr>
        <w:pStyle w:val="Heading3"/>
        <w:keepNext/>
        <w:spacing w:after="140"/>
      </w:pPr>
      <w:r>
        <w:t>Lernweg und methodische Gestaltung</w:t>
      </w:r>
    </w:p>
    <w:p>
      <w:pPr>
        <w:pStyle w:val="ListBullet"/>
        <w:spacing w:after="100"/>
      </w:pPr>
      <w:r>
        <w:t>Hypothesen zu Redoxreaktionen aufstellen und experimentell prüfen; Messdaten galvanischer Zellen zur Spannungsreihe auswerten.</w:t>
      </w:r>
    </w:p>
    <w:p>
      <w:pPr>
        <w:pStyle w:val="ListBullet"/>
        <w:spacing w:after="100"/>
      </w:pPr>
      <w:r>
        <w:t>Daniell-Element aufbauen, Zellspannungen berechnen und Elektrodenreaktionen auch digital modellieren.</w:t>
      </w:r>
    </w:p>
    <w:p>
      <w:pPr>
        <w:pStyle w:val="ListBullet"/>
        <w:spacing w:after="100"/>
      </w:pPr>
      <w:r>
        <w:t>Laden und Entladen vergleichen; Wasserelektrolyse und Brennstoffzelle stofflich und energetisch untersuchen und die heterogene Katalyse erklären.</w:t>
      </w:r>
    </w:p>
    <w:p>
      <w:pPr>
        <w:pStyle w:val="ListBullet"/>
        <w:spacing w:after="100"/>
      </w:pPr>
      <w:r>
        <w:t>Konzentrationszellen vermessen, die Nernst-Gleichung datenbasiert erschließen und Ionenkonzentrationen bestimmen; die Funktionsweise der pH-Elektrode an LK.01 rückbinden.</w:t>
      </w:r>
    </w:p>
    <w:p>
      <w:pPr>
        <w:pStyle w:val="ListBullet"/>
        <w:spacing w:after="100"/>
      </w:pPr>
      <w:r>
        <w:t>Stoffumsatz bei Elektrolyse mit Ladung verknüpfen und Faraday-Gesetze erschließen; Zersetzungs- und Überspannung unterscheiden.</w:t>
      </w:r>
    </w:p>
    <w:p>
      <w:pPr>
        <w:pStyle w:val="ListBullet"/>
        <w:spacing w:after="100"/>
      </w:pPr>
      <w:r>
        <w:t>Eine Redoxtitration an einer geeigneten Probe auswerten; Leistung einer Spannungsquelle messen und Temperaturdaten thermodynamisch deuten.</w:t>
      </w:r>
    </w:p>
    <w:p>
      <w:pPr>
        <w:pStyle w:val="ListBullet"/>
        <w:spacing w:after="100"/>
      </w:pPr>
      <w:r>
        <w:t>Batterie, Akku, Wasserstoff und fossile Brennstoffe anhand von Wirkungsgrad, Herstellung, Rohstoffen, Lebensdauer und Entsorgung vergleichen; Quellen und ihre Interessen kritisch prüfen.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Redoxreaktionen als dynamische Gleichgewichtsreaktionen unter Berücksichtigung des Donator-Akzeptor-Konzepts (S7, S12, K7), </w:t>
      </w:r>
      <w:r>
        <w:t>LK-EC-01</w:t>
      </w:r>
    </w:p>
    <w:p>
      <w:pPr>
        <w:pStyle w:val="ListBullet"/>
        <w:spacing w:after="100"/>
      </w:pPr>
      <w:r>
        <w:t xml:space="preserve">nennen die metallische Bindung und die Beweglichkeit hydratisierter Ionen als Voraussetzungen für einen geschlossenen Stromkreislauf der galvanischen Zelle und der Elektrolyse (S12, S15, K10), </w:t>
      </w:r>
      <w:r>
        <w:t>LK-EC-02</w:t>
      </w:r>
    </w:p>
    <w:p>
      <w:pPr>
        <w:pStyle w:val="ListBullet"/>
        <w:spacing w:after="100"/>
      </w:pPr>
      <w:r>
        <w:t xml:space="preserve">erläutern den Aufbau und die Funktionsweise galvanischer Zellen hinsichtlich der chemischen Prozesse auch mithilfe digitaler Werkzeuge und berechnen auch unter Berücksichtigung der Nernst-Gleichung die jeweilige Zellspannung (S3, S17, E6, K11), </w:t>
      </w:r>
      <w:r>
        <w:t>LK-EC-03</w:t>
      </w:r>
    </w:p>
    <w:p>
      <w:pPr>
        <w:pStyle w:val="ListBullet"/>
        <w:spacing w:after="100"/>
      </w:pPr>
      <w:r>
        <w:t xml:space="preserve">erläutern und vergleichen den Aufbau und die Funktion ausgewählter elektrochemischer Spannungsquellen aus Alltag und Technik (Batterie, Akkumulator, Brennstoffzelle) unter Berücksichtigung der Teilreaktionen sowie möglicher Zellspannungen (S10, S12, S16, K9), </w:t>
      </w:r>
      <w:r>
        <w:t>LK-EC-04</w:t>
      </w:r>
    </w:p>
    <w:p>
      <w:pPr>
        <w:pStyle w:val="ListBullet"/>
        <w:spacing w:after="100"/>
      </w:pPr>
      <w:r>
        <w:t xml:space="preserve">erklären am Beispiel einer Brennstoffzelle die Funktion der heterogenen Katalyse unter Verwendung geeigneter Medien (S8, S12, K11), </w:t>
      </w:r>
      <w:r>
        <w:t>LK-EC-05</w:t>
      </w:r>
    </w:p>
    <w:p>
      <w:pPr>
        <w:pStyle w:val="ListBullet"/>
        <w:spacing w:after="100"/>
      </w:pPr>
      <w:r>
        <w:t xml:space="preserve">erläutern die Reaktionen einer Elektrolyse auf stofflicher und energetischer Ebene als Umkehr der Reaktionen eines galvanischen Elements (S7, S16, K10), </w:t>
      </w:r>
      <w:r>
        <w:t>LK-EC-06</w:t>
      </w:r>
    </w:p>
    <w:p>
      <w:pPr>
        <w:pStyle w:val="ListBullet"/>
        <w:spacing w:after="100"/>
      </w:pPr>
      <w:r>
        <w:t xml:space="preserve">erklären die für die Elektrolyse benötigte Zersetzungsspannung unter Berücksichtigung des Phänomens der Überspannung (S12, K8), </w:t>
      </w:r>
      <w:r>
        <w:t>LK-EC-07</w:t>
      </w:r>
    </w:p>
    <w:p>
      <w:pPr>
        <w:pStyle w:val="ListBullet"/>
        <w:spacing w:after="100"/>
      </w:pPr>
      <w:r>
        <w:t xml:space="preserve">berechnen Stoffumsätze unter Anwendung der Faraday-Gesetze (S3, S17), </w:t>
      </w:r>
      <w:r>
        <w:t>LK-EC-08</w:t>
      </w:r>
    </w:p>
    <w:p>
      <w:pPr>
        <w:pStyle w:val="ListBullet"/>
        <w:spacing w:after="100"/>
      </w:pPr>
      <w:r>
        <w:t xml:space="preserve">interpretieren energetische Erscheinungen bei Redoxreaktionen auf die Umwandlung eines Teils der in Stoffen gespeicherten Energie in Wärme und Arbeit unter Berücksichtigung der Einschränkung durch den zweiten Hauptsatz der Thermodynamik (S3, S12, K10), </w:t>
      </w:r>
      <w:r>
        <w:t>LK-EC-09</w:t>
      </w:r>
    </w:p>
    <w:p>
      <w:pPr>
        <w:pStyle w:val="ListBullet"/>
        <w:spacing w:after="100"/>
      </w:pPr>
      <w:r>
        <w:t xml:space="preserve">berechnen die freie Enthalpie bei Redoxreaktionen (S3, S17, K8). </w:t>
      </w:r>
      <w:r>
        <w:t>LK-EC-10</w:t>
      </w:r>
    </w:p>
    <w:p>
      <w:pPr>
        <w:pStyle w:val="ListBullet"/>
        <w:spacing w:after="100"/>
      </w:pPr>
      <w:r>
        <w:t xml:space="preserve">entwickeln Hypothesen zum Auftreten von Redoxreaktionen zwischen Metallund Nichtmetallatomen sowie Ionen und überprüfen diese experimentell (E3, E4, E5, E10), </w:t>
      </w:r>
      <w:r>
        <w:t>LK-EC-11</w:t>
      </w:r>
    </w:p>
    <w:p>
      <w:pPr>
        <w:pStyle w:val="ListBullet"/>
        <w:spacing w:after="100"/>
      </w:pPr>
      <w:r>
        <w:t xml:space="preserve">wenden das Verfahren der Redoxtitration zur Ermittlung der Konzentration eines Stoffes begründet an (E5, S3, K10), </w:t>
      </w:r>
      <w:r>
        <w:t>LK-EC-12</w:t>
      </w:r>
    </w:p>
    <w:p>
      <w:pPr>
        <w:pStyle w:val="ListBullet"/>
        <w:spacing w:after="100"/>
      </w:pPr>
      <w:r>
        <w:t xml:space="preserve">ermitteln Messdaten ausgewählter galvanischer Zellen zur Einordnung in die elektrochemische Spannungsreihe (E6, E8), </w:t>
      </w:r>
      <w:r>
        <w:t>LK-EC-13</w:t>
      </w:r>
    </w:p>
    <w:p>
      <w:pPr>
        <w:pStyle w:val="ListBullet"/>
        <w:spacing w:after="100"/>
      </w:pPr>
      <w:r>
        <w:t xml:space="preserve">ermitteln die Ionenkonzentration von ausgewählten Metall- und Nichtmetallionen mithilfe der Nernst-Gleichung aus Messdaten galvanischer Zellen (E6, E8, S17, K5), </w:t>
      </w:r>
      <w:r>
        <w:t>LK-EC-14</w:t>
      </w:r>
    </w:p>
    <w:p>
      <w:pPr>
        <w:pStyle w:val="ListBullet"/>
        <w:spacing w:after="100"/>
      </w:pPr>
      <w:r>
        <w:t xml:space="preserve">erklären die Herleitung elektrochemischer und thermodynamischer Gesetzmäßigkeiten (Faraday, Nernst, Gibbs-Helmholtz) aus experimentellen Daten (E8, S17, K8), </w:t>
      </w:r>
      <w:r>
        <w:t>LK-EC-15</w:t>
      </w:r>
    </w:p>
    <w:p>
      <w:pPr>
        <w:pStyle w:val="ListBullet"/>
        <w:spacing w:after="100"/>
      </w:pPr>
      <w:r>
        <w:t xml:space="preserve">ermitteln die Leistung einer elektrochemischen Spannungsquelle an einem Beispiel (E5, E10, S17), </w:t>
      </w:r>
      <w:r>
        <w:t>LK-EC-16</w:t>
      </w:r>
    </w:p>
    <w:p>
      <w:pPr>
        <w:pStyle w:val="ListBullet"/>
        <w:spacing w:after="100"/>
      </w:pPr>
      <w:r>
        <w:t xml:space="preserve">bewerten auch unter Berücksichtigung des energetischen Wirkungsgrads fossile und elektrochemische Energiequellen (B2, B4, K3, K12), </w:t>
      </w:r>
      <w:r>
        <w:t>LK-EC-20</w:t>
      </w:r>
    </w:p>
    <w:p>
      <w:pPr>
        <w:pStyle w:val="ListBullet"/>
        <w:spacing w:after="100"/>
      </w:pPr>
      <w:r>
        <w:t xml:space="preserve">diskutieren Möglichkeiten und Grenzen bei der Umwandlung, Speicherung und Nutzung elektrischer Energie auch unter Berücksichtigung thermodynamischer Gesetzmäßigkeiten im Hinblick auf nachhaltiges Handeln (B3, B10, B13, E12, K8), </w:t>
      </w:r>
      <w:r>
        <w:t>LK-EC-21</w:t>
      </w:r>
    </w:p>
    <w:p>
      <w:pPr>
        <w:pStyle w:val="ListBullet"/>
        <w:spacing w:after="100"/>
      </w:pPr>
      <w:r>
        <w:t xml:space="preserve">diskutieren ökologische und ökonomische Aspekte der elektrolytischen Gewinnung eines Stoffes unter Berücksichtigung der Faraday-Gesetze (B10, B13, E8, K13), </w:t>
      </w:r>
      <w:r>
        <w:t>LK-EC-22</w:t>
      </w:r>
    </w:p>
    <w:p>
      <w:pPr>
        <w:pStyle w:val="Heading3"/>
        <w:keepNext/>
        <w:spacing w:after="140"/>
      </w:pPr>
      <w:r>
        <w:t>Übergreifende Lernleistungen</w:t>
      </w:r>
    </w:p>
    <w:p>
      <w:pPr>
        <w:pStyle w:val="ListBullet"/>
        <w:spacing w:after="100"/>
      </w:pPr>
      <w:r>
        <w:t xml:space="preserve">Stoff- und Energieumwandlung einer Brennstoffzelle interpretieren. </w:t>
      </w:r>
      <w:r>
        <w:t>Q-S3</w:t>
      </w:r>
    </w:p>
    <w:p>
      <w:pPr>
        <w:pStyle w:val="ListBullet"/>
        <w:spacing w:after="100"/>
      </w:pPr>
      <w:r>
        <w:t xml:space="preserve">Stoff- und Energieumwandlungen beim Laden und Entladen auf Teilchenebene deuten. </w:t>
      </w:r>
      <w:r>
        <w:t>Q-S12</w:t>
      </w:r>
    </w:p>
    <w:p>
      <w:pPr>
        <w:pStyle w:val="ListBullet"/>
        <w:spacing w:after="100"/>
      </w:pPr>
      <w:r>
        <w:t xml:space="preserve">Die dynamischen Vorgänge an einer Elektrode vom makroskopischen Gleichgewicht unterscheiden. </w:t>
      </w:r>
      <w:r>
        <w:t>Q-S15</w:t>
      </w:r>
    </w:p>
    <w:p>
      <w:pPr>
        <w:pStyle w:val="ListBullet"/>
        <w:spacing w:after="100"/>
      </w:pPr>
      <w:r>
        <w:t xml:space="preserve">Zellspannungen berechnen; im LK Konzentrationseinflüsse einbeziehen. </w:t>
      </w:r>
      <w:r>
        <w:t>Q-S17</w:t>
      </w:r>
    </w:p>
    <w:p>
      <w:pPr>
        <w:pStyle w:val="ListBullet"/>
        <w:spacing w:after="100"/>
      </w:pPr>
      <w:r>
        <w:t xml:space="preserve">Reaktionshypothesen aus der Spannungsreihe ableiten und prüfen. </w:t>
      </w:r>
      <w:r>
        <w:t>Q-E3</w:t>
      </w:r>
    </w:p>
    <w:p>
      <w:pPr>
        <w:pStyle w:val="ListBullet"/>
        <w:spacing w:after="100"/>
      </w:pPr>
      <w:r>
        <w:t xml:space="preserve">Elektrochemische Messwerte digital aufnehmen, darstellen und für Berechnungen nutzen. </w:t>
      </w:r>
      <w:r>
        <w:t>Q-E6</w:t>
      </w:r>
    </w:p>
    <w:p>
      <w:pPr>
        <w:pStyle w:val="ListBullet"/>
        <w:spacing w:after="100"/>
      </w:pPr>
      <w:r>
        <w:t xml:space="preserve">Beziehungen in Zellspannungsdaten erkennen und theoriebezogen erklären. </w:t>
      </w:r>
      <w:r>
        <w:t>Q-E8</w:t>
      </w:r>
    </w:p>
    <w:p>
      <w:pPr>
        <w:pStyle w:val="ListBullet"/>
        <w:spacing w:after="100"/>
      </w:pPr>
      <w:r>
        <w:t xml:space="preserve">Reproduzierbarkeit, Modellannahmen und Grenzen einer Energiebilanz beurteilen. </w:t>
      </w:r>
      <w:r>
        <w:t>Q-E12</w:t>
      </w:r>
    </w:p>
    <w:p>
      <w:pPr>
        <w:pStyle w:val="ListBullet"/>
        <w:spacing w:after="100"/>
      </w:pPr>
      <w:r>
        <w:t xml:space="preserve">Wirkungsgradangaben verschiedener Quellen anhand ihrer Systemgrenzen vergleichen. </w:t>
      </w:r>
      <w:r>
        <w:t>Q-K3</w:t>
      </w:r>
    </w:p>
    <w:p>
      <w:pPr>
        <w:pStyle w:val="ListBullet"/>
        <w:spacing w:after="100"/>
      </w:pPr>
      <w:r>
        <w:t xml:space="preserve">Aufbau und Funktion eines Akkumulators fachsprachlich korrekt darstellen. </w:t>
      </w:r>
      <w:r>
        <w:t>Q-K9</w:t>
      </w:r>
    </w:p>
    <w:p>
      <w:pPr>
        <w:pStyle w:val="ListBullet"/>
        <w:spacing w:after="100"/>
      </w:pPr>
      <w:r>
        <w:t xml:space="preserve">Urheberschaft prüfen, Quellen belegen und Zitate im Energievergleich kennzeichnen. </w:t>
      </w:r>
      <w:r>
        <w:t>Q-K12</w:t>
      </w:r>
    </w:p>
    <w:p>
      <w:pPr>
        <w:pStyle w:val="ListBullet"/>
        <w:spacing w:after="100"/>
      </w:pPr>
      <w:r>
        <w:t xml:space="preserve">Gesellschaftliche Relevanz und ökologische Bedeutung elektrochemischer Verfahren bewerten. </w:t>
      </w:r>
      <w:r>
        <w:t>Q-B10</w:t>
      </w:r>
    </w:p>
    <w:p>
      <w:pPr>
        <w:pStyle w:val="Heading3"/>
        <w:keepNext/>
        <w:spacing w:after="140"/>
      </w:pPr>
      <w:r>
        <w:t>Digitale Lernmaterialien</w:t>
      </w:r>
    </w:p>
    <w:p>
      <w:pPr>
        <w:pStyle w:val="ListBullet"/>
        <w:spacing w:after="100"/>
      </w:pPr>
      <w:hyperlink r:id="rId17">
        <w:r>
          <w:t>Energie Mission zur Thermochemie</w:t>
        </w:r>
      </w:hyperlink>
    </w:p>
    <w:p>
      <w:pPr>
        <w:pStyle w:val="ListBullet"/>
        <w:spacing w:after="100"/>
      </w:pPr>
      <w:hyperlink r:id="rId12">
        <w:r>
          <w:t>Mol Mission zur Stöchiometrie</w:t>
        </w:r>
      </w:hyperlink>
    </w:p>
    <w:p>
      <w:pPr>
        <w:pStyle w:val="ListBullet"/>
        <w:spacing w:after="100"/>
      </w:pPr>
      <w:hyperlink r:id="rId16">
        <w:r>
          <w:t>Chemie Formelsammlung</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Messbericht zur galvanischen Zelle, Erklärung des Ladezyklus und begründeter Energieträgervergleich. Zusätzlich Nernst- und Faraday-Rechnung, Redoxtitration sowie datenbasierte Herleitung der thermodynamischen Zusammenhänge.</w:t>
      </w:r>
    </w:p>
    <w:p>
      <w:bookmarkStart w:id="7032" w:name="uv_LK_04"/>
      <w:pPr>
        <w:pStyle w:val="Heading2"/>
        <w:keepNext/>
        <w:spacing w:after="140"/>
      </w:pPr>
      <w:r>
        <w:t>LK.04 Korrosion von Metallen</w:t>
      </w:r>
      <w:bookmarkEnd w:id="7032"/>
    </w:p>
    <w:p>
      <w:pPr>
        <w:spacing w:after="140"/>
      </w:pPr>
      <w:r>
        <w:t>Jahrgang Q1 · Leistungskurs · ca. 10 Unterrichtsstunden zu 45 Minuten</w:t>
      </w:r>
    </w:p>
    <w:p>
      <w:pPr>
        <w:spacing w:after="140"/>
      </w:pPr>
      <w:r>
        <w:rPr>
          <w:b/>
        </w:rPr>
        <w:t xml:space="preserve">Leitfrage </w:t>
      </w:r>
      <w:r>
        <w:t>Ein Kratzer im Blech: Warum schützt Zink das Eisen weiter, Zinn aber nicht?</w:t>
      </w:r>
    </w:p>
    <w:p>
      <w:pPr>
        <w:pStyle w:val="Heading3"/>
        <w:keepNext/>
        <w:spacing w:after="140"/>
      </w:pPr>
      <w:r>
        <w:t>Inhalte und Schwerpunkte</w:t>
      </w:r>
    </w:p>
    <w:p>
      <w:pPr>
        <w:spacing w:after="140"/>
      </w:pPr>
      <w:r>
        <w:t>Elektrochemische Prozesse und Energetik</w:t>
      </w:r>
    </w:p>
    <w:p>
      <w:pPr>
        <w:pStyle w:val="ListBullet"/>
        <w:spacing w:after="100"/>
      </w:pPr>
      <w:r>
        <w:t>Säure- und Sauerstoffkorrosion; Lokalelemente und Teilreaktionen.</w:t>
      </w:r>
    </w:p>
    <w:p>
      <w:pPr>
        <w:pStyle w:val="ListBullet"/>
        <w:spacing w:after="100"/>
      </w:pPr>
      <w:r>
        <w:t>Korrosionsschutz durch Beschichtung, Galvanik und Opferanode.</w:t>
      </w:r>
    </w:p>
    <w:p>
      <w:pPr>
        <w:pStyle w:val="ListBullet"/>
        <w:spacing w:after="100"/>
      </w:pPr>
      <w:r>
        <w:t>Ökologische und ökonomische Folgen von Korrosion und Schutzmaßnahmen.</w:t>
      </w:r>
    </w:p>
    <w:p>
      <w:pPr>
        <w:pStyle w:val="ListBullet"/>
        <w:spacing w:after="100"/>
      </w:pPr>
      <w:r>
        <w:t>Elektrolytische Metallgewinnung; Ausbeute und Energieaufwand mit Faraday-Gesetzen.</w:t>
      </w:r>
    </w:p>
    <w:p>
      <w:pPr>
        <w:pStyle w:val="Heading3"/>
        <w:keepNext/>
        <w:spacing w:after="140"/>
      </w:pPr>
      <w:r>
        <w:t>Lernweg und methodische Gestaltung</w:t>
      </w:r>
    </w:p>
    <w:p>
      <w:pPr>
        <w:pStyle w:val="ListBullet"/>
        <w:spacing w:after="100"/>
      </w:pPr>
      <w:r>
        <w:t>Hypothesen zur Bildung von Lokalelementen entwickeln und durch kontrollierte Versuchsreihen prüfen.</w:t>
      </w:r>
    </w:p>
    <w:p>
      <w:pPr>
        <w:pStyle w:val="ListBullet"/>
        <w:spacing w:after="100"/>
      </w:pPr>
      <w:r>
        <w:t>Korrosionsschutzverfahren eigenständig entwickeln, durchführen und die Beobachtungen mit Teilgleichungen erklären.</w:t>
      </w:r>
    </w:p>
    <w:p>
      <w:pPr>
        <w:pStyle w:val="ListBullet"/>
        <w:spacing w:after="100"/>
      </w:pPr>
      <w:r>
        <w:t>Für ein Bauteil eine Schutzmaßnahme unter Berücksichtigung von Lebensdauer, Rohstoff- und Energieaufwand auswählen.</w:t>
      </w:r>
    </w:p>
    <w:p>
      <w:pPr>
        <w:pStyle w:val="ListBullet"/>
        <w:spacing w:after="100"/>
      </w:pPr>
      <w:r>
        <w:t>Abgeschiedene Metallmasse und Ladungsbedarf berechnen; elektrolytische Metallgewinnung ökologisch und ökonomisch beurteilen.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berechnen Stoffumsätze unter Anwendung der Faraday-Gesetze (S3, S17), </w:t>
      </w:r>
      <w:r>
        <w:t>LK-EC-08</w:t>
      </w:r>
    </w:p>
    <w:p>
      <w:pPr>
        <w:pStyle w:val="ListBullet"/>
        <w:spacing w:after="100"/>
      </w:pPr>
      <w:r>
        <w:t xml:space="preserve">entwickeln Hypothesen zur Bildung von Lokalelementen als Grundlage von Korrosionsvorgängen und überprüfen diese experimentell (E1, E3, E5, S15), </w:t>
      </w:r>
      <w:r>
        <w:t>LK-EC-17</w:t>
      </w:r>
    </w:p>
    <w:p>
      <w:pPr>
        <w:pStyle w:val="ListBullet"/>
        <w:spacing w:after="100"/>
      </w:pPr>
      <w:r>
        <w:t xml:space="preserve">entwickeln ausgewählte Verfahren zum Korrosionsschutz (Galvanik, Opferanode) und führen diese durch (E1, E4, E5, K13), </w:t>
      </w:r>
      <w:r>
        <w:t>LK-EC-18</w:t>
      </w:r>
    </w:p>
    <w:p>
      <w:pPr>
        <w:pStyle w:val="ListBullet"/>
        <w:spacing w:after="100"/>
      </w:pPr>
      <w:r>
        <w:t xml:space="preserve">diskutieren ökologische und ökonomische Aspekte der elektrolytischen Gewinnung eines Stoffes unter Berücksichtigung der Faraday-Gesetze (B10, B13, E8, K13), </w:t>
      </w:r>
      <w:r>
        <w:t>LK-EC-22</w:t>
      </w:r>
    </w:p>
    <w:p>
      <w:pPr>
        <w:pStyle w:val="ListBullet"/>
        <w:spacing w:after="100"/>
      </w:pPr>
      <w:r>
        <w:t xml:space="preserve">beurteilen Folgen von Korrosionsvorgängen und adäquate Korrosionsschutzmaßnahmen unter ökologischen und ökonomischen Aspekten (B12, B14, E1). </w:t>
      </w:r>
      <w:r>
        <w:t>LK-EC-23</w:t>
      </w:r>
    </w:p>
    <w:p>
      <w:pPr>
        <w:pStyle w:val="Heading3"/>
        <w:keepNext/>
        <w:spacing w:after="140"/>
      </w:pPr>
      <w:r>
        <w:t>Übergreifende Lernleistungen</w:t>
      </w:r>
    </w:p>
    <w:p>
      <w:pPr>
        <w:pStyle w:val="ListBullet"/>
        <w:spacing w:after="100"/>
      </w:pPr>
      <w:r>
        <w:t xml:space="preserve">Aus einer Korrosionserscheinung eine chemische Problemstellung ableiten. </w:t>
      </w:r>
      <w:r>
        <w:t>Q-E1</w:t>
      </w:r>
    </w:p>
    <w:p>
      <w:pPr>
        <w:pStyle w:val="ListBullet"/>
        <w:spacing w:after="100"/>
      </w:pPr>
      <w:r>
        <w:t xml:space="preserve">Folgen von Korrosionsschutz in historischen und aktuellen technischen Anwendungen beurteilen. </w:t>
      </w:r>
      <w:r>
        <w:t>Q-B12</w:t>
      </w:r>
    </w:p>
    <w:p>
      <w:pPr>
        <w:pStyle w:val="Heading3"/>
        <w:keepNext/>
        <w:spacing w:after="140"/>
      </w:pPr>
      <w:r>
        <w:t>Lernaufgabe und Überprüfung</w:t>
      </w:r>
    </w:p>
    <w:p>
      <w:pPr>
        <w:spacing w:after="140"/>
      </w:pPr>
      <w:r>
        <w:t>Versuchsbericht mit Kontrollversuchen und begründeter Schutzentscheidung. Eine quantitative Bilanz zur Galvanik ergänzen.</w:t>
      </w:r>
    </w:p>
    <w:p>
      <w:bookmarkStart w:id="7033" w:name="uv_LK_05"/>
      <w:pPr>
        <w:pStyle w:val="Heading2"/>
        <w:keepNext/>
        <w:spacing w:after="140"/>
      </w:pPr>
      <w:r>
        <w:t>LK.05 Organische Chemie I mit Struktur und Reaktionsmechanismen</w:t>
      </w:r>
      <w:bookmarkEnd w:id="7033"/>
    </w:p>
    <w:p>
      <w:pPr>
        <w:spacing w:after="140"/>
      </w:pPr>
      <w:r>
        <w:t>Jahrgang Q1 · Leistungskurs · ca. 26 Unterrichtsstunden zu 45 Minuten</w:t>
      </w:r>
    </w:p>
    <w:p>
      <w:pPr>
        <w:spacing w:after="140"/>
      </w:pPr>
      <w:r>
        <w:rPr>
          <w:b/>
        </w:rPr>
        <w:t xml:space="preserve">Leitfrage </w:t>
      </w:r>
      <w:r>
        <w:t>Gleiche Summenformel, andere Wirkung: Welche Information steckt in der Anordnung der Atome?</w:t>
      </w:r>
    </w:p>
    <w:p>
      <w:pPr>
        <w:pStyle w:val="Heading3"/>
        <w:keepNext/>
        <w:spacing w:after="140"/>
      </w:pPr>
      <w:r>
        <w:t>Inhalte und Schwerpunkte</w:t>
      </w:r>
    </w:p>
    <w:p>
      <w:pPr>
        <w:spacing w:after="140"/>
      </w:pPr>
      <w:r>
        <w:t>Reaktionswege in der organischen Chemie</w:t>
      </w:r>
    </w:p>
    <w:p>
      <w:pPr>
        <w:pStyle w:val="ListBullet"/>
        <w:spacing w:after="100"/>
      </w:pPr>
      <w:r>
        <w:t>Stoffklassen einschließlich Halogenalkane, Alkene, Alkine und Amine; funktionelle Gruppen und spezifische Nachweise.</w:t>
      </w:r>
    </w:p>
    <w:p>
      <w:pPr>
        <w:pStyle w:val="ListBullet"/>
        <w:spacing w:after="100"/>
      </w:pPr>
      <w:r>
        <w:t>Einfach- und Mehrfachbindungen, EPA-Modell, Konstitutions- und Stereoisomerie; inter- und intramolekulare Wechselwirkungen.</w:t>
      </w:r>
    </w:p>
    <w:p>
      <w:pPr>
        <w:pStyle w:val="ListBullet"/>
        <w:spacing w:after="100"/>
      </w:pPr>
      <w:r>
        <w:t>Radikalische Substitution und elektrophile Addition unter definierten Reaktionsbedingungen; organische Redoxwege und Oxidationszahlen.</w:t>
      </w:r>
    </w:p>
    <w:p>
      <w:pPr>
        <w:pStyle w:val="ListBullet"/>
        <w:spacing w:after="100"/>
      </w:pPr>
      <w:r>
        <w:t>Chiralität am asymmetrischen C-Atom; nucleophile Substitution erster und zweiter Ordnung.</w:t>
      </w:r>
    </w:p>
    <w:p>
      <w:pPr>
        <w:pStyle w:val="ListBullet"/>
        <w:spacing w:after="100"/>
      </w:pPr>
      <w:r>
        <w:t>Ester als Zielmoleküle und Monomerbausteine: funktionelle Gruppe und Syntheseplanung werden aus der EF reaktiviert; mechanistische und experimentelle Vertiefung in LK.06.</w:t>
      </w:r>
    </w:p>
    <w:p>
      <w:pPr>
        <w:pStyle w:val="Heading3"/>
        <w:keepNext/>
        <w:spacing w:after="140"/>
      </w:pPr>
      <w:r>
        <w:t>Lernweg und methodische Gestaltung</w:t>
      </w:r>
    </w:p>
    <w:p>
      <w:pPr>
        <w:pStyle w:val="ListBullet"/>
        <w:spacing w:after="100"/>
      </w:pPr>
      <w:r>
        <w:t>Stoffklassen, Nomenklatur, Molekülgeometrie, Konstitutions- und Stereoisomerie einschließlich Chiralität anhand geeigneter Modellprodukte untersuchen.</w:t>
      </w:r>
    </w:p>
    <w:p>
      <w:pPr>
        <w:pStyle w:val="ListBullet"/>
        <w:spacing w:after="100"/>
      </w:pPr>
      <w:r>
        <w:t>Aus Strukturen Hypothesen zum Reaktionsverhalten ableiten; radikalische Substitution, elektrophile Addition sowie SN1 und SN2 mit Bedingungen und Zwischenstufen erklären.</w:t>
      </w:r>
    </w:p>
    <w:p>
      <w:pPr>
        <w:pStyle w:val="ListBullet"/>
        <w:spacing w:after="100"/>
      </w:pPr>
      <w:r>
        <w:t>Reaktionsprodukte durch spezifische Nachweise für Doppelbindungen, Halogenid-Ionen, Carbonyl- und Carboxygruppen untersuchen; Oxidationszahlen zur Deutung organischer Redoxwege verwenden.</w:t>
      </w:r>
    </w:p>
    <w:p>
      <w:pPr>
        <w:pStyle w:val="ListBullet"/>
        <w:spacing w:after="100"/>
      </w:pPr>
      <w:r>
        <w:t>Die molekulare Produktentwicklung aus dem bisherigen InnoProducts-Vorhaben übernehmen: Welche funktionellen Gruppen müssen Bausteine für einen bestimmten Werkstoff tragen? Ester-Synthesewege entwerfen und Nutzen sowie Risiken organischer Produkte recherchieren.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 </w:t>
      </w:r>
      <w:r>
        <w:t>LK-OC-01</w:t>
      </w:r>
    </w:p>
    <w:p>
      <w:pPr>
        <w:pStyle w:val="ListBullet"/>
        <w:spacing w:after="100"/>
      </w:pPr>
      <w:r>
        <w:t xml:space="preserve">erklären Stoffeigenschaften und Reaktionsverhalten mit dem Einfluss der jeweiligen funktionellen Gruppen unter der Berücksichtigung von inter- und intramolekularen Wechselwirkungen (S2, S13, K11), </w:t>
      </w:r>
      <w:r>
        <w:t>LK-OC-03</w:t>
      </w:r>
    </w:p>
    <w:p>
      <w:pPr>
        <w:pStyle w:val="ListBullet"/>
        <w:spacing w:after="100"/>
      </w:pPr>
      <w:r>
        <w:t xml:space="preserve">erklären Redoxreaktionen in organischen Synthesewegen unter Berücksichtigung der Oxidationszahlen (S3, S11, S16), </w:t>
      </w:r>
      <w:r>
        <w:t>LK-OC-04</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schließen mithilfe von spezifischen Nachweisen der Reaktionsprodukte (Doppelbindung zwischen Kohlenstoff-Atomen, Chlorid- und Bromid-Ionen, Carbonyl- und Carboxy-Gruppe) auf den Reaktionsverlauf und bestimmen den Reaktionstyp (E5, E7, S4, K10), </w:t>
      </w:r>
      <w:r>
        <w:t>LK-OC-11</w:t>
      </w:r>
    </w:p>
    <w:p>
      <w:pPr>
        <w:pStyle w:val="ListBullet"/>
        <w:spacing w:after="100"/>
      </w:pPr>
      <w:r>
        <w:t xml:space="preserve">entwickeln Hypothesen zum Reaktionsverhalten aus der Molekülstruktur (E3, E12, K2), </w:t>
      </w:r>
      <w:r>
        <w:t>LK-OC-12</w:t>
      </w:r>
    </w:p>
    <w:p>
      <w:pPr>
        <w:pStyle w:val="ListBullet"/>
        <w:spacing w:after="100"/>
      </w:pPr>
      <w:r>
        <w:t xml:space="preserve">recherchieren und bewerten Nutzen und Risiken ausgewählter Produkte der organischen Chemie unter selbst entwickelten Fragestellungen (B1, B11, K2, K4), </w:t>
      </w:r>
      <w:r>
        <w:t>LK-OC-17</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Unterschiedliche organische Reaktionsverläufe begründet erklären. </w:t>
      </w:r>
      <w:r>
        <w:t>Q-S9</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Reaktionsmechanismen mit geeigneten digitalen Darstellungen präsentieren. </w:t>
      </w:r>
      <w:r>
        <w:t>Q-K11</w:t>
      </w:r>
    </w:p>
    <w:p>
      <w:pPr>
        <w:pStyle w:val="Heading3"/>
        <w:keepNext/>
        <w:spacing w:after="140"/>
      </w:pPr>
      <w:r>
        <w:t>Digitale Lernmaterialien</w:t>
      </w:r>
    </w:p>
    <w:p>
      <w:pPr>
        <w:pStyle w:val="ListBullet"/>
        <w:spacing w:after="100"/>
      </w:pPr>
      <w:hyperlink r:id="rId18">
        <w:r>
          <w:t>Klausuratelier Polymere und Aromaten</w:t>
        </w:r>
      </w:hyperlink>
    </w:p>
    <w:p>
      <w:pPr>
        <w:pStyle w:val="ListBullet"/>
        <w:spacing w:after="100"/>
      </w:pPr>
      <w:hyperlink r:id="rId20">
        <w:r>
          <w:t>SMILES Werkstatt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Mechanismenvergleich und datenbasierte Syntheseplanung mit Isomerie, Nachweisen und Reflexion der Modellgrenzen; Anschlussauftrag zur Estersynthese für Q2.</w:t>
      </w:r>
    </w:p>
    <w:p>
      <w:bookmarkStart w:id="7034" w:name="uv_LK_06"/>
      <w:pPr>
        <w:pStyle w:val="Heading2"/>
        <w:keepNext/>
        <w:spacing w:after="140"/>
      </w:pPr>
      <w:r>
        <w:t>LK.06 Organische Chemie II mit Estern Fetten und Aromaten</w:t>
      </w:r>
      <w:bookmarkEnd w:id="7034"/>
    </w:p>
    <w:p>
      <w:pPr>
        <w:spacing w:after="140"/>
      </w:pPr>
      <w:r>
        <w:t>Jahrgang Q2 · Leistungskurs · ca. 30 Unterrichtsstunden zu 45 Minuten</w:t>
      </w:r>
    </w:p>
    <w:p>
      <w:pPr>
        <w:spacing w:after="140"/>
      </w:pPr>
      <w:r>
        <w:rPr>
          <w:b/>
        </w:rPr>
        <w:t xml:space="preserve">Leitfrage </w:t>
      </w:r>
      <w:r>
        <w:t>Warum wird aus einem flüssigen Öl ein festes Fett, und warum reagiert Benzol anders als ein Alken?</w:t>
      </w:r>
    </w:p>
    <w:p>
      <w:pPr>
        <w:pStyle w:val="Heading3"/>
        <w:keepNext/>
        <w:spacing w:after="140"/>
      </w:pPr>
      <w:r>
        <w:t>Inhalte und Schwerpunkte</w:t>
      </w:r>
    </w:p>
    <w:p>
      <w:pPr>
        <w:spacing w:after="140"/>
      </w:pPr>
      <w:r>
        <w:t>Reaktionswege in der organischen Chemie</w:t>
      </w:r>
    </w:p>
    <w:p>
      <w:pPr>
        <w:pStyle w:val="ListBullet"/>
        <w:spacing w:after="100"/>
      </w:pPr>
      <w:r>
        <w:t>Estersynthese, homogene Katalyse und Optimierung der Ausbeute nach Le Chatelier.</w:t>
      </w:r>
    </w:p>
    <w:p>
      <w:pPr>
        <w:pStyle w:val="ListBullet"/>
        <w:spacing w:after="100"/>
      </w:pPr>
      <w:r>
        <w:t>Gesättigte und ungesättigte Fette: Aufbau, Eigenschaften, experimentelle Unterscheidung und Verarbeitung; Bewertung für Lebensmitteltechnik und Ernährung.</w:t>
      </w:r>
    </w:p>
    <w:p>
      <w:pPr>
        <w:pStyle w:val="ListBullet"/>
        <w:spacing w:after="100"/>
      </w:pPr>
      <w:r>
        <w:t>Mechanismus der säurekatalysierten Estersynthese als Kondensationsreaktion; Anschluss an die Syntheseplanung aus Q1.</w:t>
      </w:r>
    </w:p>
    <w:p>
      <w:pPr>
        <w:pStyle w:val="ListBullet"/>
        <w:spacing w:after="100"/>
      </w:pPr>
      <w:r>
        <w:t>Aromatisches System, Mesomerie und Reaktivität; elektrophile Erstsubstitution.</w:t>
      </w:r>
    </w:p>
    <w:p>
      <w:pPr>
        <w:pStyle w:val="ListBullet"/>
        <w:spacing w:after="100"/>
      </w:pPr>
      <w:r>
        <w:t>Koordinative Bindung bei Katalysatoren; technische Synthese unter Berücksichtigung des Katalysators.</w:t>
      </w:r>
    </w:p>
    <w:p>
      <w:pPr>
        <w:pStyle w:val="Heading3"/>
        <w:keepNext/>
        <w:spacing w:after="140"/>
      </w:pPr>
      <w:r>
        <w:t>Lernweg und methodische Gestaltung</w:t>
      </w:r>
    </w:p>
    <w:p>
      <w:pPr>
        <w:pStyle w:val="ListBullet"/>
        <w:spacing w:after="100"/>
      </w:pPr>
      <w:r>
        <w:t>Die in Q1 geplante Estersynthese praktisch durchführen und mechanistisch erklären; Reaktionsbedingungen und Ausbeute untersuchen.</w:t>
      </w:r>
    </w:p>
    <w:p>
      <w:pPr>
        <w:pStyle w:val="ListBullet"/>
        <w:spacing w:after="100"/>
      </w:pPr>
      <w:r>
        <w:t>Fette und Fettsäuren experimentell unterscheiden; Hydrierung und Verarbeitung einschließlich ernährungsbezogener Bewertung diskutieren.</w:t>
      </w:r>
    </w:p>
    <w:p>
      <w:pPr>
        <w:pStyle w:val="ListBullet"/>
        <w:spacing w:after="100"/>
      </w:pPr>
      <w:r>
        <w:t>Benzol- und Alkenreaktivität vergleichen, das Mesomeriemodell begründen und die elektrophile Erstsubstitution erläutern.</w:t>
      </w:r>
    </w:p>
    <w:p>
      <w:pPr>
        <w:pStyle w:val="ListBullet"/>
        <w:spacing w:after="100"/>
      </w:pPr>
      <w:r>
        <w:t>Koordinative Katalysatorbindung am technischen Synthesebeispiel erklären. Organische Produktentwicklung aus InnoProducts wird hier um Syntheseoptimierung ergänzt; Polymerproduktion und Nanooberflächen folgen in LK.07.</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 </w:t>
      </w:r>
      <w:r>
        <w:t>LK-OC-01</w:t>
      </w:r>
    </w:p>
    <w:p>
      <w:pPr>
        <w:pStyle w:val="ListBullet"/>
        <w:spacing w:after="100"/>
      </w:pPr>
      <w:r>
        <w:t xml:space="preserve">erläutern den Aufbau und die Eigenschaften von gesättigten und ungesättigten Fetten (S1, S11, S13), </w:t>
      </w:r>
      <w:r>
        <w:t>LK-OC-02</w:t>
      </w:r>
    </w:p>
    <w:p>
      <w:pPr>
        <w:pStyle w:val="ListBullet"/>
        <w:spacing w:after="100"/>
      </w:pPr>
      <w:r>
        <w:t xml:space="preserve">erklären Stoffeigenschaften und Reaktionsverhalten mit dem Einfluss der jeweiligen funktionellen Gruppen unter der Berücksichtigung von inter- und intramolekularen Wechselwirkungen (S2, S13, K11), </w:t>
      </w:r>
      <w:r>
        <w:t>LK-OC-03</w:t>
      </w:r>
    </w:p>
    <w:p>
      <w:pPr>
        <w:pStyle w:val="ListBullet"/>
        <w:spacing w:after="100"/>
      </w:pPr>
      <w:r>
        <w:t xml:space="preserve">erklären Redoxreaktionen in organischen Synthesewegen unter Berücksichtigung der Oxidationszahlen (S3, S11, S16), </w:t>
      </w:r>
      <w:r>
        <w:t>LK-OC-04</w:t>
      </w:r>
    </w:p>
    <w:p>
      <w:pPr>
        <w:pStyle w:val="ListBullet"/>
        <w:spacing w:after="100"/>
      </w:pPr>
      <w:r>
        <w:t xml:space="preserve">erklären die Estersynthese aus Alkanolen und Carbonsäuren unter Berücksichtigung der Katalyse (S4, S8, S9, K7), </w:t>
      </w:r>
      <w:r>
        <w:t>LK-OC-05</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beschreiben den Aufbau und die Wirkungsweise eines Katalysators unter Berücksichtigung des Konzepts der koordinativen Bindung als Wechselwirkung von Metallkationen mit freien Elektronenpaaren (S13, S15), </w:t>
      </w:r>
      <w:r>
        <w:t>LK-OC-07</w:t>
      </w:r>
    </w:p>
    <w:p>
      <w:pPr>
        <w:pStyle w:val="ListBullet"/>
        <w:spacing w:after="100"/>
      </w:pPr>
      <w:r>
        <w:t xml:space="preserve">erklären die Reaktivität eines aromatischen Systems anhand der Struktur und erläutern in diesem Zusammenhang die Mesomerie (S9, S13, E9, E12), </w:t>
      </w:r>
      <w:r>
        <w:t>LK-OC-08</w:t>
      </w:r>
    </w:p>
    <w:p>
      <w:pPr>
        <w:pStyle w:val="ListBullet"/>
        <w:spacing w:after="100"/>
      </w:pPr>
      <w:r>
        <w:t xml:space="preserve">schließen mithilfe von spezifischen Nachweisen der Reaktionsprodukte (Doppelbindung zwischen Kohlenstoff-Atomen, Chlorid- und Bromid-Ionen, Carbonyl- und Carboxy-Gruppe) auf den Reaktionsverlauf und bestimmen den Reaktionstyp (E5, E7, S4, K10), </w:t>
      </w:r>
      <w:r>
        <w:t>LK-OC-11</w:t>
      </w:r>
    </w:p>
    <w:p>
      <w:pPr>
        <w:pStyle w:val="ListBullet"/>
        <w:spacing w:after="100"/>
      </w:pPr>
      <w:r>
        <w:t xml:space="preserve">entwickeln Hypothesen zum Reaktionsverhalten aus der Molekülstruktur (E3, E12, K2), </w:t>
      </w:r>
      <w:r>
        <w:t>LK-OC-12</w:t>
      </w:r>
    </w:p>
    <w:p>
      <w:pPr>
        <w:pStyle w:val="ListBullet"/>
        <w:spacing w:after="100"/>
      </w:pPr>
      <w:r>
        <w:t xml:space="preserve">erläutern die Planung und Durchführung einer Estersynthese in Bezug auf die Optimierung der Ausbeute auf der Grundlage des Prinzips von Le Chatelier (E4, E5, K13), </w:t>
      </w:r>
      <w:r>
        <w:t>LK-OC-13</w:t>
      </w:r>
    </w:p>
    <w:p>
      <w:pPr>
        <w:pStyle w:val="ListBullet"/>
        <w:spacing w:after="100"/>
      </w:pPr>
      <w:r>
        <w:t xml:space="preserve">unterscheiden experimentell zwischen gesättigten und ungesättigten Fettsäuren (E5, E11), </w:t>
      </w:r>
      <w:r>
        <w:t>LK-OC-14</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ListBullet"/>
        <w:spacing w:after="100"/>
      </w:pPr>
      <w:r>
        <w:t xml:space="preserve">beurteilen die Qualität von Fetten hinsichtlich ihrer Zusammensetzung und Verarbeitung im Bereich der Lebensmitteltechnik und der eigenen Ernährung (B7, B8, K8), </w:t>
      </w:r>
      <w:r>
        <w:t>LK-OC-19</w:t>
      </w:r>
    </w:p>
    <w:p>
      <w:pPr>
        <w:pStyle w:val="ListBullet"/>
        <w:spacing w:after="100"/>
      </w:pPr>
      <w:r>
        <w:t xml:space="preserve">erläutern ein technisches Syntheseverfahren auch unter Berücksichtigung der eingesetzten Katalysatoren (S8, S9), </w:t>
      </w:r>
      <w:r>
        <w:t>LK-MW-06</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Ausbeute einer Estersynthese durch Reaktionsbedingungen und Katalyse beeinflussen. </w:t>
      </w:r>
      <w:r>
        <w:t>Q-S8</w:t>
      </w:r>
    </w:p>
    <w:p>
      <w:pPr>
        <w:pStyle w:val="ListBullet"/>
        <w:spacing w:after="100"/>
      </w:pPr>
      <w:r>
        <w:t xml:space="preserve">Unterschiedliche organische Reaktionsverläufe begründet erklären. </w:t>
      </w:r>
      <w:r>
        <w:t>Q-S9</w:t>
      </w:r>
    </w:p>
    <w:p>
      <w:pPr>
        <w:pStyle w:val="ListBullet"/>
        <w:spacing w:after="100"/>
      </w:pPr>
      <w:r>
        <w:t xml:space="preserve">Fetteigenschaften mit Modellen intra- und intermolekularer Wechselwirkungen erklären. </w:t>
      </w:r>
      <w:r>
        <w:t>Q-S13</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Untersuchungsbefunde zu Fetten mit biologischen und ernährungsbezogenen Fragestellungen verbinden. </w:t>
      </w:r>
      <w:r>
        <w:t>Q-E11</w:t>
      </w:r>
    </w:p>
    <w:p>
      <w:pPr>
        <w:pStyle w:val="ListBullet"/>
        <w:spacing w:after="100"/>
      </w:pPr>
      <w:r>
        <w:t xml:space="preserve">Reaktionsmechanismen mit geeigneten digitalen Darstellungen präsentieren. </w:t>
      </w:r>
      <w:r>
        <w:t>Q-K11</w:t>
      </w:r>
    </w:p>
    <w:p>
      <w:pPr>
        <w:pStyle w:val="ListBullet"/>
        <w:spacing w:after="100"/>
      </w:pPr>
      <w:r>
        <w:t xml:space="preserve">Produktnutzen und Risiken aus verschiedenen Perspektiven beurteilen. </w:t>
      </w:r>
      <w:r>
        <w:t>Q-B1</w:t>
      </w:r>
    </w:p>
    <w:p>
      <w:pPr>
        <w:pStyle w:val="ListBullet"/>
        <w:spacing w:after="100"/>
      </w:pPr>
      <w:r>
        <w:t xml:space="preserve">Eine Ernährungsentscheidung aus chemischen Kriterien zu Fetten begründen. </w:t>
      </w:r>
      <w:r>
        <w:t>Q-B7</w:t>
      </w:r>
    </w:p>
    <w:p>
      <w:pPr>
        <w:pStyle w:val="Heading3"/>
        <w:keepNext/>
        <w:spacing w:after="140"/>
      </w:pPr>
      <w:r>
        <w:t>Digitale Lernmaterialien</w:t>
      </w:r>
    </w:p>
    <w:p>
      <w:pPr>
        <w:pStyle w:val="ListBullet"/>
        <w:spacing w:after="100"/>
      </w:pPr>
      <w:hyperlink r:id="rId19">
        <w:r>
          <w:t>Nährstoff Navigator</w:t>
        </w:r>
      </w:hyperlink>
    </w:p>
    <w:p>
      <w:pPr>
        <w:pStyle w:val="ListBullet"/>
        <w:spacing w:after="100"/>
      </w:pPr>
      <w:hyperlink r:id="rId21">
        <w:r>
          <w:t>Stereochemie Trainer</w:t>
        </w:r>
      </w:hyperlink>
    </w:p>
    <w:p>
      <w:pPr>
        <w:pStyle w:val="ListBullet"/>
        <w:spacing w:after="100"/>
      </w:pPr>
      <w:hyperlink r:id="rId18">
        <w:r>
          <w:t>Klausuratelier Polymere und Aromaten</w:t>
        </w:r>
      </w:hyperlink>
    </w:p>
    <w:p>
      <w:pPr>
        <w:pStyle w:val="ListBullet"/>
        <w:spacing w:after="100"/>
      </w:pPr>
      <w:hyperlink r:id="rId20">
        <w:r>
          <w:t>SMILES Werkstatt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Ester-Synthesebericht mit Ausbeuteoptimierung, Fettbewertung und begründetem Vergleich von Addition und aromatischer Substitution; Modellgrenzen benennen.</w:t>
      </w:r>
    </w:p>
    <w:p>
      <w:bookmarkStart w:id="7035" w:name="uv_LK_07"/>
      <w:pPr>
        <w:pStyle w:val="Heading2"/>
        <w:keepNext/>
        <w:spacing w:after="140"/>
      </w:pPr>
      <w:r>
        <w:t>LK.07 Kunststoffe und funktionale Werkstoffe</w:t>
      </w:r>
      <w:bookmarkEnd w:id="7035"/>
    </w:p>
    <w:p>
      <w:pPr>
        <w:spacing w:after="140"/>
      </w:pPr>
      <w:r>
        <w:t>Jahrgang Q2 · Leistungskurs · ca. 60 Unterrichtsstunden zu 45 Minuten</w:t>
      </w:r>
    </w:p>
    <w:p>
      <w:pPr>
        <w:spacing w:after="140"/>
      </w:pPr>
      <w:r>
        <w:rPr>
          <w:b/>
        </w:rPr>
        <w:t xml:space="preserve">Leitfrage </w:t>
      </w:r>
      <w:r>
        <w:t>Eine Jacke hält Regen ab, lässt aber Wasserdampf hinaus. Wie baut man einem Werkstoff solche Eigenschaften ein?</w:t>
      </w:r>
    </w:p>
    <w:p>
      <w:pPr>
        <w:pStyle w:val="Heading3"/>
        <w:keepNext/>
        <w:spacing w:after="140"/>
      </w:pPr>
      <w:r>
        <w:t>Inhalte und Schwerpunkte</w:t>
      </w:r>
    </w:p>
    <w:p>
      <w:pPr>
        <w:spacing w:after="140"/>
      </w:pPr>
      <w:r>
        <w:t>Moderne Werkstoffe</w:t>
      </w:r>
    </w:p>
    <w:p>
      <w:pPr>
        <w:pStyle w:val="ListBullet"/>
        <w:spacing w:after="100"/>
      </w:pPr>
      <w:r>
        <w:t>Struktur und Eigenschaften von Makromolekülen; Kettenlänge und Vernetzungsgrad, Thermoplaste, Duroplaste und Elastomere.</w:t>
      </w:r>
    </w:p>
    <w:p>
      <w:pPr>
        <w:pStyle w:val="ListBullet"/>
        <w:spacing w:after="100"/>
      </w:pPr>
      <w:r>
        <w:t>Verknüpfung von Monomeren zu Makromolekülen durch Polymerisation; Reaktionsgleichungen und Vergleich mit geeigneten Polykondensaten.</w:t>
      </w:r>
    </w:p>
    <w:p>
      <w:pPr>
        <w:pStyle w:val="ListBullet"/>
        <w:spacing w:after="100"/>
      </w:pPr>
      <w:r>
        <w:t>Rohstoffgewinnung und Verarbeitung, Produktlebensweg, Kunststoffverwertung und Wertstoffkreisläufe.</w:t>
      </w:r>
    </w:p>
    <w:p>
      <w:pPr>
        <w:pStyle w:val="ListBullet"/>
        <w:spacing w:after="100"/>
      </w:pPr>
      <w:r>
        <w:t>Eigenschaften eines Funktionspolymers untersuchen und modellhaft erklären; Werkstoffauswahl und Nachhaltigkeit.</w:t>
      </w:r>
    </w:p>
    <w:p>
      <w:pPr>
        <w:pStyle w:val="ListBullet"/>
        <w:spacing w:after="100"/>
      </w:pPr>
      <w:r>
        <w:t>Mechanismus der radikalischen Polymerisation; technische Syntheseverfahren und eingesetzte Katalysatoren.</w:t>
      </w:r>
    </w:p>
    <w:p>
      <w:pPr>
        <w:pStyle w:val="ListBullet"/>
        <w:spacing w:after="100"/>
      </w:pPr>
      <w:r>
        <w:t>Verschiedenartige Monomere und ihre Wechselwirkungen; Atom- und Energieeffizienz, Abfall- und Risikovermeidung, erneuerbare Ressourcen.</w:t>
      </w:r>
    </w:p>
    <w:p>
      <w:pPr>
        <w:pStyle w:val="ListBullet"/>
        <w:spacing w:after="100"/>
      </w:pPr>
      <w:r>
        <w:t>Nanomaterialien, Nanostrukturen, Größenordnung und Reaktivität; experimentelle Untersuchung einer Oberflächeneigenschaft und Bewertung eines Nanoprodukts.</w:t>
      </w:r>
    </w:p>
    <w:p>
      <w:pPr>
        <w:pStyle w:val="Heading3"/>
        <w:keepNext/>
        <w:spacing w:after="140"/>
      </w:pPr>
      <w:r>
        <w:t>Lernweg und methodische Gestaltung</w:t>
      </w:r>
    </w:p>
    <w:p>
      <w:pPr>
        <w:pStyle w:val="ListBullet"/>
        <w:spacing w:after="100"/>
      </w:pPr>
      <w:r>
        <w:t>Experimente zu Werkstoffeigenschaften selbstständig planen, durchführen und zur Klassifikation auswerten; aus Strukturen Vorhersagen ableiten.</w:t>
      </w:r>
    </w:p>
    <w:p>
      <w:pPr>
        <w:pStyle w:val="ListBullet"/>
        <w:spacing w:after="100"/>
      </w:pPr>
      <w:r>
        <w:t>Den Produktlebensweg von PE und einem funktionalen Werkstoff von der Rohstoffgewinnung bis zur Verwertung darstellen. Synthesen an Reaktionsgleichungen erklären.</w:t>
      </w:r>
    </w:p>
    <w:p>
      <w:pPr>
        <w:pStyle w:val="ListBullet"/>
        <w:spacing w:after="100"/>
      </w:pPr>
      <w:r>
        <w:t>Verpackungsabfälle anhand ihrer Eigenschaften experimentell trennen; stoffliche und energetische Verwertung vergleichen.</w:t>
      </w:r>
    </w:p>
    <w:p>
      <w:pPr>
        <w:pStyle w:val="ListBullet"/>
        <w:spacing w:after="100"/>
      </w:pPr>
      <w:r>
        <w:t>Die Werkstoffentwicklung aus InnoProducts in diesen Block integrieren: Ein Funktionspolymer untersuchen, ein begründetes Produktkonzept entwickeln und in einer fachlichen Beratung verteidigen.</w:t>
      </w:r>
    </w:p>
    <w:p>
      <w:pPr>
        <w:pStyle w:val="ListBullet"/>
        <w:spacing w:after="100"/>
      </w:pPr>
      <w:r>
        <w:t>LD-PE und HD-PE einschließlich Herstellung und Katalyse vergleichen; die Schritte der radikalischen Polymerisation erläutern.</w:t>
      </w:r>
    </w:p>
    <w:p>
      <w:pPr>
        <w:pStyle w:val="ListBullet"/>
        <w:spacing w:after="100"/>
      </w:pPr>
      <w:r>
        <w:t>Nanostrukturierte Oberflächen experimentell untersuchen; Größenordnung, Oberfläche und Reaktivität modellieren. Chancen und Risiken eines konkreten Nanoprodukts aus unterschiedlich interessengeleiteten Quellen abwägen.</w:t>
      </w:r>
    </w:p>
    <w:p>
      <w:pPr>
        <w:pStyle w:val="ListBullet"/>
        <w:spacing w:after="100"/>
      </w:pPr>
      <w:r>
        <w:t>Ein technisches Kunststoff-Syntheseverfahren anhand von Atom- und Energieeffizienz sowie Abfall- und Risikovermeidung beurteilen.</w:t>
      </w:r>
    </w:p>
    <w:p>
      <w:pPr>
        <w:pStyle w:val="ListBullet"/>
        <w:spacing w:after="100"/>
      </w:pPr>
      <w:r>
        <w:t>Erdöl und nachwachsende Rohstoffe ökologisch, ökonomisch und sozial bewerten. Kriterien für alltägliche Nutzung und Entsorgung gewichten; Gegenargumente berücksichtigen.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die Eigenschaften von Kunststoffen aufgrund der molekularen Strukturen (Kettenlänge, Vernetzungsgrad, Anzahl und Wechselwirkung verschiedenartiger Monomere) (S11, S13), </w:t>
      </w:r>
      <w:r>
        <w:t>LK-MW-01</w:t>
      </w:r>
    </w:p>
    <w:p>
      <w:pPr>
        <w:pStyle w:val="ListBullet"/>
        <w:spacing w:after="100"/>
      </w:pPr>
      <w:r>
        <w:t xml:space="preserve">klassifizieren Kunststoffe anhand ihrer Eigenschaften begründet nach Thermoplasten, Duroplasten und Elastomeren (S1, S2), </w:t>
      </w:r>
      <w:r>
        <w:t>LK-MW-02</w:t>
      </w:r>
    </w:p>
    <w:p>
      <w:pPr>
        <w:pStyle w:val="ListBullet"/>
        <w:spacing w:after="100"/>
      </w:pPr>
      <w:r>
        <w:t xml:space="preserve">erläutern die Verknüpfung von Monomermolekülen zu Makromolekülen mithilfe von Reaktionsgleichungen an einem Beispiel (S4, S12, S16), </w:t>
      </w:r>
      <w:r>
        <w:t>LK-MW-03</w:t>
      </w:r>
    </w:p>
    <w:p>
      <w:pPr>
        <w:pStyle w:val="ListBullet"/>
        <w:spacing w:after="100"/>
      </w:pPr>
      <w:r>
        <w:t xml:space="preserve">erläutern die Reaktionsschritte einer radikalischen Polymerisation (S4, S14, S16), </w:t>
      </w:r>
      <w:r>
        <w:t>LK-MW-04</w:t>
      </w:r>
    </w:p>
    <w:p>
      <w:pPr>
        <w:pStyle w:val="ListBullet"/>
        <w:spacing w:after="100"/>
      </w:pPr>
      <w:r>
        <w:t xml:space="preserve">beschreiben den Weg eines Anwendungsproduktes von der Rohstoffgewinnung über die Produktion bis zur Verwertung (S5, S10, K1, K2), </w:t>
      </w:r>
      <w:r>
        <w:t>LK-MW-05</w:t>
      </w:r>
    </w:p>
    <w:p>
      <w:pPr>
        <w:pStyle w:val="ListBullet"/>
        <w:spacing w:after="100"/>
      </w:pPr>
      <w:r>
        <w:t xml:space="preserve">erläutern ein technisches Syntheseverfahren auch unter Berücksichtigung der eingesetzten Katalysatoren (S8, S9), </w:t>
      </w:r>
      <w:r>
        <w:t>LK-MW-06</w:t>
      </w:r>
    </w:p>
    <w:p>
      <w:pPr>
        <w:pStyle w:val="ListBullet"/>
        <w:spacing w:after="100"/>
      </w:pPr>
      <w:r>
        <w:t xml:space="preserve">beschreiben Merkmale von Nanomaterialien am Beispiel von Alltagsprodukten (S1, S9). </w:t>
      </w:r>
      <w:r>
        <w:t>LK-MW-07</w:t>
      </w:r>
    </w:p>
    <w:p>
      <w:pPr>
        <w:pStyle w:val="ListBullet"/>
        <w:spacing w:after="100"/>
      </w:pPr>
      <w:r>
        <w:t xml:space="preserve">führen eigenständig geplante Experimente zur Untersuchung von Eigenschaften organischer Werkstoffe durch und werten diese aus (E4, E5), </w:t>
      </w:r>
      <w:r>
        <w:t>LK-MW-08</w:t>
      </w:r>
    </w:p>
    <w:p>
      <w:pPr>
        <w:pStyle w:val="ListBullet"/>
        <w:spacing w:after="100"/>
      </w:pPr>
      <w:r>
        <w:t xml:space="preserve">planen zielgerichtet anhand der Eigenschaften verschiedener Kunststoffe Experimente zur Trennung und Verwertung von Verpackungsabfällen (E4, S2), </w:t>
      </w:r>
      <w:r>
        <w:t>LK-MW-09</w:t>
      </w:r>
    </w:p>
    <w:p>
      <w:pPr>
        <w:pStyle w:val="ListBullet"/>
        <w:spacing w:after="100"/>
      </w:pPr>
      <w:r>
        <w:t xml:space="preserve">erläutern ermittelte Stoffeigenschaften am Beispiel eines Funktionspolymers mit geeigneten Modellen (E1, E5, E7, S13), </w:t>
      </w:r>
      <w:r>
        <w:t>LK-MW-10</w:t>
      </w:r>
    </w:p>
    <w:p>
      <w:pPr>
        <w:pStyle w:val="ListBullet"/>
        <w:spacing w:after="100"/>
      </w:pPr>
      <w:r>
        <w:t xml:space="preserve">veranschaulichen die Größenordnung und Reaktivität von Nanopartikeln (E7, E8), </w:t>
      </w:r>
      <w:r>
        <w:t>LK-MW-11</w:t>
      </w:r>
    </w:p>
    <w:p>
      <w:pPr>
        <w:pStyle w:val="ListBullet"/>
        <w:spacing w:after="100"/>
      </w:pPr>
      <w:r>
        <w:t xml:space="preserve">erklären eine experimentell ermittelte Oberflächeneigenschaft eines ausgewählten Nanoprodukts anhand der Nanostruktur (E5, S11). </w:t>
      </w:r>
      <w:r>
        <w:t>LK-MW-12</w:t>
      </w:r>
    </w:p>
    <w:p>
      <w:pPr>
        <w:pStyle w:val="ListBullet"/>
        <w:spacing w:after="100"/>
      </w:pPr>
      <w:r>
        <w:t xml:space="preserve">bewerten den Einsatz von Erdöl und nachwachsenden Rohstoffen für die Herstellung und die Verwendung von Produkten aus Kunststoffen im Sinne einer nachhaltigen Entwicklung aus ökologischer, ökonomischer und sozialer Perspektive (B9, B12, B13), </w:t>
      </w:r>
      <w:r>
        <w:t>LK-MW-13</w:t>
      </w:r>
    </w:p>
    <w:p>
      <w:pPr>
        <w:pStyle w:val="ListBullet"/>
        <w:spacing w:after="100"/>
      </w:pPr>
      <w:r>
        <w:t xml:space="preserve">vergleichen anhand von Bewertungskriterien Produkte aus unterschiedlichen Kunststoffen und leiten daraus Handlungsoptionen für die alltägliche Nutzung ab (B5, B14, K2, K8, K13), </w:t>
      </w:r>
      <w:r>
        <w:t>LK-MW-14</w:t>
      </w:r>
    </w:p>
    <w:p>
      <w:pPr>
        <w:pStyle w:val="ListBullet"/>
        <w:spacing w:after="100"/>
      </w:pPr>
      <w:r>
        <w:t xml:space="preserve">bewerten stoffliche und energetische Verfahren der Kunststoffverwertung unter Berücksichtigung ausgewählter Nachhaltigkeitsziele (B6, B13, S3, K5, K8), </w:t>
      </w:r>
      <w:r>
        <w:t>LK-MW-15</w:t>
      </w:r>
    </w:p>
    <w:p>
      <w:pPr>
        <w:pStyle w:val="ListBullet"/>
        <w:spacing w:after="100"/>
      </w:pPr>
      <w:r>
        <w:t xml:space="preserve">beurteilen die Bedeutung der Reaktionsbedingungen für die Synthese eines Kunststoffs im Hinblick auf Atom- und Energieeffizienz, Abfall- und Risikovermeidung sowie erneuerbare Ressourcen (B1, B10), </w:t>
      </w:r>
      <w:r>
        <w:t>LK-MW-16</w:t>
      </w:r>
    </w:p>
    <w:p>
      <w:pPr>
        <w:pStyle w:val="ListBullet"/>
        <w:spacing w:after="100"/>
      </w:pPr>
      <w:r>
        <w:t xml:space="preserve">recherchieren in verschiedenen Quellen die Chancen und Risiken von Nanomaterialien am Beispiel eines Alltagsproduktes und bewerten diese unter Berücksichtigung der Intention der Autoren (B2, B4, B13, K2, K4). </w:t>
      </w:r>
      <w:r>
        <w:t>LK-MW-17</w:t>
      </w:r>
    </w:p>
    <w:p>
      <w:pPr>
        <w:pStyle w:val="Heading3"/>
        <w:keepNext/>
        <w:spacing w:after="140"/>
      </w:pPr>
      <w:r>
        <w:t>Übergreifende Lernleistungen</w:t>
      </w:r>
    </w:p>
    <w:p>
      <w:pPr>
        <w:pStyle w:val="ListBullet"/>
        <w:spacing w:after="100"/>
      </w:pPr>
      <w:r>
        <w:t xml:space="preserve">Werkstoffeigenschaften aus Struktur und Wechselwirkungen vorhersagen. </w:t>
      </w:r>
      <w:r>
        <w:t>Q-S2</w:t>
      </w:r>
    </w:p>
    <w:p>
      <w:pPr>
        <w:pStyle w:val="ListBullet"/>
        <w:spacing w:after="100"/>
      </w:pPr>
      <w:r>
        <w:t xml:space="preserve">Rohstoffgewinnung, Synthese und Verwertung als chemisches Reaktionssystem beschreiben. </w:t>
      </w:r>
      <w:r>
        <w:t>Q-S5</w:t>
      </w:r>
    </w:p>
    <w:p>
      <w:pPr>
        <w:pStyle w:val="ListBullet"/>
        <w:spacing w:after="100"/>
      </w:pPr>
      <w:r>
        <w:t xml:space="preserve">Kunststoffvielfalt aus Kettenaufbau und Vernetzung erklären. </w:t>
      </w:r>
      <w:r>
        <w:t>Q-S11</w:t>
      </w:r>
    </w:p>
    <w:p>
      <w:pPr>
        <w:pStyle w:val="ListBullet"/>
        <w:spacing w:after="100"/>
      </w:pPr>
      <w:r>
        <w:t xml:space="preserve">Eigenschaftsuntersuchungen mit kontrollierten Variablen planen. </w:t>
      </w:r>
      <w:r>
        <w:t>Q-E4</w:t>
      </w:r>
    </w:p>
    <w:p>
      <w:pPr>
        <w:pStyle w:val="ListBullet"/>
        <w:spacing w:after="100"/>
      </w:pPr>
      <w:r>
        <w:t xml:space="preserve">Ein passendes Modell zur Erklärung eines Funktionspolymers auswählen. </w:t>
      </w:r>
      <w:r>
        <w:t>Q-E7</w:t>
      </w:r>
    </w:p>
    <w:p>
      <w:pPr>
        <w:pStyle w:val="ListBullet"/>
        <w:spacing w:after="100"/>
      </w:pPr>
      <w:r>
        <w:t xml:space="preserve">Den Lebensweg eines Kunststoffprodukts zielgerichtet recherchieren. </w:t>
      </w:r>
      <w:r>
        <w:t>Q-K1</w:t>
      </w:r>
    </w:p>
    <w:p>
      <w:pPr>
        <w:pStyle w:val="ListBullet"/>
        <w:spacing w:after="100"/>
      </w:pPr>
      <w:r>
        <w:t xml:space="preserve">Vertrauenswürdigkeit und Herkunft von Quellen zu Produktnutzen und Risiken prüfen. </w:t>
      </w:r>
      <w:r>
        <w:t>Q-K4</w:t>
      </w:r>
    </w:p>
    <w:p>
      <w:pPr>
        <w:pStyle w:val="ListBullet"/>
        <w:spacing w:after="100"/>
      </w:pPr>
      <w:r>
        <w:t xml:space="preserve">Eine Produktpräsentation auf die Zielgruppe zuschneiden. </w:t>
      </w:r>
      <w:r>
        <w:t>Q-K5</w:t>
      </w:r>
    </w:p>
    <w:p>
      <w:pPr>
        <w:pStyle w:val="ListBullet"/>
        <w:spacing w:after="100"/>
      </w:pPr>
      <w:r>
        <w:t xml:space="preserve">Eine Werkstoffbewertung digital kollaborativ erarbeiten, Rückmeldungen prüfen und die Position gegebenenfalls korrigieren. </w:t>
      </w:r>
      <w:r>
        <w:t>Q-K13</w:t>
      </w:r>
    </w:p>
    <w:p>
      <w:pPr>
        <w:pStyle w:val="ListBullet"/>
        <w:spacing w:after="100"/>
      </w:pPr>
      <w:r>
        <w:t xml:space="preserve">Fachliche Richtigkeit und Vertrauenswürdigkeit recherchierter Produktdaten beurteilen. </w:t>
      </w:r>
      <w:r>
        <w:t>Q-B2</w:t>
      </w:r>
    </w:p>
    <w:p>
      <w:pPr>
        <w:pStyle w:val="ListBullet"/>
        <w:spacing w:after="100"/>
      </w:pPr>
      <w:r>
        <w:t xml:space="preserve">Quellen- und Darstellungswahl auf Interessen der Urheber prüfen. </w:t>
      </w:r>
      <w:r>
        <w:t>Q-B4</w:t>
      </w:r>
    </w:p>
    <w:p>
      <w:pPr>
        <w:pStyle w:val="ListBullet"/>
        <w:spacing w:after="100"/>
      </w:pPr>
      <w:r>
        <w:t xml:space="preserve">Handlungsoptionen für eine Werkstoffwahl nach gewichteten Kriterien abwägen. </w:t>
      </w:r>
      <w:r>
        <w:t>Q-B5</w:t>
      </w:r>
    </w:p>
    <w:p>
      <w:pPr>
        <w:pStyle w:val="ListBullet"/>
        <w:spacing w:after="100"/>
      </w:pPr>
      <w:r>
        <w:t xml:space="preserve">Chancen und Risiken von Kunststoffverwertungsverfahren fachlich bewerten. </w:t>
      </w:r>
      <w:r>
        <w:t>Q-B6</w:t>
      </w:r>
    </w:p>
    <w:p>
      <w:pPr>
        <w:pStyle w:val="ListBullet"/>
        <w:spacing w:after="100"/>
      </w:pPr>
      <w:r>
        <w:t xml:space="preserve">Die Grenzen rein chemischer Bewertung bei sozialen und wirtschaftlichen Produktfragen aufzeigen. </w:t>
      </w:r>
      <w:r>
        <w:t>Q-B9</w:t>
      </w:r>
    </w:p>
    <w:p>
      <w:pPr>
        <w:pStyle w:val="ListBullet"/>
        <w:spacing w:after="100"/>
      </w:pPr>
      <w:r>
        <w:t xml:space="preserve">Werkstoffwahl und eigenes Konsumverhalten ökologisch, ökonomisch und sozial bewerten. </w:t>
      </w:r>
      <w:r>
        <w:t>Q-B13</w:t>
      </w:r>
    </w:p>
    <w:p>
      <w:pPr>
        <w:pStyle w:val="ListBullet"/>
        <w:spacing w:after="100"/>
      </w:pPr>
      <w:r>
        <w:t xml:space="preserve">Die Gewichtung von Kriterien der Werkstoffentscheidung reflektieren. </w:t>
      </w:r>
      <w:r>
        <w:t>Q-B14</w:t>
      </w:r>
    </w:p>
    <w:p>
      <w:pPr>
        <w:pStyle w:val="Heading3"/>
        <w:keepNext/>
        <w:spacing w:after="140"/>
      </w:pPr>
      <w:r>
        <w:t>Digitale Lernmaterialien</w:t>
      </w:r>
    </w:p>
    <w:p>
      <w:pPr>
        <w:pStyle w:val="ListBullet"/>
        <w:spacing w:after="100"/>
      </w:pPr>
      <w:hyperlink r:id="rId18">
        <w:r>
          <w:t>Klausuratelier Polymere und Aromaten</w:t>
        </w:r>
      </w:hyperlink>
    </w:p>
    <w:p>
      <w:pPr>
        <w:pStyle w:val="ListBullet"/>
        <w:spacing w:after="100"/>
      </w:pPr>
      <w:hyperlink r:id="rId20">
        <w:r>
          <w:t>SMILES Werkstatt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Werkstoff-Dossier mit Versuchsplanung, Strukturmodell, Syntheseweg, Trennversuch und Produktbewertung. Nanooberflächen und Nachhaltigkeit des technischen Syntheseverfahrens ausdrücklich nachweisen.</w:t>
      </w:r>
    </w:p>
    <w:p>
      <w:bookmarkStart w:id="7036" w:name="uv_LK_08"/>
      <w:pPr>
        <w:pStyle w:val="Heading2"/>
        <w:keepNext/>
        <w:spacing w:after="140"/>
      </w:pPr>
      <w:r>
        <w:t>LK.08 Farbstoffe</w:t>
      </w:r>
      <w:bookmarkEnd w:id="7036"/>
    </w:p>
    <w:p>
      <w:pPr>
        <w:spacing w:after="140"/>
      </w:pPr>
      <w:r>
        <w:t>Jahrgang Q2 · Leistungskurs · ca. 24 Unterrichtsstunden zu 45 Minuten</w:t>
      </w:r>
    </w:p>
    <w:p>
      <w:pPr>
        <w:spacing w:after="140"/>
      </w:pPr>
      <w:r>
        <w:rPr>
          <w:b/>
        </w:rPr>
        <w:t xml:space="preserve">Leitfrage </w:t>
      </w:r>
      <w:r>
        <w:t>Warum wird ein Molekül durch wenige zusätzliche Atome zum Farbstoff, und warum hält nicht jede Farbe auf jedem Stoff?</w:t>
      </w:r>
    </w:p>
    <w:p>
      <w:pPr>
        <w:pStyle w:val="Heading3"/>
        <w:keepNext/>
        <w:spacing w:after="140"/>
      </w:pPr>
      <w:r>
        <w:t>Inhalte und Schwerpunkte</w:t>
      </w:r>
    </w:p>
    <w:p>
      <w:pPr>
        <w:spacing w:after="140"/>
      </w:pPr>
      <w:r>
        <w:t>Reaktionswege in der organischen Chemie — Farbstoffe und Analytik</w:t>
      </w:r>
    </w:p>
    <w:p>
      <w:pPr>
        <w:pStyle w:val="ListBullet"/>
        <w:spacing w:after="100"/>
      </w:pPr>
      <w:r>
        <w:t>Farbstoffklassen nach Struktur und Verwendung; Lichtabsorption und Molekülstruktur.</w:t>
      </w:r>
    </w:p>
    <w:p>
      <w:pPr>
        <w:pStyle w:val="ListBullet"/>
        <w:spacing w:after="100"/>
      </w:pPr>
      <w:r>
        <w:t>Konjugierte Doppelbindungen, Delokalisation, mesomere Grenzstrukturen und Donator-Akzeptor-Gruppen.</w:t>
      </w:r>
    </w:p>
    <w:p>
      <w:pPr>
        <w:pStyle w:val="ListBullet"/>
        <w:spacing w:after="100"/>
      </w:pPr>
      <w:r>
        <w:t>Chromatografie und Retentionsfaktoren; Absorptionsspektren.</w:t>
      </w:r>
    </w:p>
    <w:p>
      <w:pPr>
        <w:pStyle w:val="ListBullet"/>
        <w:spacing w:after="100"/>
      </w:pPr>
      <w:r>
        <w:t>Anwendung der elektrophilen aromatischen Erstsubstitution und koordinativen Katalyse; Wechselwirkungen beim Färben.</w:t>
      </w:r>
    </w:p>
    <w:p>
      <w:pPr>
        <w:pStyle w:val="ListBullet"/>
        <w:spacing w:after="100"/>
      </w:pPr>
      <w:r>
        <w:t>Chemische, ökologische und ökonomische Bewertung des Farbstoffeinsatzes.</w:t>
      </w:r>
    </w:p>
    <w:p>
      <w:pPr>
        <w:pStyle w:val="Heading3"/>
        <w:keepNext/>
        <w:spacing w:after="140"/>
      </w:pPr>
      <w:r>
        <w:t>Lernweg und methodische Gestaltung</w:t>
      </w:r>
    </w:p>
    <w:p>
      <w:pPr>
        <w:pStyle w:val="ListBullet"/>
        <w:spacing w:after="100"/>
      </w:pPr>
      <w:r>
        <w:t>Farbstoffe aus Alltagsprodukten chromatografisch trennen, Retentionsfaktoren bestimmen und die Bestandteile anhand von Referenzen interpretieren.</w:t>
      </w:r>
    </w:p>
    <w:p>
      <w:pPr>
        <w:pStyle w:val="ListBullet"/>
        <w:spacing w:after="100"/>
      </w:pPr>
      <w:r>
        <w:t>Absorptionsspektren auswerten und Farbigkeit durch Molekülstruktur und Mesomerie erklären.</w:t>
      </w:r>
    </w:p>
    <w:p>
      <w:pPr>
        <w:pStyle w:val="ListBullet"/>
        <w:spacing w:after="100"/>
      </w:pPr>
      <w:r>
        <w:t>Einen geeigneten Farbstoff-Syntheseweg mechanistisch deuten; dabei die in LK.06 erarbeiteten aromatischen Reaktionen und Katalysatormodelle anwenden.</w:t>
      </w:r>
    </w:p>
    <w:p>
      <w:pPr>
        <w:pStyle w:val="ListBullet"/>
        <w:spacing w:after="100"/>
      </w:pPr>
      <w:r>
        <w:t>Farbstoffe nach Verwendung und Struktur ordnen; Produkte hinsichtlich Funktion, Entsorgung und Kosten vergleichen und Modellgrenzen reflektieren.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beschreiben den Aufbau und die Wirkungsweise eines Katalysators unter Berücksichtigung des Konzepts der koordinativen Bindung als Wechselwirkung von Metallkationen mit freien Elektronenpaaren (S13, S15), </w:t>
      </w:r>
      <w:r>
        <w:t>LK-OC-07</w:t>
      </w:r>
    </w:p>
    <w:p>
      <w:pPr>
        <w:pStyle w:val="ListBullet"/>
        <w:spacing w:after="100"/>
      </w:pPr>
      <w:r>
        <w:t xml:space="preserve">erklären die Reaktivität eines aromatischen Systems anhand der Struktur und erläutern in diesem Zusammenhang die Mesomerie (S9, S13, E9, E12), </w:t>
      </w:r>
      <w:r>
        <w:t>LK-OC-08</w:t>
      </w:r>
    </w:p>
    <w:p>
      <w:pPr>
        <w:pStyle w:val="ListBullet"/>
        <w:spacing w:after="100"/>
      </w:pPr>
      <w:r>
        <w:t xml:space="preserve">klassifizieren Farbstoffe sowohl auf Grundlage struktureller Merkmale als auch nach ihrer Verwendung (S10, S11, K8), </w:t>
      </w:r>
      <w:r>
        <w:t>LK-OC-09</w:t>
      </w:r>
    </w:p>
    <w:p>
      <w:pPr>
        <w:pStyle w:val="ListBullet"/>
        <w:spacing w:after="100"/>
      </w:pPr>
      <w:r>
        <w:t xml:space="preserve">erläutern die Farbigkeit ausgewählter Stoffe durch Lichtabsorption auch unter Berücksichtigung der Molekülstruktur mithilfe des Mesomeriemodells (mesomere Grenzstrukturen, Delokalisation von Elektronen, Donator-Akzeptor-Gruppen) (S2, E7, K10). </w:t>
      </w:r>
      <w:r>
        <w:t>LK-OC-10</w:t>
      </w:r>
    </w:p>
    <w:p>
      <w:pPr>
        <w:pStyle w:val="ListBullet"/>
        <w:spacing w:after="100"/>
      </w:pPr>
      <w:r>
        <w:t xml:space="preserve">trennen mithilfe eines chromatografischen Verfahrens Stoffgemische und analysieren ihre Bestandteile durch Interpretation der Retentionsfaktoren (E4, E5), </w:t>
      </w:r>
      <w:r>
        <w:t>LK-OC-15</w:t>
      </w:r>
    </w:p>
    <w:p>
      <w:pPr>
        <w:pStyle w:val="ListBullet"/>
        <w:spacing w:after="100"/>
      </w:pPr>
      <w:r>
        <w:t xml:space="preserve">interpretieren Absorptionsspektren ausgewählter Farbstofflösungen (E8, K2, B1). </w:t>
      </w:r>
      <w:r>
        <w:t>LK-OC-16</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ListBullet"/>
        <w:spacing w:after="100"/>
      </w:pPr>
      <w:r>
        <w:t xml:space="preserve">bewerten den Einsatz verschiedener Farbstoffe in Alltagsprodukten aus chemischer, ökologischer und ökonomischer Sicht (B9, B13, S13). </w:t>
      </w:r>
      <w:r>
        <w:t>LK-OC-20</w:t>
      </w:r>
    </w:p>
    <w:p>
      <w:pPr>
        <w:pStyle w:val="Heading3"/>
        <w:keepNext/>
        <w:spacing w:after="140"/>
      </w:pPr>
      <w:r>
        <w:t>Digitale Lernmaterialien</w:t>
      </w:r>
    </w:p>
    <w:p>
      <w:pPr>
        <w:pStyle w:val="ListBullet"/>
        <w:spacing w:after="100"/>
      </w:pPr>
      <w:hyperlink r:id="rId22">
        <w:r>
          <w:t>Pi Labor zur Aromatizität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Chromatografie-Auswertung, Spektreninterpretation, mechanistische Syntheseerklärung und begründete Bewertung einer Färbeanwendung.</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7037" w:name="abgleich"/>
      <w:pPr>
        <w:pStyle w:val="Heading1"/>
        <w:keepNext/>
        <w:pageBreakBefore/>
        <w:spacing w:after="140"/>
      </w:pPr>
      <w:r>
        <w:t>9 Sicherung der Kompetenzentwicklung</w:t>
      </w:r>
      <w:bookmarkEnd w:id="7037"/>
    </w:p>
    <w:p>
      <w:pPr>
        <w:spacing w:after="140"/>
      </w:pPr>
      <w: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auto" w:w="0"/>
        <w:jc w:val="center"/>
        <w:tblLayout w:type="fixed"/>
        <w:tblLook w:firstColumn="1" w:firstRow="1" w:lastColumn="0" w:lastRow="0" w:noHBand="0" w:noVBand="1" w:val="04A0"/>
      </w:tblPr>
      <w:tblGrid>
        <w:gridCol w:w="2722"/>
        <w:gridCol w:w="1996"/>
        <w:gridCol w:w="2178"/>
        <w:gridCol w:w="2178"/>
      </w:tblGrid>
      <w:tr>
        <w:trPr>
          <w:tblHeader/>
        </w:trP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Prüfbereich</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Übergeordnet</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Konkretisiert</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Zugeordnet</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Sek I erste Stufe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29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48 von 48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Sek I zweite Stufe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50</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69 von 69</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Einführungsphase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22</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78 von 78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Grundkurs</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50</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106 von 106</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Leistungskurs</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82</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138 von 138</w:t>
            </w:r>
          </w:p>
        </w:tc>
      </w:tr>
    </w:tbl>
    <w:p>
      <w:pPr>
        <w:spacing w:after="60"/>
      </w:pPr>
    </w:p>
    <w:p>
      <w:pPr>
        <w:spacing w:after="140"/>
      </w:pPr>
      <w: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bookmarkStart w:id="7038" w:name="abschnitt-258"/>
      <w:pPr>
        <w:pStyle w:val="Heading2"/>
        <w:keepNext/>
        <w:spacing w:after="140"/>
      </w:pPr>
      <w:r>
        <w:t>9.1 Verbindlichkeit und pädagogischer Gestaltungsspielraum</w:t>
      </w:r>
      <w:bookmarkEnd w:id="7038"/>
    </w:p>
    <w:p>
      <w:pPr>
        <w:spacing w:after="140"/>
      </w:pPr>
      <w: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bookmarkStart w:id="7039" w:name="abschnitt-259"/>
      <w:pPr>
        <w:pStyle w:val="Heading2"/>
        <w:keepNext/>
        <w:spacing w:after="140"/>
      </w:pPr>
      <w:r>
        <w:t>9.2 Dokumentation und Rückmeldung</w:t>
      </w:r>
      <w:bookmarkEnd w:id="7039"/>
    </w:p>
    <w:p>
      <w:pPr>
        <w:spacing w:after="140"/>
      </w:pPr>
      <w: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7040" w:name="arbeitskopie-aenderungen"/>
      <w:pPr>
        <w:pStyle w:val="Heading2"/>
        <w:keepNext/>
        <w:spacing w:after="140"/>
      </w:pPr>
      <w:r>
        <w:t>9.3 Neuordnung und Sicherung der Pflichtinhalte</w:t>
      </w:r>
      <w:bookmarkEnd w:id="7040"/>
    </w:p>
    <w:p>
      <w:pPr>
        <w:spacing w:after="140"/>
      </w:pPr>
      <w:r>
        <w:t>Abgleichstand 28. September 2026. Maßgeblich für diese Arbeitskopie sind der Kernlehrplan Sekundarstufe I von 2019 und der Kernlehrplan Sekundarstufe II von 2022. Die gesonderte Fassung 2026 wird nicht als Inhaltsgrundlage übernommen.</w:t>
      </w:r>
    </w:p>
    <w:tbl>
      <w:tblPr>
        <w:tblW w:type="auto" w:w="0"/>
        <w:jc w:val="center"/>
        <w:tblLayout w:type="fixed"/>
        <w:tblLook w:firstColumn="1" w:firstRow="1" w:lastColumn="0" w:lastRow="0" w:noHBand="0" w:noVBand="1" w:val="04A0"/>
      </w:tblPr>
      <w:tblGrid>
        <w:gridCol w:w="1361"/>
        <w:gridCol w:w="2359"/>
        <w:gridCol w:w="5354"/>
      </w:tblGrid>
      <w:tr>
        <w:trPr>
          <w:tblHeader/>
        </w:trP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Bereich</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Änderung</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Verbindliche Sicherung</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7</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Vier Themenfelder</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Laborführerschein; Stoffeigenschaften; Stofftrennung; Luft und Verbrennung.</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8 und 9</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Atommodelle vor Mineralien</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08.3 sichert den Atombau; 08.4 übernimmt Mineralien. Elementfamilien stehen in 09.1.</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10</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Gase ohne Polycarbonate</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Ammoniaksynthese, Katalysatormodell und Bewertung der Energie- und Rohstoffnutzung sichern IF 8.</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Parfum und klar getrennte Kinetik und Gleichgewichte</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Lebensmittelzusatzstoffe, Ethanolabbau und Lösemittel bleiben in EF.01; technisches Verfahren in EF.03, natürlicher Kreislauf in EF.04.</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Kein eigenes Salze-Kapitel</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Ionennachweise und Produktbewertung im Säure-Base-Block; Gitter- und Solvatationsenergie sowie Kalorimetrie in Thermodynamik. LK zusätzlich Löslichkeitsgleichgewichte und Puffer im Auftaktblock.</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Organik und Kunststoffe in Q2</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Radikalische Substitution, elektrophile Addition, Ester und Fette in GK.05; Funktionspolymere und Kunststoffverwertung in GK.06.</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Organik über Q1 und Q2</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LK.05 und LK.06 tragen Stoffklassen, alle Pflichtmechanismen, Ester, Fette und Aromaten.</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InnoProducts aufgeteilt</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Molekulare Produktentwicklung in LK.05/LK.06; Werkstoffsynthese, Funktionspolymere und Nanochemie in LK.07. Farbstoffe in LK.08.</w:t>
            </w:r>
          </w:p>
        </w:tc>
      </w:tr>
    </w:tbl>
    <w:p>
      <w:pPr>
        <w:spacing w:after="60"/>
      </w:pPr>
    </w:p>
    <w:p>
      <w:pPr>
        <w:spacing w:after="140"/>
      </w:pPr>
      <w:r>
        <w:t>Der Einzelabgleich umfasst 233 konkretisierte Kompetenzerwartungen und 150 unterschiedliche übergeordnete Formulierungen. Die 56 gemeinsamen Q-Phase-Erwartungen sind für GK und LK jeweils gesondert zugeordnet. Damit bestehen 439 stufen- bzw. kursbezogene Zuordnungen ohne offene Erwartung. Die Kapitel 10 und 11 verweisen auf die neue Reihenfolge; bei jedem Vorhaben sind Lernweg und Überprüfung ausgewiesen. Die Zeitrichtwerte sind eine Arbeitsplanung, kein Nachweis bereits erteilter Stunden.</w:t>
      </w:r>
    </w:p>
    <w:p>
      <w:bookmarkStart w:id="7041" w:name="generisch"/>
      <w:pPr>
        <w:pStyle w:val="Heading1"/>
        <w:keepNext/>
        <w:pageBreakBefore/>
        <w:spacing w:after="140"/>
      </w:pPr>
      <w:r>
        <w:t>10 Vollständige übergeordnete Kompetenzen</w:t>
      </w:r>
      <w:bookmarkEnd w:id="7041"/>
    </w:p>
    <w:p>
      <w:pPr>
        <w:spacing w:after="140"/>
      </w:pPr>
      <w: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bookmarkStart w:id="7042" w:name="abschnitt-261"/>
      <w:pPr>
        <w:pStyle w:val="Heading2"/>
        <w:keepNext/>
        <w:spacing w:after="140"/>
      </w:pPr>
      <w:r>
        <w:t>10.1 Sekundarstufe I bis zum Ende der ersten Stufe</w:t>
      </w:r>
      <w:bookmarkEnd w:id="7042"/>
    </w:p>
    <w:p>
      <w:pPr>
        <w:spacing w:after="140"/>
      </w:pPr>
      <w:r>
        <w:t>Die Schülerinnen und Schüler können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UF1</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Wiedergabe und Erklärung</w:t>
            </w:r>
            <w:r>
              <w:rPr>
                <w:b w:val="0"/>
                <w:color w:val="000000"/>
                <w:sz w:val="20"/>
              </w:rPr>
              <w:br/>
            </w:r>
            <w:r>
              <w:rPr>
                <w:b w:val="0"/>
                <w:color w:val="000000"/>
                <w:sz w:val="20"/>
              </w:rPr>
              <w:t>erworbenes Wissen über chemische Phänomene unter Verwendung einfacher Konzepte nachvollziehbar darstellen und Zusammenhänge erklären.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 mit Wortgleichung und Energiedarstellung erklären.</w:t>
            </w:r>
            <w:r>
              <w:rPr>
                <w:b w:val="0"/>
                <w:color w:val="000000"/>
                <w:sz w:val="20"/>
              </w:rPr>
              <w:br/>
            </w:r>
            <w:hyperlink w:anchor="uv_08_2">
              <w:r>
                <w:t>08.2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UF2</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und Anwendung</w:t>
            </w:r>
            <w:r>
              <w:rPr>
                <w:b w:val="0"/>
                <w:color w:val="000000"/>
                <w:sz w:val="20"/>
              </w:rPr>
              <w:br/>
            </w:r>
            <w:r>
              <w:rPr>
                <w:b w:val="0"/>
                <w:color w:val="000000"/>
                <w:sz w:val="20"/>
              </w:rPr>
              <w:t>das zur Lösung einfacher vorgegebener Aufgaben und Problemstellungen erforderliche chemische Fachwissen auswählen und anwenden.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Für ein unbekanntes Gemisch geeignete Stoffeigenschaften und Trennverfahren auswählen.</w:t>
            </w:r>
            <w:r>
              <w:rPr>
                <w:b w:val="0"/>
                <w:color w:val="000000"/>
                <w:sz w:val="20"/>
              </w:rPr>
              <w:br/>
            </w:r>
            <w:hyperlink w:anchor="uv_07_3">
              <w:r>
                <w:t>07.3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UF3</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Ordnung und Systematisierung</w:t>
            </w:r>
            <w:r>
              <w:rPr>
                <w:b w:val="0"/>
                <w:color w:val="000000"/>
                <w:sz w:val="20"/>
              </w:rPr>
              <w:br/>
            </w:r>
            <w:r>
              <w:rPr>
                <w:b w:val="0"/>
                <w:color w:val="000000"/>
                <w:sz w:val="20"/>
              </w:rPr>
              <w:t>chemische Sachverhalte nach ausgewählten Kriterien ordnen und von Alltagsvorstellungen abgrenzen.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Metalle und Oxide ordnen und Alltagsvorstellungen zur Metallgewinnung überprüfen.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UF4</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Übertragung und Vernetzung</w:t>
            </w:r>
            <w:r>
              <w:rPr>
                <w:b w:val="0"/>
                <w:color w:val="000000"/>
                <w:sz w:val="20"/>
              </w:rPr>
              <w:br/>
            </w:r>
            <w:r>
              <w:rPr>
                <w:b w:val="0"/>
                <w:color w:val="000000"/>
                <w:sz w:val="20"/>
              </w:rPr>
              <w:t>neu erworbene chemische Konzepte in vorhandenes Wissen eingliedern und Alltagsvorstellungen hinterfragen.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Alltagsvorstellung vom Verschwinden eines Brennstoffs anhand von Reaktionsprodukten hinterfragen.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Problem und Fragestellung</w:t>
            </w:r>
            <w:r>
              <w:rPr>
                <w:b w:val="0"/>
                <w:color w:val="000000"/>
                <w:sz w:val="20"/>
              </w:rPr>
              <w:br/>
            </w:r>
            <w:r>
              <w:rPr>
                <w:b w:val="0"/>
                <w:color w:val="000000"/>
                <w:sz w:val="20"/>
              </w:rPr>
              <w:t>in einfachen Zusammenhängen Probleme erkennen und Fragen formulieren, die sich mit chemischen Methoden klären lassen.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experimentell beantwortbare Frage zur Trennung eines Alltagsgemisches formulieren.</w:t>
            </w:r>
            <w:r>
              <w:rPr>
                <w:b w:val="0"/>
                <w:color w:val="000000"/>
                <w:sz w:val="20"/>
              </w:rPr>
              <w:br/>
            </w:r>
            <w:hyperlink w:anchor="uv_07_3">
              <w:r>
                <w:t>07.3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 und Wahrnehmung</w:t>
            </w:r>
            <w:r>
              <w:rPr>
                <w:b w:val="0"/>
                <w:color w:val="000000"/>
                <w:sz w:val="20"/>
              </w:rPr>
              <w:br/>
            </w:r>
            <w:r>
              <w:rPr>
                <w:b w:val="0"/>
                <w:color w:val="000000"/>
                <w:sz w:val="20"/>
              </w:rPr>
              <w:t>Phänomene aus chemischer Perspektive bewusst wahrnehmen und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Beobachtungen eines einfachen Versuchs sachlich beschreiben.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Vermutung und Hypothese</w:t>
            </w:r>
            <w:r>
              <w:rPr>
                <w:b w:val="0"/>
                <w:color w:val="000000"/>
                <w:sz w:val="20"/>
              </w:rPr>
              <w:br/>
            </w:r>
            <w:r>
              <w:rPr>
                <w:b w:val="0"/>
                <w:color w:val="000000"/>
                <w:sz w:val="20"/>
              </w:rPr>
              <w:t>Vermutungen zu chemischen Fragestellungen auf der Grundlage von Alltagswissen und einfachen fachlichen Konzepten formulieren.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geeigneten Reaktionspartner zur Metallgewinnung vorhersagen und die Vermutung begründen.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 und Experiment</w:t>
            </w:r>
            <w:r>
              <w:rPr>
                <w:b w:val="0"/>
                <w:color w:val="000000"/>
                <w:sz w:val="20"/>
              </w:rPr>
              <w:br/>
            </w:r>
            <w:r>
              <w:rPr>
                <w:b w:val="0"/>
                <w:color w:val="000000"/>
                <w:sz w:val="20"/>
              </w:rPr>
              <w:t>bei angeleiteten oder einfachen selbst entwickelten Untersuchungen und Experimenten Handlungsschritte unter Beachtung von Sicherheitsaspekten planen und durchführen sowie Daten gemäß der Planung erheben und aufzeichnen.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sicheren Versuchsablauf planen, durchführen und Mess- oder Beobachtungsdaten aufzeichnen.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Auswertung und Schlussfolgerung</w:t>
            </w:r>
            <w:r>
              <w:rPr>
                <w:b w:val="0"/>
                <w:color w:val="000000"/>
                <w:sz w:val="20"/>
              </w:rPr>
              <w:br/>
            </w:r>
            <w:r>
              <w:rPr>
                <w:b w:val="0"/>
                <w:color w:val="000000"/>
                <w:sz w:val="20"/>
              </w:rPr>
              <w:t>Beobachtungen und Messdaten ordnen sowie mit Bezug auf die zugrundeliegende Fragestellung oder Vermutung auswerten und daraus Schlüsse ziehen.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Messwerte ordnen und zur Identifizierung eines Stoffes auswerten.</w:t>
            </w:r>
            <w:r>
              <w:rPr>
                <w:b w:val="0"/>
                <w:color w:val="000000"/>
                <w:sz w:val="20"/>
              </w:rPr>
              <w:br/>
            </w:r>
            <w:hyperlink w:anchor="uv_07_2">
              <w:r>
                <w:t>07.2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Modell und Realität</w:t>
            </w:r>
            <w:r>
              <w:rPr>
                <w:b w:val="0"/>
                <w:color w:val="000000"/>
                <w:sz w:val="20"/>
              </w:rPr>
              <w:br/>
            </w:r>
            <w:r>
              <w:rPr>
                <w:b w:val="0"/>
                <w:color w:val="000000"/>
                <w:sz w:val="20"/>
              </w:rPr>
              <w:t>mit vorgegebenen Modellen ausgewählte chemische Vorgänge und Phänomene veranschaulichen, erklären und vorhersagen sowie Modelle von der Realität unterscheiden.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Aggregatzustände am Teilchenmodell erklären und Modell und Stoff unterscheiden.</w:t>
            </w:r>
            <w:r>
              <w:rPr>
                <w:b w:val="0"/>
                <w:color w:val="000000"/>
                <w:sz w:val="20"/>
              </w:rPr>
              <w:br/>
            </w:r>
            <w:hyperlink w:anchor="uv_07_2">
              <w:r>
                <w:t>07.2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Naturwissenschaftliches Denken und Arbeiten</w:t>
            </w:r>
            <w:r>
              <w:rPr>
                <w:b w:val="0"/>
                <w:color w:val="000000"/>
                <w:sz w:val="20"/>
              </w:rPr>
              <w:br/>
            </w:r>
            <w:r>
              <w:rPr>
                <w:b w:val="0"/>
                <w:color w:val="000000"/>
                <w:sz w:val="20"/>
              </w:rPr>
              <w:t>in einfachen chemischen Zusammenhängen Schritte der naturwissenschaftlichen Erkenntnisgewinnung nachvollziehen und Aussagen konstruktiv kritisch hinterfragen.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Erkenntnisweg vom Metalloxid zur Metallgewinnung nachvollziehen und eine Behauptung prüfen.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Dokumentation</w:t>
            </w:r>
            <w:r>
              <w:rPr>
                <w:b w:val="0"/>
                <w:color w:val="000000"/>
                <w:sz w:val="20"/>
              </w:rPr>
              <w:br/>
            </w:r>
            <w:r>
              <w:rPr>
                <w:b w:val="0"/>
                <w:color w:val="000000"/>
                <w:sz w:val="20"/>
              </w:rPr>
              <w:t>das Vorgehen und wesentliche Ergebnisse bei Untersuchungen und Experimenten in vorgegebenen Formaten (Protokolle, Tabellen, Skizzen, Diagramme) dokumentieren.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vollständiges Versuchsprotokoll mit beschrifteter Skizze anfertigen.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Informationsverarbeitung</w:t>
            </w:r>
            <w:r>
              <w:rPr>
                <w:b w:val="0"/>
                <w:color w:val="000000"/>
                <w:sz w:val="20"/>
              </w:rPr>
              <w:br/>
            </w:r>
            <w:r>
              <w:rPr>
                <w:b w:val="0"/>
                <w:color w:val="000000"/>
                <w:sz w:val="20"/>
              </w:rPr>
              <w:t>nach Anleitung chemische Informationen und Daten aus analogen und digitalen Medienangeboten (Fachtexte, Filme, Tabellen, Diagramme, Abbildungen, Schemata) entnehmen sowie deren Kernaussagen wiedergeben und die Quelle notieren.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zu Luftbestandteilen aus Tabelle und Fachtext entnehmen und die Quelle notieren.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Präsentation</w:t>
            </w:r>
            <w:r>
              <w:rPr>
                <w:b w:val="0"/>
                <w:color w:val="000000"/>
                <w:sz w:val="20"/>
              </w:rPr>
              <w:br/>
            </w:r>
            <w:r>
              <w:rPr>
                <w:b w:val="0"/>
                <w:color w:val="000000"/>
                <w:sz w:val="20"/>
              </w:rP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digitale Darstellung zu Verbrennungsprodukten und Massenerhaltung fachsprachlich erläutern.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Argumentation</w:t>
            </w:r>
            <w:r>
              <w:rPr>
                <w:b w:val="0"/>
                <w:color w:val="000000"/>
                <w:sz w:val="20"/>
              </w:rPr>
              <w:br/>
            </w:r>
            <w:r>
              <w:rPr>
                <w:b w:val="0"/>
                <w:color w:val="000000"/>
                <w:sz w:val="20"/>
              </w:rPr>
              <w:t>eigene Aussagen fachlich sinnvoll begründen, faktenbasierte Gründe von intuitiven Meinungen unterscheiden sowie bei Unklarheiten sachlich nachfragen.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Stoffveränderung begründet als chemische Reaktion einordnen und auf Nachfragen eingehen.</w:t>
            </w:r>
            <w:r>
              <w:rPr>
                <w:b w:val="0"/>
                <w:color w:val="000000"/>
                <w:sz w:val="20"/>
              </w:rPr>
              <w:br/>
            </w:r>
            <w:hyperlink w:anchor="uv_08_2">
              <w:r>
                <w:t>08.2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Fakten- und Situationsanalyse</w:t>
            </w:r>
            <w:r>
              <w:rPr>
                <w:b w:val="0"/>
                <w:color w:val="000000"/>
                <w:sz w:val="20"/>
              </w:rPr>
              <w:br/>
            </w:r>
            <w:r>
              <w:rPr>
                <w:b w:val="0"/>
                <w:color w:val="000000"/>
                <w:sz w:val="20"/>
              </w:rPr>
              <w:t>in einer einfachen Bewertungssituation chemische Fakten nennen sowie die Interessen der Handelnden und Betroffenen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einer Brandsituation chemische Fakten und Interessen betroffener Personen benennen.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w:t>
            </w:r>
            <w:r>
              <w:rPr>
                <w:b w:val="0"/>
                <w:color w:val="000000"/>
                <w:sz w:val="20"/>
              </w:rPr>
              <w:br/>
            </w:r>
            <w:r>
              <w:rPr>
                <w:b w:val="0"/>
                <w:color w:val="000000"/>
                <w:sz w:val="20"/>
              </w:rPr>
              <w:t>Bewertungskriterien und Handlungsoptionen benennen.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Brandvorsorge und mögliche Handlungsoptionen sammeln.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Abwägung und Entscheidung</w:t>
            </w:r>
            <w:r>
              <w:rPr>
                <w:b w:val="0"/>
                <w:color w:val="000000"/>
                <w:sz w:val="20"/>
              </w:rPr>
              <w:br/>
            </w:r>
            <w:r>
              <w:rPr>
                <w:b w:val="0"/>
                <w:color w:val="000000"/>
                <w:sz w:val="20"/>
              </w:rPr>
              <w:t>kriteriengeleitet eine Entscheidung für eine Handlungsoption treffen.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geeignete Maßnahme zum Löschen eines Metallbrands begründet auswählen.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Stellungnahme und Reflexion</w:t>
            </w:r>
            <w:r>
              <w:rPr>
                <w:b w:val="0"/>
                <w:color w:val="000000"/>
                <w:sz w:val="20"/>
              </w:rPr>
              <w:br/>
            </w:r>
            <w:r>
              <w:rPr>
                <w:b w:val="0"/>
                <w:color w:val="000000"/>
                <w:sz w:val="20"/>
              </w:rPr>
              <w:t>Bewertungen und Entscheidungen begründen.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zum Recycling eines Metallprodukts begründen.</w:t>
            </w:r>
            <w:r>
              <w:rPr>
                <w:b w:val="0"/>
                <w:color w:val="000000"/>
                <w:sz w:val="20"/>
              </w:rPr>
              <w:br/>
            </w:r>
            <w:hyperlink w:anchor="uv_08_1">
              <w:r>
                <w:t>08.1</w:t>
              </w:r>
            </w:hyperlink>
          </w:p>
        </w:tc>
      </w:tr>
    </w:tbl>
    <w:p>
      <w:pPr>
        <w:spacing w:after="60"/>
      </w:pPr>
    </w:p>
    <w:p>
      <w:bookmarkStart w:id="7043" w:name="abschnitt-262"/>
      <w:pPr>
        <w:pStyle w:val="Heading2"/>
        <w:keepNext/>
        <w:spacing w:after="140"/>
      </w:pPr>
      <w:r>
        <w:t>10.2 Sekundarstufe I bis zum Ende der Sekundarstufe I</w:t>
      </w:r>
      <w:bookmarkEnd w:id="7043"/>
    </w:p>
    <w:p>
      <w:pPr>
        <w:spacing w:after="140"/>
      </w:pPr>
      <w:r>
        <w:t>Die Schülerinnen und Schüler können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UF1</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Wiedergabe und Erklärung</w:t>
            </w:r>
            <w:r>
              <w:rPr>
                <w:b w:val="0"/>
                <w:color w:val="000000"/>
                <w:sz w:val="20"/>
              </w:rPr>
              <w:br/>
            </w:r>
            <w:r>
              <w:rPr>
                <w:b w:val="0"/>
                <w:color w:val="000000"/>
                <w:sz w:val="20"/>
              </w:rPr>
              <w:t>chemisches Wissen strukturiert sowie bildungs- und fachsprachlich angemessen darstellen und Bezüge zu zentralen Konzepten und übergeordneten Regeln, Modellen und Prinzipien herstellen.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Salzeigenschaften mit Ionenbindung und Teilchenaufbau strukturiert erklären.</w:t>
            </w:r>
            <w:r>
              <w:rPr>
                <w:b w:val="0"/>
                <w:color w:val="000000"/>
                <w:sz w:val="20"/>
              </w:rPr>
              <w:br/>
            </w:r>
            <w:hyperlink w:anchor="uv_08_4">
              <w:r>
                <w:t>08.4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und Anwendung</w:t>
            </w:r>
            <w:r>
              <w:rPr>
                <w:b w:val="0"/>
                <w:color w:val="000000"/>
                <w:sz w:val="20"/>
              </w:rPr>
              <w:br/>
            </w:r>
            <w:r>
              <w:rPr>
                <w:b w:val="0"/>
                <w:color w:val="000000"/>
                <w:sz w:val="20"/>
              </w:rPr>
              <w:t>Konzepte zur Analyse und Lösung von Problemen begründet auswählen und chemisches Fachwissen zielgerichtet anwenden.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Kunststoffprodukt anhand seiner Struktur und Eigenschaften auswählen.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UF3</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Ordnung und Systematisierung</w:t>
            </w:r>
            <w:r>
              <w:rPr>
                <w:b w:val="0"/>
                <w:color w:val="000000"/>
                <w:sz w:val="20"/>
              </w:rPr>
              <w:br/>
            </w:r>
            <w:r>
              <w:rPr>
                <w:b w:val="0"/>
                <w:color w:val="000000"/>
                <w:sz w:val="20"/>
              </w:rPr>
              <w:t>chemische Sachverhalte nach fachlichen Strukturen systematisieren und zentralen chemischen Konzepten zuordnen.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Elemente systematisch Elementfamilien und dem Periodensystem zuordnen.</w:t>
            </w:r>
            <w:r>
              <w:rPr>
                <w:b w:val="0"/>
                <w:color w:val="000000"/>
                <w:sz w:val="20"/>
              </w:rPr>
              <w:br/>
            </w:r>
            <w:hyperlink w:anchor="uv_09_1">
              <w:r>
                <w:t>09.1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UF4</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Übertragung und Vernetzung</w:t>
            </w:r>
            <w:r>
              <w:rPr>
                <w:b w:val="0"/>
                <w:color w:val="000000"/>
                <w:sz w:val="20"/>
              </w:rPr>
              <w:br/>
            </w:r>
            <w:r>
              <w:rPr>
                <w:b w:val="0"/>
                <w:color w:val="000000"/>
                <w:sz w:val="20"/>
              </w:rPr>
              <w:t>naturwissenschaftliche Konzepte sachlogisch vernetzen und auf variable Problemsituationen übertragen.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Elektronenübertragung und Energieumwandlung mit physikalischen Stromkreisvorstellungen verbinden.</w:t>
            </w:r>
            <w:r>
              <w:rPr>
                <w:b w:val="0"/>
                <w:color w:val="000000"/>
                <w:sz w:val="20"/>
              </w:rPr>
              <w:br/>
            </w:r>
            <w:hyperlink w:anchor="uv_09_2">
              <w:r>
                <w:t>09.2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Problem und Fragestellung</w:t>
            </w:r>
            <w:r>
              <w:rPr>
                <w:b w:val="0"/>
                <w:color w:val="000000"/>
                <w:sz w:val="20"/>
              </w:rPr>
              <w:br/>
            </w:r>
            <w:r>
              <w:rPr>
                <w:b w:val="0"/>
                <w:color w:val="000000"/>
                <w:sz w:val="20"/>
              </w:rPr>
              <w:t>Fragestellungen, die chemischen Erklärungen bzw. Erkenntnisprozessen zugrunde liegen, identifizieren und formulieren.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untersuchbare Frage zur Neutralisation eines Alltagsprodukts formulieren.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 und Wahrnehmung</w:t>
            </w:r>
            <w:r>
              <w:rPr>
                <w:b w:val="0"/>
                <w:color w:val="000000"/>
                <w:sz w:val="20"/>
              </w:rPr>
              <w:br/>
            </w:r>
            <w:r>
              <w:rPr>
                <w:b w:val="0"/>
                <w:color w:val="000000"/>
                <w:sz w:val="20"/>
              </w:rPr>
              <w:t>bei kriteriengeleiteten Beobachtungen die Beschreibung von der Deutung klar trennen.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Ablenkung des Wasserstrahls beschreiben und von der Erklärung getrennt notieren.</w:t>
            </w:r>
            <w:r>
              <w:rPr>
                <w:b w:val="0"/>
                <w:color w:val="000000"/>
                <w:sz w:val="20"/>
              </w:rPr>
              <w:br/>
            </w:r>
            <w:hyperlink w:anchor="uv_09_3">
              <w:r>
                <w:t>09.3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Vermutung und Hypothese</w:t>
            </w:r>
            <w:r>
              <w:rPr>
                <w:b w:val="0"/>
                <w:color w:val="000000"/>
                <w:sz w:val="20"/>
              </w:rPr>
              <w:br/>
            </w:r>
            <w:r>
              <w:rPr>
                <w:b w:val="0"/>
                <w:color w:val="000000"/>
                <w:sz w:val="20"/>
              </w:rPr>
              <w:t>zur Klärung chemischer Fragestellungen überprüfbare Hypothesen formulieren und Möglichkeiten zur Überprüfung von Hypothesen angeben.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prüfbare Hypothese zur Elektronenaufnahme verschiedener Metallionen formulieren.</w:t>
            </w:r>
            <w:r>
              <w:rPr>
                <w:b w:val="0"/>
                <w:color w:val="000000"/>
                <w:sz w:val="20"/>
              </w:rPr>
              <w:br/>
            </w:r>
            <w:hyperlink w:anchor="uv_09_2">
              <w:r>
                <w:t>09.2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 und Experiment</w:t>
            </w:r>
            <w:r>
              <w:rPr>
                <w:b w:val="0"/>
                <w:color w:val="000000"/>
                <w:sz w:val="20"/>
              </w:rPr>
              <w:br/>
            </w:r>
            <w:r>
              <w:rPr>
                <w:b w:val="0"/>
                <w:color w:val="000000"/>
                <w:sz w:val="20"/>
              </w:rP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Neutralisationsuntersuchung mit kontrollierten Variablen sicher planen und protokollieren.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Auswertung und Schlussfolgerung</w:t>
            </w:r>
            <w:r>
              <w:rPr>
                <w:b w:val="0"/>
                <w:color w:val="000000"/>
                <w:sz w:val="20"/>
              </w:rPr>
              <w:br/>
            </w:r>
            <w:r>
              <w:rPr>
                <w:b w:val="0"/>
                <w:color w:val="000000"/>
                <w:sz w:val="20"/>
              </w:rPr>
              <w:t>Beobachtungs- und Messdaten mit Bezug auf zugrundeliegende Fragestellungen und Hypothesen darstellen, interpretieren und daraus qualitative und einfache quantitative Zusammenhänge ableiten sowie mögliche Fehler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Titrationsdaten auswerten und Mess- sowie Ablesefehler reflektieren.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Modell und Realität</w:t>
            </w:r>
            <w:r>
              <w:rPr>
                <w:b w:val="0"/>
                <w:color w:val="000000"/>
                <w:sz w:val="20"/>
              </w:rPr>
              <w:br/>
            </w:r>
            <w:r>
              <w:rPr>
                <w:b w:val="0"/>
                <w:color w:val="000000"/>
                <w:sz w:val="20"/>
              </w:rPr>
              <w:t>mit Modellen chemische Vorgänge und Zusammenhänge, auch unter Verwendung der Symbolsprache, in einfacher formalisierter Form beschreiben, erklären und vorhersagen sowie den Gültigkeitsbereich und die Grenzen kritisch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Wasser mit Lewis- und räumlichem Modell erklären und deren Grenzen vergleichen.</w:t>
            </w:r>
            <w:r>
              <w:rPr>
                <w:b w:val="0"/>
                <w:color w:val="000000"/>
                <w:sz w:val="20"/>
              </w:rPr>
              <w:br/>
            </w:r>
            <w:hyperlink w:anchor="uv_09_3">
              <w:r>
                <w:t>09.3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Naturwissenschaftliches Denken und Arbeiten</w:t>
            </w:r>
            <w:r>
              <w:rPr>
                <w:b w:val="0"/>
                <w:color w:val="000000"/>
                <w:sz w:val="20"/>
              </w:rPr>
              <w:br/>
            </w:r>
            <w:r>
              <w:rPr>
                <w:b w:val="0"/>
                <w:color w:val="000000"/>
                <w:sz w:val="20"/>
              </w:rPr>
              <w:t>anhand von Beispielen die Entstehung, Bedeutung und Weiterentwicklung chemischer Erkenntnisse insbesondere von Regeln, Gesetzen und Modellen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Weiterentwicklung des Atommodells anhand experimenteller Befunde erklären.</w:t>
            </w:r>
            <w:r>
              <w:rPr>
                <w:b w:val="0"/>
                <w:color w:val="000000"/>
                <w:sz w:val="20"/>
              </w:rPr>
              <w:br/>
            </w:r>
            <w:hyperlink w:anchor="uv_08_3">
              <w:r>
                <w:t>08.3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Dokumentation</w:t>
            </w:r>
            <w:r>
              <w:rPr>
                <w:b w:val="0"/>
                <w:color w:val="000000"/>
                <w:sz w:val="20"/>
              </w:rPr>
              <w:br/>
            </w:r>
            <w:r>
              <w:rPr>
                <w:b w:val="0"/>
                <w:color w:val="000000"/>
                <w:sz w:val="20"/>
              </w:rPr>
              <w:t>Arbeitsprozesse und Ergebnisse in strukturierter Form mithilfe analoger und digitaler Medien nachvollziehbar dokumentieren und dabei Bildungs- und Fachsprache sowie fachtypische Darstellungsformen verwenden.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Messdaten zum Salzgehalt analog und digital mit Einheiten dokumentieren.</w:t>
            </w:r>
            <w:r>
              <w:rPr>
                <w:b w:val="0"/>
                <w:color w:val="000000"/>
                <w:sz w:val="20"/>
              </w:rPr>
              <w:br/>
            </w:r>
            <w:hyperlink w:anchor="uv_08_4">
              <w:r>
                <w:t>08.4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Informationsverarbeitung</w:t>
            </w:r>
            <w:r>
              <w:rPr>
                <w:b w:val="0"/>
                <w:color w:val="000000"/>
                <w:sz w:val="20"/>
              </w:rPr>
              <w:br/>
            </w:r>
            <w:r>
              <w:rPr>
                <w:b w:val="0"/>
                <w:color w:val="000000"/>
                <w:sz w:val="20"/>
              </w:rPr>
              <w:t>selbstständig Informationen und Daten aus analogen und digitalen Medienangeboten filtern, sie in Bezug auf ihre Relevanz, ihre Qualität, ihren Nutzen und ihre Intention analysieren, sie aufbereiten und deren Quellen korrekt belegen.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zu fossilen und regenerativen Energieträgern auf Relevanz, Qualität und Intention prüfen.</w:t>
            </w:r>
            <w:r>
              <w:rPr>
                <w:b w:val="0"/>
                <w:color w:val="000000"/>
                <w:sz w:val="20"/>
              </w:rPr>
              <w:br/>
            </w:r>
            <w:hyperlink w:anchor="uv_10_2">
              <w:r>
                <w:t>10.2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Präsentation</w:t>
            </w:r>
            <w:r>
              <w:rPr>
                <w:b w:val="0"/>
                <w:color w:val="000000"/>
                <w:sz w:val="20"/>
              </w:rPr>
              <w:br/>
            </w:r>
            <w:r>
              <w:rPr>
                <w:b w:val="0"/>
                <w:color w:val="000000"/>
                <w:sz w:val="20"/>
              </w:rP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Neutralisation auf Teilchenebene für die Lerngruppe digital präsentieren.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Argumentation</w:t>
            </w:r>
            <w:r>
              <w:rPr>
                <w:b w:val="0"/>
                <w:color w:val="000000"/>
                <w:sz w:val="20"/>
              </w:rPr>
              <w:br/>
            </w:r>
            <w:r>
              <w:rPr>
                <w:b w:val="0"/>
                <w:color w:val="000000"/>
                <w:sz w:val="20"/>
              </w:rPr>
              <w:t>auf der Grundlage chemischer Erkenntnisse und naturwissenschaftlicher Denkweisen faktenbasiert, rational und schlüssig argumentieren sowie zu Beiträgen anderer respektvolle, konstruktiv-kritische Rückmeldungen geben.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Produktvergleich faktenbasiert diskutieren und konstruktive Rückmeldung geben.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Fakten- und Situationsanalyse</w:t>
            </w:r>
            <w:r>
              <w:rPr>
                <w:b w:val="0"/>
                <w:color w:val="000000"/>
                <w:sz w:val="20"/>
              </w:rPr>
              <w:br/>
            </w:r>
            <w:r>
              <w:rPr>
                <w:b w:val="0"/>
                <w:color w:val="000000"/>
                <w:sz w:val="20"/>
              </w:rPr>
              <w:t>in einer Bewertungssituation relevante chemische und naturwissenschaftlich-technische Sachverhalte und Zusammenhänge identifizieren, fehlende Informationen beschaffen sowie ggf. gesellschaftliche Bezüge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Werbeaussage zu einem Reiniger prüfen und fehlende chemische Informationen beschaffen.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w:t>
            </w:r>
            <w:r>
              <w:rPr>
                <w:b w:val="0"/>
                <w:color w:val="000000"/>
                <w:sz w:val="20"/>
              </w:rPr>
              <w:br/>
            </w:r>
            <w:r>
              <w:rPr>
                <w:b w:val="0"/>
                <w:color w:val="000000"/>
                <w:sz w:val="20"/>
              </w:rPr>
              <w:t>Bewertungskriterien festlegen und Handlungsoptionen entwickeln.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 für die Industrierohstoffgewinnung entwickeln.</w:t>
            </w:r>
            <w:r>
              <w:rPr>
                <w:b w:val="0"/>
                <w:color w:val="000000"/>
                <w:sz w:val="20"/>
              </w:rPr>
              <w:br/>
            </w:r>
            <w:hyperlink w:anchor="uv_10_4">
              <w:r>
                <w:t>10.4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Abwägung und Entscheidung</w:t>
            </w:r>
            <w:r>
              <w:rPr>
                <w:b w:val="0"/>
                <w:color w:val="000000"/>
                <w:sz w:val="20"/>
              </w:rPr>
              <w:br/>
            </w:r>
            <w:r>
              <w:rPr>
                <w:b w:val="0"/>
                <w:color w:val="000000"/>
                <w:sz w:val="20"/>
              </w:rPr>
              <w:t>Handlungsoptionen durch Gewichten und Abwägen von Kriterien und nach Abschätzung der Folgen für die Natur, das Individuum und die Gesellschaft auswählen.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Produktalternativen gewichtet nach Umwelt-, Nutzungs- und gesellschaftlichen Folgen vergleichen.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Stellungnahme und Reflexion</w:t>
            </w:r>
            <w:r>
              <w:rPr>
                <w:b w:val="0"/>
                <w:color w:val="000000"/>
                <w:sz w:val="20"/>
              </w:rPr>
              <w:br/>
            </w:r>
            <w:r>
              <w:rPr>
                <w:b w:val="0"/>
                <w:color w:val="000000"/>
                <w:sz w:val="20"/>
              </w:rPr>
              <w:t>Bewertungen und Entscheidungen argumentativ vertreten und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für einen Energieträger argumentativ vertreten und nach Gegenargumenten überprüfen.</w:t>
            </w:r>
            <w:r>
              <w:rPr>
                <w:b w:val="0"/>
                <w:color w:val="000000"/>
                <w:sz w:val="20"/>
              </w:rPr>
              <w:br/>
            </w:r>
            <w:hyperlink w:anchor="uv_10_2">
              <w:r>
                <w:t>10.2</w:t>
              </w:r>
            </w:hyperlink>
          </w:p>
        </w:tc>
      </w:tr>
    </w:tbl>
    <w:p>
      <w:pPr>
        <w:spacing w:after="60"/>
      </w:pPr>
    </w:p>
    <w:p>
      <w:bookmarkStart w:id="7044" w:name="abschnitt-263"/>
      <w:pPr>
        <w:pStyle w:val="Heading2"/>
        <w:keepNext/>
        <w:spacing w:after="140"/>
      </w:pPr>
      <w:r>
        <w:t>10.3 Einführungsphase</w:t>
      </w:r>
      <w:bookmarkEnd w:id="7044"/>
    </w:p>
    <w:p>
      <w:pPr>
        <w:spacing w:after="140"/>
      </w:pPr>
      <w:r>
        <w:t>Die Schülerinnen und Schüler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Ordnungsprinzipien für Stoffe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Alkohole und ihre Oxidationsprodukte nach funktionellen Gruppen ordnen.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S2</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Voraussagen über die Eigenschaften der Stoffe auf Basis chemischer Strukturen und Gesetzmäßigkeiten an ausgewählten Beispielen begründet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Löslichkeit und Siedetemperatur aus Struktur und Wechselwirkungen vorhersagen.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S3</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Phänomene der Stoff- und Energieumwandlung bei chemischen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Energieprofile einer katalysierten und unkatalysierten Reaktion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S4</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an ausgewählten Beispielen Reaktionstypen.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Oxidationen der Alkanole als Redoxreaktionen bestimmen.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S5</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Stoffkreisläufe in Natur oder Technik als Abfolge chemischer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Kohlenstoffkreislauf als Folge chemischer Reaktionen darstellen.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S6</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begründet zwischen Stoff- und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Beobachtbare Stoffeigenschaft und Erklärung auf Teilchenebene trennen.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S7</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die Umkehrbarkeit chemischer Reaktionen, das dynamische Gleichgewicht und das Donator-Akzeptor-Prinzip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Dynamisches Gleichgewicht bei der Estersynthese und Umkehrbarkeit erläutern; das Donator-Akzeptor-Prinzip der Alkoholoxidation einbeziehen.</w:t>
            </w:r>
            <w:r>
              <w:rPr>
                <w:b w:val="0"/>
                <w:color w:val="000000"/>
                <w:sz w:val="20"/>
              </w:rPr>
              <w:br/>
            </w:r>
            <w:hyperlink w:anchor="uv_EF_03">
              <w:r>
                <w:t>EF.03</w:t>
              </w:r>
            </w:hyperlink>
            <w:r>
              <w:rPr>
                <w:b w:val="0"/>
                <w:color w:val="000000"/>
                <w:sz w:val="20"/>
              </w:rPr>
              <w:t xml:space="preserve">, </w:t>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S8</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an ausgewählten Beispielen Einflussfaktoren auf chemische Reaktionen und Möglichkeiten der Steuerung durch Variation von Reaktionsbedingungen sowie durch den Einsatz von Katalysatoren.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Einfluss von Konzentration, Oberfläche, Temperatur und Katalysator untersuchen.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S9</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unterschiedliche Reaktivitäten und Reaktionsverläufe.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Reaktionsverläufe mit der Stoßtheorie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S10</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chemische Konzepte zur Vernetzung von Sachverhalten innerhalb der Chemie sowie mit anderen Unterrichtsfächern.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Ethanolabbau mit biologischen Vorgängen verknüpfen.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S11</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an ausgewählten Beispielen die Vielfalt der Stoffe und ihrer Eigenschaften auf der Basis unterschiedlicher Kombinationen und Anordnungen von Teilchen.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Konstitutionsisomere und funktionelle Gruppen zur Erklärung der Stoffvielfalt nutzen.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S12</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an ausgewählten Beispielen Stoff- und Energieumwandlungen hinsichtlich der Veränderung von Teilchen sowie des Umbaus chemischer Bindungen.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Oxidation anhand von Teilchenänderung, Bindungen und Oxidationszahlen deuten.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S13</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vorgegebene Modelle zur chemischen Bindung und zu intra- und intermolekularen Wechselwirkungen.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EPA-Modell und Wechselwirkungsmodelle auf Alkohole anwenden.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S14</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ausgewählte Reaktionsabfolgen auch auf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Oxidationsreihe der Alkanole auf Teilchenebene darstellen.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S15</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den statischen Zustand auf Stoffebene vom dynamischen Zustand auf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Konstante Stoffmengen im dynamischen Gleichgewicht von fortlaufenden Teilchenreaktionen unterscheiden.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S16</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 ausgewählten Beispielen Reaktionsgleichungen.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Reaktionsgleichungen für die Oxidationsreihe entwickeln.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S17</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bekannte mathematische Verfahren angeleitet auf chemische Sachverhalte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Gleichgewichtslage aus vorgegebenen Stoffmengen mit dem Massenwirkungsgesetz berechnen.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ausgewählte chemische Sachverhalte aus Alltagssituationen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Entkalken als chemisch untersuchbare Alltagssituation erschließen.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und entwickeln Fragestellungen zu ausgewählten chemischen Sachverhalten.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Frage zum Einfluss der Temperatur auf die Entkalkung entwickeln.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überprüfbare Hypothesen zur Bearbeitung von Fragestellungen auf.</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überprüfbare Hypothese zum Konzentrationseinfluss aufstellen.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unter Berücksichtigung der Variablenkontrolle Experimente auch zur Prüfung von Hypothesen, Aussagen oder Theorien.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Messreihe mit kontrollierten Variablen planen.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qualitative und quantitative experimentelle Untersuchungen – den chemischen Arbeitsweisen und Sicherheitsregeln entsprechend – durch, protokollieren sie und werten diese unter Anleitung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Estersynthese sicher durchführen, protokollieren und angeleitet auswerten.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digitale Werkzeuge und Medien zum Aufnehmen, Darstellen und Auswerten von Messwerten, Modellierungen und Simulationen.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Messwerte digital auswerten und eine Teilchensimulation verwenden.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geeignete Real- oder Denkmodelle (z. B. Atommodelle, Periodensystem der Elemente, Formelschreibweise) an und nutzen sie, um chemische Fragestellungen zu bearbeiten.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EPA-Modell für Molekülgeometrie und Stoffeigenschaften nutzen.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E8</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finden in erhobenen Daten Strukturen, Beziehungen und Trends, erklären diese und ziehen Schlussfolgerungen.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Trends in Zeitreihen erkennen und mit der Stoßtheorie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E9</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an ausgewählten Beispielen Möglichkeiten und Grenzen von Modellen.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Möglichkeiten und Grenzen eines Gleichgewichtsmodells diskutieren.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E10</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die eigenen Ergebnisse und den eigenen Prozess der Erkenntnisgewinnung.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Messverfahren, eigene Ergebnisse und mögliche Störgrößen besprechen.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E11</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bei der Deutung von Untersuchungsbefunden fachübergreifende Bezüge her.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Befunde zum Ethanolabbau mit biologischen Kenntnissen verknüpfen.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Möglichkeiten und Grenzen des konkreten Erkenntnisgewinnungsprozesses sowie der gewonnenen Erkenntnisse an ausgewählten Beispielen.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Aussagegrenzen des Modellversuchs zur Meeresversauerung reflektieren.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angeleitet zu chemischen Sachverhalten in analogen und digitalen Medien und wählen für ihre Zwecke passende Quellen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Angeleitet Quellen zum Kohlenstoffkreislauf recherchieren.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relevante und aussagekräftige Informationen und Daten zu chemischen Sachverhalten und anwendungsbezogenen Fragestellungen aus und erschließen Informationen aus Quellen mit verschiedenen Darstellungsformen.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Relevante Angaben aus Text, Diagramm und Reaktionsschema auswählen.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Übereinstimmung verschiedener Quellen oder Darstellungsformen im Hinblick auf deren Aussagen.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Aussagen zweier Quellen zum selben Kohlenstoffdioxid-Datensatz vergleichen.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die Vertrauenswürdigkeit verwendeter Quellen und Medien (z. B. anhand ihrer Herkunft und Qualität).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Urheberschaft, Aktualität und fachliche Belege einer Quelle prüfen.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K5</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unterstützt chemische Sachverhalte und Informationen sach-, adressaten- und situationsgerecht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für einen verständlichen Blogbeitrag zu Aromastoffen auswählen.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K6</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zunehmend sicher zwischen Alltags- und Fachsprache.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Alltagsbegriff Alkohol und chemische Stoffklasse unterscheiden.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K7</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vorgegebene Darstellungsformen für chemische Sachverhalte und überführen diese ineinander.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Messwerttabelle in ein Diagramm und dessen Verlauf in einen Erklärungstext übertragen.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K8</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strukturieren ausgewählte Informationen und leiten Schlussfolgerungen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zu Konservierungsstoffen ordnen und Schlussfolgerungen formulieren.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K9</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verwenden Fachbegriffe und -sprache zunehmend korrekt.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Reaktionsgeschwindigkeit mit korrekten Begriffen und Einheiten erläutern.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K10</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ausgewählte chemische Sachverhalte und argumentieren fachlich schlüssig.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Das dynamische Gleichgewicht mit fachlich schlüssigen Argumenten erklären.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präsentieren chemische Sachverhalte sowie Lern- und Arbeitsergebnisse unter Einsatz geeigneter analoger und digitaler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digitale Simulation zur Stoßtheorie erläutern.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berücksichtigen die Urheberschaft, belegen verwendete Quellen und kennzeichnen Zitate.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angeben und Zitate in der Klimadarstellung kennzeichnen.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tauschen sich mit anderen über chemische Sachverhalte auch in digitalen kollaborativen Arbeitssituationen aus und reflektieren den eigenen Standpunkt.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Informationstext digital gemeinsam überarbeiten und eigene Positionen nach Rückmeldung reflektieren.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betrachten Aussagen und Verfahren aus unterschiedlichen Perspektiven und beurteilen diese sachgerecht auf der Grundlage chemischer Kenntnisse.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Lösemittelverwendung aus Sicht von Anwendung und Entsorgung beurteilen.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nach vorgegebenen Kriterien die Inhalte verwendeter Quellen und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nach vorgegebenen fachlichen Kriterien beurteilen.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Daten hinsichtlich ihrer Angemessenheit und Grenzen.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Reichweite von Daten zur industriellen Gleichgewichtssteuerung beurteilen.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die Auswahl von Quellen und Darstellungsformen im Zusammenhang mit der Intention der Autorin/des Autors.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von Diagrammen mit der Intention ihrer Urheber in Beziehung setzen.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B5</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anhand relevanter Bewertungskriterien Handlungsoptionen in gesellschaftlich- oder alltagsrelevanten Entscheidungssituationen mit fachlichem Bezug.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den Konsum aromatisierter und konservierter Produkte entwickeln.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B6</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Chancen und Risiken ausgewählter Produkte und Verhaltensweisen fachlich und bewerten diese.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Chancen und Risiken der Ethanolverwendung fachlich bewerten.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B7</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treffen mithilfe festgelegter fachlicher Kriterien begründete Entscheidungen in Alltagssituationen.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zum Lösemittelgebrauch mit fachlichen Kriterien begründen.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B8</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fachlicher Kompetenzen in Bezug auf Alltagsituationen.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chemischer Kenntnisse für die sichere Produktverwendung erläutern.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B9</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chemischer Sichtweisen.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Produktbewertung von Geschmack, Kosten und persönlichen Präferenzen abgrenzen.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B10</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gesellschaftlichen und ökologischen Nutzen der angewandten Chemie.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Gesellschaftlichen und ökologischen Nutzen der Ammoniaksynthese beurteilen.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B11</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grundlegende Aspekte zu Gefahren und Sicherheit in Labor und Alltag.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Gefahren und Schutzmaßnahmen beim Umgang mit Alkoholen und Lösemitteln begründen.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Verfahren und Erkenntnisse in aktuellen gesellschaftlichen Zusammenhängen.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Eingriffe in den Kohlenstoffkreislauf im gesellschaftlichen Zusammenhang bewerten.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des eigenen Handelns im Sinne einer nachhaltigen Entwicklung aus ökologischer und ökonomischer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Folgen eigener Mobilitätsentscheidungen ökologisch und ökonomisch abwägen.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Kriterien für Entscheidungen aus chemischer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Kriterien für eine Entscheidung zur Verwendung und Entsorgung eines Lösemittels identifizieren.</w:t>
            </w:r>
            <w:r>
              <w:rPr>
                <w:b w:val="0"/>
                <w:color w:val="000000"/>
                <w:sz w:val="20"/>
              </w:rPr>
              <w:br/>
            </w:r>
            <w:hyperlink w:anchor="uv_EF_01">
              <w:r>
                <w:t>EF.01</w:t>
              </w:r>
            </w:hyperlink>
          </w:p>
        </w:tc>
      </w:tr>
    </w:tbl>
    <w:p>
      <w:pPr>
        <w:spacing w:after="60"/>
      </w:pPr>
    </w:p>
    <w:p>
      <w:bookmarkStart w:id="7045" w:name="abschnitt-264"/>
      <w:pPr>
        <w:pStyle w:val="Heading2"/>
        <w:keepNext/>
        <w:spacing w:after="140"/>
      </w:pPr>
      <w:r>
        <w:t>10.4 Qualifikationsphase in Grundkurs und Leistungskurs</w:t>
      </w:r>
      <w:bookmarkEnd w:id="7045"/>
    </w:p>
    <w:p>
      <w:pPr>
        <w:spacing w:after="140"/>
      </w:pPr>
      <w:r>
        <w:t>Die Schülerinnen und Schüler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und begründen Ordnungsprinzipien für Stoffe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Alltagsstoffe nach dem Brønsted-Konzept einordnen und die Ordnung begründen.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S2</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Voraussagen über die Eigenschaften der Stoffe auf Basis chemischer Strukturen und Gesetzmäßigkeiten begründet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Werkstoffeigenschaften aus Struktur und Wechselwirkungen vorhersagen.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S3</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Phänomene der Stoff- und Energieumwandlung bei chemischen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 einer Brennstoffzelle interpretieren.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S4</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Reaktionstypen.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Reaktionstypen in organischen Synthesewegen bestimmen.</w:t>
            </w:r>
            <w:r>
              <w:rPr>
                <w:b w:val="0"/>
                <w:color w:val="000000"/>
                <w:sz w:val="20"/>
              </w:rPr>
              <w:br/>
            </w:r>
            <w:hyperlink w:anchor="uv_GK_05">
              <w:r>
                <w:t>GK.05</w:t>
              </w:r>
            </w:hyperlink>
            <w:r>
              <w:rPr>
                <w:b w:val="0"/>
                <w:color w:val="000000"/>
                <w:sz w:val="20"/>
              </w:rPr>
              <w:t xml:space="preserve">, </w:t>
            </w:r>
            <w:hyperlink w:anchor="uv_LK_05">
              <w:r>
                <w:t>LK.05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S5</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Stoffkreisläufe in Natur oder Technik als Systeme chemischer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Rohstoffgewinnung, Synthese und Verwertung als chemisches Reaktionssystem beschreiben.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S6</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konsequent zwischen Stoff- und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pH-Beobachtung und Protolysemodell konsequent unterscheiden.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S7</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Umkehrbarkeit chemischer Reaktionen, das dynamische Gleichgewicht und das Donator-Akzeptor-Prinzip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Umkehrbarkeit und Gleichgewicht von Protolysen mit dem Donator-Akzeptor-Prinzip erklären.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S8</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Einflussfaktoren auf chemische Reaktionen und Möglichkeiten der Steuerung durch Variation von Reaktionsbedingungen sowie durch den Einsatz von Katalysatoren.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Ausbeute einer Estersynthese durch Reaktionsbedingungen und Katalyse beeinflussen.</w:t>
            </w:r>
            <w:r>
              <w:rPr>
                <w:b w:val="0"/>
                <w:color w:val="000000"/>
                <w:sz w:val="20"/>
              </w:rPr>
              <w:br/>
            </w:r>
            <w:hyperlink w:anchor="uv_GK_05">
              <w:r>
                <w:t>GK.05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S9</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unterschiedliche Reaktivitäten und Reaktionsverläufe.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organische Reaktionsverläufe begründet erklären.</w:t>
            </w:r>
            <w:r>
              <w:rPr>
                <w:b w:val="0"/>
                <w:color w:val="000000"/>
                <w:sz w:val="20"/>
              </w:rPr>
              <w:br/>
            </w:r>
            <w:hyperlink w:anchor="uv_GK_05">
              <w:r>
                <w:t>GK.05</w:t>
              </w:r>
            </w:hyperlink>
            <w:r>
              <w:rPr>
                <w:b w:val="0"/>
                <w:color w:val="000000"/>
                <w:sz w:val="20"/>
              </w:rPr>
              <w:t xml:space="preserve">, </w:t>
            </w:r>
            <w:hyperlink w:anchor="uv_LK_05">
              <w:r>
                <w:t>LK.05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S10</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chemische Konzepte und Theorien zur Vernetzung von Sachverhalten innerhalb der Chemie sowie mit anderen Unterrichtsfächern.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Energetik mit physikalischer Arbeit und Energieerhaltung vernetzen.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S11</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Vielfalt der Stoffe und ihrer Eigenschaften auf der Basis unterschiedlicher Kombinationen und Anordnungen von Teilchen.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Kunststoffvielfalt aus Kettenaufbau und Vernetzung erklären.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S12</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Stoff- und Energieumwandlungen hinsichtlich der Veränderung von Teilchen sowie des Umbaus chemischer Bindungen.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Energieumwandlungen beim Laden und Entladen auf Teilchenebene deuten.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S13</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Modelle zur chemischen Bindung und zu intra- und intermolekularen Wechselwirkungen.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Fetteigenschaften mit Modellen intra- und intermolekularer Wechselwirkungen erklären.</w:t>
            </w:r>
            <w:r>
              <w:rPr>
                <w:b w:val="0"/>
                <w:color w:val="000000"/>
                <w:sz w:val="20"/>
              </w:rPr>
              <w:br/>
            </w:r>
            <w:hyperlink w:anchor="uv_GK_05">
              <w:r>
                <w:t>GK.05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S14</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ausgewählte Reaktionsmechanismen.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organische Reaktionsmechanismen schrittweise darstellen.</w:t>
            </w:r>
            <w:r>
              <w:rPr>
                <w:b w:val="0"/>
                <w:color w:val="000000"/>
                <w:sz w:val="20"/>
              </w:rPr>
              <w:br/>
            </w:r>
            <w:hyperlink w:anchor="uv_GK_05">
              <w:r>
                <w:t>GK.05</w:t>
              </w:r>
            </w:hyperlink>
            <w:r>
              <w:rPr>
                <w:b w:val="0"/>
                <w:color w:val="000000"/>
                <w:sz w:val="20"/>
              </w:rPr>
              <w:t xml:space="preserve">, </w:t>
            </w:r>
            <w:hyperlink w:anchor="uv_LK_05">
              <w:r>
                <w:t>LK.05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S15</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grenzen mithilfe von Modellen den statischen Zustand auf Stoffebene vom dynamischen Zustand auf Teilchenebene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dynamischen Vorgänge an einer Elektrode vom makroskopischen Gleichgewicht unterscheiden.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S16</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Reaktionsgleichungen.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Teilchenmodellen ausgeglichene Protolysegleichungen entwickeln.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S17</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bekannte mathematische Verfahren auf chemische Sachverhalte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Zellspannungen berechnen; im LK Konzentrationseinflüsse einbeziehen.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chemische Sachverhalte aus Alltagssituationen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einer Korrosionserscheinung eine chemische Problemstellung ableiten.</w:t>
            </w:r>
            <w:r>
              <w:rPr>
                <w:b w:val="0"/>
                <w:color w:val="000000"/>
                <w:sz w:val="20"/>
              </w:rPr>
              <w:br/>
            </w:r>
            <w:hyperlink w:anchor="uv_GK_04">
              <w:r>
                <w:t>GK.04</w:t>
              </w:r>
            </w:hyperlink>
            <w:r>
              <w:rPr>
                <w:b w:val="0"/>
                <w:color w:val="000000"/>
                <w:sz w:val="20"/>
              </w:rPr>
              <w:t xml:space="preserve">, </w:t>
            </w:r>
            <w:hyperlink w:anchor="uv_LK_04">
              <w:r>
                <w:t>LK.04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und entwickeln Fragestellungen zu chemischen Sachverhalten.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Untersuchungsfrage zur Konzentration eines Alltagsprodukts entwickeln.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theoriegeleitet Hypothesen zur Bearbeitung von Fragestellungen auf.</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Reaktionshypothesen aus der Spannungsreihe ableiten und prüfen.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unter Berücksichtigung der Variablenkontrolle, experiment- oder modellbasierte Vorgehensweisen, auch zur Prüfung von Hypothesen, Aussagen oder Theorien.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Eigenschaftsuntersuchungen mit kontrollierten Variablen planen.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qualitative und quantitative experimentelle Untersuchungen – den chemischen Arbeitsweisen und Sicherheitsregeln entsprechend – durch, protokollieren sie und werten diese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Quantitative Analyse sicher durchführen, protokollieren und auswerten.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digitale Werkzeuge und Medien zum Aufnehmen, Darstellen und Auswerten von Messwerten, für Berechnungen, Modellierungen und Simulationen.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Elektrochemische Messwerte digital aufnehmen, darstellen und für Berechnungen nutzen.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geeignete Real- oder Denkmodelle (z. B. Atommodelle, Periodensystem der Elemente, Formelschreibweise) aus und nutzen sie, um chemische Fragestellungen zu bearbeiten.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passendes Modell zur Erklärung eines Funktionspolymers auswählen.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E8</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finden in erhobenen oder recherchierten Daten Strukturen, Beziehungen und Trends, erklären diese theoriebezogen und ziehen Schlussfolgerungen.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Beziehungen in Zellspannungsdaten erkennen und theoriebezogen erklären.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E9</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von Modellen.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Aussagegrenzen eines Reaktionsmechanismusmodells diskutieren.</w:t>
            </w:r>
            <w:r>
              <w:rPr>
                <w:b w:val="0"/>
                <w:color w:val="000000"/>
                <w:sz w:val="20"/>
              </w:rPr>
              <w:br/>
            </w:r>
            <w:hyperlink w:anchor="uv_GK_05">
              <w:r>
                <w:t>GK.05</w:t>
              </w:r>
            </w:hyperlink>
            <w:r>
              <w:rPr>
                <w:b w:val="0"/>
                <w:color w:val="000000"/>
                <w:sz w:val="20"/>
              </w:rPr>
              <w:t xml:space="preserve">, </w:t>
            </w:r>
            <w:hyperlink w:anchor="uv_LK_05">
              <w:r>
                <w:t>LK.05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E10</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die eigenen Ergebnisse und den eigenen Prozess der Erkenntnisgewinnung.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eigenen Analyseweg und die Messunsicherheit kritisch reflektieren.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E11</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bei der Interpretation von Untersuchungsbefunden fachübergreifende Bezüge her.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Untersuchungsbefunde zu Fetten mit biologischen und ernährungsbezogenen Fragestellungen verbinden.</w:t>
            </w:r>
            <w:r>
              <w:rPr>
                <w:b w:val="0"/>
                <w:color w:val="000000"/>
                <w:sz w:val="20"/>
              </w:rPr>
              <w:br/>
            </w:r>
            <w:hyperlink w:anchor="uv_GK_05">
              <w:r>
                <w:t>GK.05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E12</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Möglichkeiten und Grenzen des konkreten Erkenntnisgewinnungsprozesses sowie der gewonnenen Erkenntnisse (z. B. Reproduzierbarkeit, Falsifizierbarkeit, Intersubjektivität, logische Konsistenz, Vorläufigkeit).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Reproduzierbarkeit, Modellannahmen und Grenzen einer Energiebilanz beurteilen.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zu chemischen Sachverhalten zielgerichtet in analogen und digitalen Medien und wählen für ihre Zwecke passende Quellen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Lebensweg eines Kunststoffprodukts zielgerichtet recherchieren.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relevante und aussagekräftige Informationen und Daten zu chemischen Sachverhalten und anwendungsbezogenen Fragestellungen aus und erschließen Informationen aus Quellen mit verschiedenen, auch komplexen Darstellungsformen.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Thermodynamische Daten aus Tabellen, Diagrammen und Texten erschließen.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Übereinstimmung verschiedener Quellen oder Darstellungsformen im Hinblick auf deren Aussagen.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Wirkungsgradangaben verschiedener Quellen anhand ihrer Systemgrenzen vergleichen.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die Vertrauenswürdigkeit verwendeter Quellen und Medien (z. B. anhand ihrer Herkunft und Qualität).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Vertrauenswürdigkeit und Herkunft von Quellen zu Produktnutzen und Risiken prüfen.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K5</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chemische Sachverhalte und Informationen sach-, adressaten- und situationsgerecht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Produktpräsentation auf die Zielgruppe zuschneiden.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K6</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zwischen Alltags- und Fachsprache.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Alltagsbezeichnung sauer und chemische Beschreibung der Protolyse unterscheiden.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K7</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geeignete Darstellungsformen für chemische Sachverhalte und überführen diese ineinander.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Reaktionsgleichung, Messwerttabelle, Diagramm und Erklärung ineinander überführen.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K8</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strukturieren und interpretieren ausgewählte Informationen und leiten Schlussfolgerungen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Daten zu Lösungsvorgängen strukturieren und Schlussfolgerungen ableiten.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K9</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verwenden Fachbegriffe und -sprache korrekt.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Aufbau und Funktion eines Akkumulators fachsprachlich korrekt darstellen.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K10</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chemische Sachverhalte und argumentieren fachlich schlüssig.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Das gewählte Analyseverfahren fachlich schlüssig begründen.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K11</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präsentieren chemische Sachverhalte sowie Lern- und Arbeitsergebnisse sach-, adressaten- und situationsgerecht unter Einsatz geeigneter analoger und digitaler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Reaktionsmechanismen mit geeigneten digitalen Darstellungen präsentieren.</w:t>
            </w:r>
            <w:r>
              <w:rPr>
                <w:b w:val="0"/>
                <w:color w:val="000000"/>
                <w:sz w:val="20"/>
              </w:rPr>
              <w:br/>
            </w:r>
            <w:hyperlink w:anchor="uv_GK_05">
              <w:r>
                <w:t>GK.05</w:t>
              </w:r>
            </w:hyperlink>
            <w:r>
              <w:rPr>
                <w:b w:val="0"/>
                <w:color w:val="000000"/>
                <w:sz w:val="20"/>
              </w:rPr>
              <w:t xml:space="preserve">, </w:t>
            </w:r>
            <w:hyperlink w:anchor="uv_LK_05">
              <w:r>
                <w:t>LK.05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K12</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Urheberschaft, belegen verwendete Quellen und kennzeichnen Zitate.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Urheberschaft prüfen, Quellen belegen und Zitate im Energievergleich kennzeichnen.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K13</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tauschen sich mit anderen konstruktiv über chemische Sachverhalte auch in digitalen kollaborativen Arbeitssituationen aus und vertreten, reflektieren und korrigieren gegebenenfalls den eigenen Standpunkt.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Werkstoffbewertung digital kollaborativ erarbeiten, Rückmeldungen prüfen und die Position gegebenenfalls korrigieren.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betrachten Aussagen, Modelle und Verfahren aus unterschiedlichen Perspektiven und beurteilen diese sachgerecht auf der Grundlage chemischer Kenntnisse.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Produktnutzen und Risiken aus verschiedenen Perspektiven beurteilen.</w:t>
            </w:r>
            <w:r>
              <w:rPr>
                <w:b w:val="0"/>
                <w:color w:val="000000"/>
                <w:sz w:val="20"/>
              </w:rPr>
              <w:br/>
            </w:r>
            <w:hyperlink w:anchor="uv_GK_05">
              <w:r>
                <w:t>GK.05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Inhalte verwendeter Quellen und Medien (z. B. anhand der fachlichen Richtigkeit und Vertrauenswürdigkeit).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Fachliche Richtigkeit und Vertrauenswürdigkeit recherchierter Produktdaten beurteilen.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Informationen und Daten hinsichtlich ihrer Angemessenheit, Grenzen und Tragweite.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Tragweite und Grenzen einer Produktanalyse bewerten.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analysieren und beurteilen die Auswahl von Quellen und Darstellungsformen im Zusammenhang mit der Intention der Autorin/des Autors.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und Darstellungswahl auf Interessen der Urheber prüfen.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B5</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anhand relevanter Bewertungskriterien Handlungsoptionen in gesellschaftlich- oder alltagsrelevanten Entscheidungssituationen mit fachlichem Bezug und wägen sie gegeneinander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Handlungsoptionen für eine Werkstoffwahl nach gewichteten Kriterien abwägen.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B6</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Chancen und Risiken ausgewählter Technologien, Produkte und Verhaltensweisen fachlich und bewerten diese.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Chancen und Risiken von Kunststoffverwertungsverfahren fachlich bewerten.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B7</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treffen mithilfe fachlicher Kriterien begründete Entscheidungen in Alltagssituationen.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Ernährungsentscheidung aus chemischen Kriterien zu Fetten begründen.</w:t>
            </w:r>
            <w:r>
              <w:rPr>
                <w:b w:val="0"/>
                <w:color w:val="000000"/>
                <w:sz w:val="20"/>
              </w:rPr>
              <w:br/>
            </w:r>
            <w:hyperlink w:anchor="uv_GK_05">
              <w:r>
                <w:t>GK.05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B8</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fachlicher Kompetenzen in Bezug auf Alltagsituationen und Berufsfelder.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analytischer Kompetenzen für Alltag und Berufsfelder der Qualitätskontrolle erläutern.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B9</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Möglichkeiten und Grenzen chemischer Sichtweisen.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Grenzen rein chemischer Bewertung bei sozialen und wirtschaftlichen Produktfragen aufzeigen.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B10</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gesellschaftliche Relevanz und ökologische Bedeutung der angewandten Chemie.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Gesellschaftliche Relevanz und ökologische Bedeutung elektrochemischer Verfahren bewerten.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B11</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grundlegende Aspekte zu Gefahren und Sicherheit in Labor und Alltag und leiten daraus begründet Handlungsoptionen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Sichere Handlungsoptionen bei der Anwendung eines Reinigers ableiten.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B12</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chemischer Produkte, Methoden, Verfahren und Erkenntnisse in historischen und aktuellen gesellschaftlichen Zusammenhängen.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Folgen von Korrosionsschutz in historischen und aktuellen technischen Anwendungen beurteilen.</w:t>
            </w:r>
            <w:r>
              <w:rPr>
                <w:b w:val="0"/>
                <w:color w:val="000000"/>
                <w:sz w:val="20"/>
              </w:rPr>
              <w:br/>
            </w:r>
            <w:hyperlink w:anchor="uv_GK_04">
              <w:r>
                <w:t>GK.04</w:t>
              </w:r>
            </w:hyperlink>
            <w:r>
              <w:rPr>
                <w:b w:val="0"/>
                <w:color w:val="000000"/>
                <w:sz w:val="20"/>
              </w:rPr>
              <w:t xml:space="preserve">, </w:t>
            </w:r>
            <w:hyperlink w:anchor="uv_LK_04">
              <w:r>
                <w:t>LK.04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B13</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chemischer Produkte, Methoden, Verfahren und Erkenntnisse sowie des eigenen Handelns im Sinne einer nachhaltigen Entwicklung aus ökologischer, ökonomischer und sozialer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Werkstoffwahl und eigenes Konsumverhalten ökologisch, ökonomisch und sozial bewerten.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B14</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Kriterien und Strategien für Entscheidungen aus chemischer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Gewichtung von Kriterien der Werkstoffentscheidung reflektieren.</w:t>
            </w:r>
            <w:r>
              <w:rPr>
                <w:b w:val="0"/>
                <w:color w:val="000000"/>
                <w:sz w:val="20"/>
              </w:rPr>
              <w:br/>
            </w:r>
            <w:hyperlink w:anchor="uv_GK_06">
              <w:r>
                <w:t>GK.06</w:t>
              </w:r>
            </w:hyperlink>
            <w:r>
              <w:rPr>
                <w:b w:val="0"/>
                <w:color w:val="000000"/>
                <w:sz w:val="20"/>
              </w:rPr>
              <w:t xml:space="preserve">, </w:t>
            </w:r>
            <w:hyperlink w:anchor="uv_LK_07">
              <w:r>
                <w:t>LK.07</w:t>
              </w:r>
            </w:hyperlink>
          </w:p>
        </w:tc>
      </w:tr>
    </w:tbl>
    <w:p>
      <w:pPr>
        <w:spacing w:after="60"/>
      </w:pPr>
    </w:p>
    <w:p>
      <w:bookmarkStart w:id="7046" w:name="register"/>
      <w:pPr>
        <w:pStyle w:val="Heading1"/>
        <w:keepNext/>
        <w:pageBreakBefore/>
        <w:spacing w:after="140"/>
      </w:pPr>
      <w:r>
        <w:t>11 Register der konkretisierten Kompetenzen</w:t>
      </w:r>
      <w:bookmarkEnd w:id="7046"/>
    </w:p>
    <w:p>
      <w:pPr>
        <w:spacing w:after="140"/>
      </w:pPr>
      <w:r>
        <w:t>Jede Zeile steht für eine konkretisierte Kompetenzerwartung. Ihr vollständiger Wortlaut befindet sich in den angegebenen Unterrichtsvorhaben. Die Kurzbezeichnung dient dem Auffinden; die Seitenangabe verweist auf den jeweiligen Kernlehrplan.</w:t>
      </w:r>
    </w:p>
    <w:p>
      <w:bookmarkStart w:id="7047" w:name="abschnitt-266"/>
      <w:pPr>
        <w:pStyle w:val="Heading2"/>
        <w:keepNext/>
        <w:spacing w:after="140"/>
      </w:pPr>
      <w:r>
        <w:t>11.1 Sekundarstufe I erste Stufe</w:t>
      </w:r>
      <w:bookmarkEnd w:id="7047"/>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Reinstoffe aufgrund charakteristischer Eigenschaften (Schmelztemperatur/Siedetemperatur, Dichte, Löslichkeit) identifizieren (UF1,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Stoffe aufgrund ihrer Eigenschaften klassifizieren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geeignete messbare Stoffeigenschaft experimentell ermitteln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zur Trennung eines Stoffgemisches in Reinstoffe (Filtration, Destillation) unter Nutzung relevanter Stoffeigenschaften planen und sachgerecht durchführen (E1, E2, E3, E4,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Aggregatzustände und deren Änderungen auf der Grundlage eines einfachen Teilchenmodells erklären (E6,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Verwendung ausgewählter Stoffe im Alltag mithilfe ihrer Eigenschaften begründen (B1,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an der Bildung von neuen Stoffen mit anderen Eigenschaften und in Abgrenzung zu physikalischen Vorgängen identifizieren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in Form von Reaktionsschemata in Worten darstellen (UF1,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ausgewählten chemischen Reaktionen die Energieumwandlung der in den Stoffen gespeicherten Energie (chemische Energie) in andere Energieformen begründet angeben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ausgewählten chemischen Reaktionen die Bedeutung der Aktivierungsenergie zum Auslösen einer Reaktion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einfache chemische Reaktionen sachgerecht durchführen und auswerten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anhand von Stoff- und Energieumwandlungen auch im Alltag identifizieren (E2,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chemischer Reaktionen in der Lebenswelt begründen (B1,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anhand von Beispielen Reinstoffe in chemische Elemente und Verbindungen einteilen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wichtigsten Bestandteile des Gasgemisches Luft, ihre Eigenschaften und Anteile nennen (UF1,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Verbrennung als eine chemische Reaktion mit Sauerstoff identifizieren und als Oxidbildung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Analyse und Synthese von Wasser als Beispiel für die Umkehrbarkeit chemischer Reaktionen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mit einem einfachen Atommodell Massenänderungen bei chemischen Reaktionen mit Sauerstoff erklären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Nachweisreaktionen von Gasen (Sauerstoff, Wasserstoff, Kohlenstoffdioxid) und Wasser durchführen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Verbleib von Verbrennungsprodukten (Kohlenstoffdioxid, Wasser) mit dem Gesetz von der Erhaltung der Masse begründen (E3, E6, E7,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 vorgegebenen Situationen Handlungsmöglichkeiten zum Umgang mit brennbaren Stoffen zur Brandvorsorge sowie mit offenem Feuer zur Brandbekämpfung bewerten und sich begründet für eine Handlung entscheiden (B2, B3,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und Nachteile einer ressourcenschonenden Energieversorgung auf Grundlage der Umkehrbarkeit chemischer Reaktionen am Beispiel von Wasser beschreiben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bei denen Sauerstoff abgegeben wird, als Zerlegung von Oxiden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Metalle aufgrund ihrer Reaktionsfähigkeit mit Sauerstoff als edle und unedle Metalle ordnen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zur Zerlegung von ausgewählten Metalloxiden hypothesengeleitet planen und geeignete Reaktionspartner auswählen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Sauerstoffübertragungsreaktionen im Sinne des Donator-Akzeptor-Konzeptes modellhaft erklären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Verfahren zur Herstellung von Metallen erläutern und ihre Bedeutung für die gesellschaftliche Entwicklung beschreiben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des Metallrecyclings im Zusammenhang mit Ressourcenschonung und Energieeinsparung beschreiben und auf dieser Basis das eigene Konsum- und Entsorgungsverhalten bewerten (B1,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Maßnahmen zum Löschen von Metallbränden auf der Grundlage der Sauerstoffübertragungsreaktion begründet auswählen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bl>
    <w:p>
      <w:pPr>
        <w:spacing w:after="60"/>
      </w:pPr>
    </w:p>
    <w:p>
      <w:bookmarkStart w:id="7048" w:name="abschnitt-267"/>
      <w:pPr>
        <w:pStyle w:val="Heading2"/>
        <w:keepNext/>
        <w:spacing w:after="140"/>
      </w:pPr>
      <w:r>
        <w:t>11.2 Sekundarstufe I zweite Stufe</w:t>
      </w:r>
      <w:bookmarkEnd w:id="7048"/>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Vorkommen und Nutzen ausgewählter chemischer Elemente und ihrer Verbindungen in Alltag und Umwelt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Elemente anhand ihrer charakteristischen physikalischen und chemischen Eigenschaften den Elementfamilien zuordnen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dem Periodensystem der Elemente wesentliche Informationen zum Atombau der Hauptgruppenelemente (Elektronenkonfiguration, Atommasse) herleiten (UF3, UF4,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r>
              <w:rPr>
                <w:b w:val="0"/>
                <w:color w:val="000000"/>
                <w:sz w:val="20"/>
              </w:rPr>
              <w:t xml:space="preserve">, </w:t>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physikalische und chemische Eigenschaften von Alkalimetallen, Halogenen und Edelgasen mithilfe ihrer Stellung im Periodensystem begründet vorhersagen (E3),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Entwicklung eines differenzierten Kern-Hülle-Modells auf der Grundlage von Experimenten, Beobachtungen und Schlussfolgerungen beschreiben (E2, E6,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Aussagekraft verschiedener Kern-Hülle-Modelle beschreiben (E6,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dem Hintergrund der begrenzten Verfügbarkeit eines chemischen Elements bzw. seiner Verbindungen Handlungsoptionen für ein ressourcenschonendes Konsumverhalten entwickeln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Eigenschaften von Salzen mit ihrem Aufbau aus Ionen und der Ionenbindung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einem Beispiel die Salzbildung unter Einbezug energetischer Betrachtungen auch mit Angabe einer Reaktionsgleichung in Ionenschreibweise erläutern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Gehalt von Salzen in einer Lösung durch Eindampfen ermitteln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einem Beispiel das Gesetz der konstanten Massenverhältnisse erklären und eine chemische Verhältnisformel herleiten (E6, E7,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 Umwelt- und Gesundheitsaspekten die Verwendung von Salzen im Alltag reflektieren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Abgabe von Elektronen als Oxidation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Aufnahme von Elektronen als Reduktion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Reaktionen zwischen Metallatomen und Metallionen als Elektronenübertragungsreaktionen deuten und diese auch mithilfe digitaler Animationen und Teilgleichungen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chemischen Prozesse eines galvanischen Elements und einer Elektrolyse unter dem Aspekt der Umwandlung in Stoffen gespeicherter Energie in elektrische Energie und umgekehrt erläutern (UF2,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grundlegenden Aufbau und die Funktionsweise einer Batterie, eines Akkumulators und einer Brennstoffzelle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planen, die eine Einordnung von Metallionen hinsichtlich ihrer Fähigkeit zur Elektronenaufnahme erlauben und diese sachgerecht durchführen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Elektronenübertragungsreaktionen im Sinne des Donator-Akzeptor-Prinzips modellhaft erklären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den Gebrauch unterschiedlicher elektrochemischer Energiequellen im Alltag reflektieren (B2, B3,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ausgewählten Beispielen die Elektronenpaarbindung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mithilfe der Lewis-Schreibweise den Aufbau einfacher Moleküle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Synthese eines Industrierohstoffs aus Synthesegas (z.B. Methan oder Ammoniak) auch mit Angabe von Reaktionsgleichungen erläutern (UF1,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räumliche Struktur von Molekülen mit dem Elektronenpaarabstoßungsmodell veranschaulichen (E6,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Temperaturänderung beim Lösen von Salzen in Wasser erläutern (E1, E2,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typische Eigenschaften von Wasser mithilfe des Dipol-Charakters der Wassermoleküle und der Ausbildung von Wasserstoffbrücken zwischen den Molekülen erläutern (E2,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Wirkungsweise eines Katalysators modellhaft an der Synthese eines Industrierohstoffs erläutern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für ein technisches Verfahren zur Industrierohstoffgewinnung aus Gasen mithilfe digitaler Medien beschaffen und Bewertungskriterien auch unter Berücksichtigung der Energiespeicherung festlegen (B2,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Darstellungen von Modellen kleiner Moleküle auch mithilfe einer Software vergleichend gegenüberstellen (B1, K1,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Eigenschaften von sauren und alkalischen Lösungen mit dem Vorhandensein charakteristischer hydratisierter Ionen erklären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Protonendonatoren als Säuren und Protonenakzeptoren als Basen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einfachen Beispielen die Vorgänge der Protonenabgabe und -aufnahme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Neutralisationsreaktionen und Salzbildungen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charakteristische Eigenschaften von sauren Lösungen (elektrische Leitfähigkeit, Reaktionen mit Metallen, Reaktionen mit Kalk) und alkalischen Lösungen ermitteln und auch unter Angabe von Reaktionsgleichungen erläutern (E4,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pH-Wert einer Lösung bestimmen und die pH-Wertskala mithilfe von Verdünnungen ableiten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ausgehend von einfachen stöchiometrischen Berechnungen Hypothesen und Reaktionsgleichungen zur Neutralisation von sauren bzw. alkalischen Lösungen aufstellen und experimentell überprüfen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ausgewählte Neutralisationsreaktion auf Teilchenebene als digitale Präsentation gestalten (E6,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beim Umgang mit sauren und alkalischen Lösungen Risiken und Nutzen abwägen und angemessene Sicherheitsmaßnahmen begründet auswählen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Aussagen zu sauren, alkalischen und neutralen Lösungen in analogen und digitalen Medien kritisch hinterfragen (B1,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organische Molekülverbindungen aufgrund ihrer Eigenschaften in Stoffklassen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organische Verbindungen nach der systematischen Nomenklatur benennen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Treibhausgase und ihre Ursprünge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Abfolge verschiedener Reaktionen in einem Stoffkreislauf erklären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vielseitige Verwendung von Kunststoffen im Alltag mit ihren Eigenschaften begründen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räumliche Strukturen von Kohlenwasserstoffmolekülen auch mithilfe von digitalen Modellen veranschaulichen (E6,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typische Stoffeigenschaften wie Löslichkeit und Siedetemperatur von ausgewählten Alkanen und Alkanolen ermitteln und mithilfe ihrer Molekülstrukturen und zwischenmolekularen Wechselwirkungen erklären (E4,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Messdaten von Verbrennungsvorgängen fossiler und regenerativer Energierohstoffe digital beschaffen und vergleichen (E5,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Eigenschaften von Kunststoffen auf deren makromolekulare Struktur und räumliche Anordnung zurückführen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und Nachteile der Nutzung von fossilen und regenerativen Energieträgern unter ökologischen, ökonomischen und ethischen Gesichtspunkten diskutieren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am Beispiel eines chemischen Produkts Kriterien hinsichtlich Verwendung, Ökonomie, Recyclingfähigkeit und Umweltverträglichkeit abwägen und im Hinblick auf die Verwendung einen eigenen sachlich fundierten Standpunkt beziehen (B3,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bl>
    <w:p>
      <w:pPr>
        <w:spacing w:after="60"/>
      </w:pPr>
    </w:p>
    <w:p>
      <w:bookmarkStart w:id="7049" w:name="abschnitt-268"/>
      <w:pPr>
        <w:pStyle w:val="Heading2"/>
        <w:keepNext/>
        <w:spacing w:after="140"/>
      </w:pPr>
      <w:r>
        <w:t>11.3 Einführungsphase</w:t>
      </w:r>
      <w:bookmarkEnd w:id="7049"/>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ordnen organische Verbindungen aufgrund ihrer funktionellen Gruppen in Stoffklassen ein und benennen diese nach systematischer Nomenklatur (S1, S6, S11),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intermolekulare Wechselwirkungen organischer Verbindungen und erklären ausgewählte Eigenschaften sowie die Verwendung organischer Stoffe auf dieser Grundlage (S2, S13,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das Donator-Akzeptor-Prinzip unter Verwendung der Oxidationszahlen am Beispiel der Oxidationsreihe der Alkanole (S4, S12, S14,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Isomere von Alkanolen dar und erklären die Konstitutionsisomerie (S11,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auch unter Nutzung digitaler Werkzeuge die Molekülgeometrie von Kohlenstoffverbindungen dar und erklären die Molekülgeometrie mithilfe des EPA-Modells (E7,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die Beobachtungen von Experimenten zur Oxidationsreihe der Alkanole und weisen die jeweiligen Produkte nach (E2, E5, S14),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Estersynthesen durch und leiten aus Stoffeigenschaften der erhaltenen Produkte Hypothesen zum strukturellen Aufbau der Estergruppe ab (E3,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Hypothesen zu Struktureigenschaftsbeziehungen einer ausgewählten Stoffklasse auf und untersuchen diese experimentell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Auswirkungen der Aufnahme von Ethanol hinsichtlich oxidativer Abbauprozesse im menschlichen Körper unter Aspekten der Gesunderhaltung (B6, B7, E1, E11,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den Einsatz von Konservierungs- und Aromastoffen in der Lebensmittelindustrie aus gesundheitlicher und ökonomischer Perspektive und leiten entsprechende Handlungsoptionen zu deren Konsum ab (B5, B9, B10, K5,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Verwendung von Lösemitteln in Produkten des Alltags auch im Hinblick auf die Entsorgung aus chemischer und ökologischer Perspektive (B1, B7, B8, B11, B14, S2, S10,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den Einfluss eines Katalysators auf die Reaktionsgeschwindigkeit auch anhand grafischer Darstellungen (S3, S8,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die Merkmale eines chemischen Gleichgewichtes anhand ausgewählter Reaktionen (S7,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anhand ausgewählter Reaktionen die Beeinflussung des chemischen Gleichgewichts nach dem Prinzip von Le Chatelier auch im Zusammenhang mit einem technischen Verfahren (S8,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r>
              <w:rPr>
                <w:b w:val="0"/>
                <w:color w:val="000000"/>
                <w:sz w:val="20"/>
              </w:rPr>
              <w:t xml:space="preserve">, </w:t>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rechnerisch Gleichgewichtslagen ausgewählter Reaktionen mithilfe des Massenwirkungsgesetzes und interpretieren die Ergebnisse (S7, S8,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die Durchschnittsgeschwindigkeit chemischer Reaktionen und ermitteln diese grafisch aus experimentellen Daten (E5, K7,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aufgestellte Hypothesen zum Einfluss verschiedener Faktoren auf die Reaktionsgeschwindigkeit durch Untersuchungen des zeitlichen Ablaufs einer chemischen Reaktion (E3, E4, E10,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zeitlichen Ablauf chemischer Reaktionen auf molekularer Ebene mithilfe der Stoßtheorie auch unter Nutzung digitaler Werkzeuge dar und deuten die Ergebnisse (E6, E7, E8,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simulieren den chemischen Gleichgewichtszustand als dynamisches Gleichgewicht auch unter Nutzung digitaler Werkzeuge (E6, E9,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ökologischen wie ökonomischen Nutzen und die Grenzen der Beeinflussbarkeit chemischer Gleichgewichtslagen in einem technischen Verfahren (B3, B10, B12, E12),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analysieren und beurteilen im Zusammenhang mit der jeweiligen Intention der Urheberschaft verschiedene Quellen und Darstellungsformen zu den Folgen anthropogener Einflüsse in einen natürlichen Stoffkreislauf (B2, B4, S5, K1, K2, K3, K4,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Folgen eines Eingriffs in einen Stoffkreislauf mit Blick auf Gleichgewichtsprozesse in aktuell-gesellschaftlichen Zusammenhängen (B12, B13, B14, S5, E12,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bl>
    <w:p>
      <w:pPr>
        <w:spacing w:after="60"/>
      </w:pPr>
    </w:p>
    <w:p>
      <w:bookmarkStart w:id="7050" w:name="abschnitt-269"/>
      <w:pPr>
        <w:pStyle w:val="Heading2"/>
        <w:keepNext/>
        <w:spacing w:after="140"/>
      </w:pPr>
      <w:r>
        <w:t>11.4 Grundkurs</w:t>
      </w:r>
      <w:bookmarkEnd w:id="7050"/>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die auch in Alltagsprodukten identifizierten Säuren und Basen mithilfe des Säure-Base-Konzepts von Brønsted und erläutern ihr Reaktionsverhalten unter Berücksichtigung von Protolysegleichungen (S1, S6, S7, S16,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unterschiedlichen Reaktionsgeschwindigkeiten von starken und schwachen Säuren mit unedlen Metallen oder Salzen anhand der Protolysereaktionen (S3,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Gleichgewichtslage von Protolysereaktionen mithilfe des Massenwirkungsgesetzes und die daraus resultierenden Säure-/Base-Konstanten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pH-Werte wässriger Lösungen von Säuren und Basen bei vollständiger Protolyse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den Begriff der Reaktionsenthalpie und grenzen diesen von der inneren Energie ab (S3),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im Zusammenhang mit der Neutralisationsreaktion den ersten Hauptsatz der Thermodynamik (Prinzip der Energieerhaltung) (S3, S10),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Neutralisationsreaktion unter Berücksichtigung der Neutralisationsenthalpie (S3, S12),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endotherme und exotherme Lösungsvorgänge bei Salzen unter Berücksichtigung der Gitter- und Solvatationsenergie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weisen ausgewählte Ionensorten (Halogenid-Ionen, Ammonium-Ionen, Carbonat-Ionen) salzartiger Verbindungen qualitativ nach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hypothesengeleitet Experimente zur Konzentrationsbestimmung von Säuren und Basen auch in Alltagsprodukten (E1, E2,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das Verfahren einer Säure-Base-Titration mit Endpunktbestimmung mittels Indikator am Beispiel starker Säuren und Basen durch und werten die Ergebnisse auch unter Berücksichtigung einer Fehleranalyse aus (E5, E10,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die Reaktionsenthalpie der Neutralisationsreaktion von starken Säuren mit starken Basen kalorimetrisch und vergleichen das Ergebnis mit Literaturdaten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Einsatz, die Wirksamkeit und das Gefahrenpotenzial von Säuren, Basen und Salzen als Inhaltsstoffe in Alltagsprodukten und leiten daraus begründet Handlungsoptionen ab (B8, B11,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Qualität von Produkten des Alltags oder Umweltparameter auf der Grundlage von qualitativen und quantitativen Analyseergebnissen und beurteilen die Daten hinsichtlich ihrer Aussagekraft (B3,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Redoxreaktionen als dynamische Gleichgewichtsreaktionen unter Berücksichtigung des Donator-Akzeptor-Konzepts (S7, S12,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nennen die metallische Bindung und die Beweglichkeit hydratisierter Ionen als Voraussetzungen für einen geschlossenen Stromkreislauf der galvanischen Zelle und der Elektrolyse (S12,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Funktionsweise einer galvanischen Zelle hinsichtlich der chemischen Prozesse auch mit digitalen Werkzeugen und berechnen die jeweilige Zellspannung (S3, S17, E6,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 ausgewählter elektrochemischer Spannungsquellen aus Alltag und Technik (Batterie, Akkumulator, Brennstoffzelle) unter Berücksichtigung der Teilreaktionen und möglicher Zellspannungen (S10, S12,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am Beispiel einer Brennstoffzelle die Funktion der heterogenen Katalyse unter Verwendung geeigneter Medien (S8, S12,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Reaktionen einer Elektrolyse auf stofflicher und energetischer Ebene als Umkehr der Reaktionen eines galvanischen Elements (S7,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Bildung eines Lokalelements bei Korrosionsvorgängen auch mithilfe von Reaktionsgleichungen (S3, S16,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energetische Erscheinungen bei Redoxreaktionen auf die Umwandlung eines Teils der in Stoffen gespeicherten Energie in Wärme und Arbeit (S3,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r>
              <w:rPr>
                <w:b w:val="0"/>
                <w:color w:val="000000"/>
                <w:sz w:val="20"/>
              </w:rPr>
              <w:t xml:space="preserve">, </w:t>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Auftreten von Redoxreaktionen zwischen Metallatomen und -ionen und überprüfen diese experimentell (E3, E4, E5, E10),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eigenständig ausgewählte Experimente zum Korrosionsschutz (Galvanik, Opferanode) und führen sie durch (E1,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Messdaten ausgewählter galvanischer Zellen zur Einordnung in die elektrochemische Spannungsreihe (E6,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auch rechnerisch die Standardreaktionsenthalpien ausgewählter Redoxreaktionen unter Anwendung des Satzes von Hess (E4, E7, S17,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Verbrennung fossiler Energieträger und elektrochemische Energiewandler hinsichtlich Effizienz und Nachhaltigkeit auch mithilfe von recherchierten thermodynamischen Daten (B2, B4, E8, K3,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bei der Umwandlung, Speicherung und Nutzung elektrischer Energie auf Grundlage der relevanten chemischen und thermodynamischen Aspekte im Hinblick auf nachhaltiges Handeln (B3, B10, B13, E12,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Folgen von Korrosionsvorgängen und adäquate Korrosionsschutzmaßnahmen unter ökologischen und ökonomischen Aspekten (B12, B14,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Aufbau von Vertretern der Stoffklassen der Alkane, Halogenalkane, Alkene, Alkine, Alkanole, Alkanale, Alkanone, Carbonsäuren, Ester und Amine auch mit digitalen Werkzeugen dar und berücksichtigen dabei auch ausgewählte Isomere (S1, E7,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Eigenschaften von gesättigten und ungesättigten Fetten (S1,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Stoffeigenschaften und Reaktionsverhalten mit dem Einfluss der jeweiligen funktionellen Gruppen unter Berücksichtigung von inter- und intramolekularen Wechselwirkungen (S2,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Redoxreaktionen in organischen Synthesewegen unter Berücksichtigung der Oxidationszahlen (S3, S11,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Estersynthese aus Alkanolen und Carbonsäuren unter Berücksichtigung der Katalyse (S4, S8, S9,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Reaktionsmechanismen der radikalischen Substitutions- und elektrophilen Additionsreaktion unter Berücksichtigung der spezifischen Reaktionsbedingungen auch mit digitalen Werkzeugen (S8, S9, S14, E9,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schließen mithilfe von spezifischen Nachweisen der Reaktionsprodukte (Doppelbindung zwischen Kohlenstoff-Atomen, Carbonyl- und Carboxy-Gruppe) auf den Reaktionsverlauf und bestimmen den Reaktionstyp (E5, E7, S4,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Planung und Durchführung einer Estersynthese in Bezug auf die Optimierung der Ausbeute auf der Grundlage des Prinzips von Le Chatelier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experimentell zwischen gesättigten und ungesättigten Fettsäuren (E5,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und bewerten Nutzen und Risiken ausgewählter Produkte der organischen Chemie unter vorgegebenen Fragestellungen (B1, B11,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Qualität von Fetten hinsichtlich ihrer Zusammensetzung und Verarbeitung im Bereich der Lebensmitteltechnik und der eigenen Ernährung (B7,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Eigenschaften von Kunststoffen aufgrund ihrer molekularen Strukturen (Kettenlänge, Vernetzungsgrad)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Kunststoffe anhand ihrer Eigenschaften begründet nach Thermoplasten, Duroplasten und Elastomeren (S1,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Verknüpfung von Monomermolekülen zu Makromolekülen mithilfe von Reaktionsgleichungen an einem Beispiel (S4, S12,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Weg eines Anwendungsproduktes von der Rohstoffgewinnung über die Produktion bis zur Verwertung (S5, S10, K1,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eigenständig geplante Experimente zur Untersuchung von Eigenschaften organischer Werkstoffe durch und werten diese aus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zielgerichtet anhand der Eigenschaften verschiedener Kunststoffe Experimente zur Trennung und Verwertung von Verpackungsabfällen (E4,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ermittelte Stoffeigenschaften am Beispiel eines Funktionspolymers mit geeigneten Modellen (E1, E5, E7,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von Erdöl und nachwachsenden Rohstoffen für die Herstellung und die Verwendung von Produkten aus Kunststoffen im Sinne einer nachhaltigen Entwicklung aus ökologischer, ökonomischer und sozialer Perspektive (B9, B12, B13),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vergleichen anhand von Bewertungskriterien Produkte aus unterschiedlichen Kunststoffen und leiten daraus Handlungsoptionen für die alltägliche Nutzung ab (B5, B14, K2,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stoffliche und energetische Verfahren der Kunststoffverwertung unter Berücksichtigung ausgewählter Nachhaltigkeitsziele (B6, B13, S3, K5,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46</w:t>
            </w:r>
          </w:p>
        </w:tc>
      </w:tr>
    </w:tbl>
    <w:p>
      <w:pPr>
        <w:spacing w:after="60"/>
      </w:pPr>
    </w:p>
    <w:p>
      <w:bookmarkStart w:id="7051" w:name="abschnitt-270"/>
      <w:pPr>
        <w:pStyle w:val="Heading2"/>
        <w:keepNext/>
        <w:spacing w:after="140"/>
      </w:pPr>
      <w:r>
        <w:t>11.5 Leistungskurs</w:t>
      </w:r>
      <w:bookmarkEnd w:id="7051"/>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die auch in Produkten des Alltags identifizierten Säuren und Basen mithilfe des Säure-Base-Konzepts von Brønsted und erläutern ihr Reaktionsverhalten unter Berücksichtigung von Protolysegleichungen (S1, S6, S7, S16,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unterschiedlichen Reaktionsgeschwindigkeiten von starken und schwachen Säuren mit unedlen Metallen oder Salzen anhand der unterschiedlichen Gleichgewichtslage der Protolysereaktionen (S3,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die Säure-/Base-Konstante und den pKS/pKB-Wert von Säuren und Basen mithilfe des Massenwirkungsgesetzes ab und berechnen diese (S7,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Gleichgewichtslage von Protolysereaktionen mithilfe des Massenwirkungsgesetzes und die daraus resultierenden Säure-/Base-Konstanten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pH-Werte wässriger Lösungen von Säuren und Basen auch bei nicht vollständiger Protolyse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sagen den Verlauf von Titrationskurven von starken und schwachen Säuren und Basen anhand der Berechnung der charakteristischen Punkte (AnfangspH-Wert, Halbäquivalenzpunkt, Äquivalenzpunkt) voraus (S10,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Wirkung eines Puffersystems auf Grundlage seiner Zusammensetzung (S2,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den pH-Wert von Puffersystemen anhand der Henderson-Hasselbalch-Gleichung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den Begriff der Reaktionsenthalpie und grenzen diesen von der inneren Energie ab (S3),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im Zusammenhang mit der Neutralisationsreaktion den ersten Hauptsatz der Thermodynamik (Prinzip der Energieerhaltung) (S3, S10),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Neutralisationsreaktion unter Berücksichtigung der Neutralisationsenthalpie (S3, S12),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endotherme und exotherme Lösungsvorgänge bei Salzen unter Einbeziehung der Gitter- und Solvatationsenergie und führen den spontanen Ablauf eines endothermen Lösungsvorgangs auf die Entropieänderung zurück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Fällungsreaktionen auf der Grundlage von Löslichkeitsgleichgewichten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weisen ausgewählte Ionensorten (Halogenid-Ionen, Ammonium-Ionen, Carbonat-Ionen) salzartiger Verbindungen qualitativ nach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hypothesengeleitet Experimente zur Konzentrationsbestimmung von Säuren und Basen auch in Alltagsprodukten (E1, E2,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das Verfahren einer Säure-Base-Titration mit Endpunktbestimmung mittels Indikator durch und werten die Ergebnisse auch unter Berücksichtigung einer Fehleranalyse aus (E5, E10,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werten pH-metrische Titrationen von ein- und mehrprotonigen Säuren aus und erläutern den Verlauf der Titrationskurven auch bei unvollständiger Protolyse (S9, E8, E10,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die Reaktionsenthalpie der Neutralisationsreaktion von starken Säuren mit starken Basen kalorimetrisch und vergleichen das Ergebnis mit Literaturdaten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Messdaten von Lösungsenthalpien verschiedener Salze unter Berücksichtigung der Entropie (S12,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Einsatz, die Wirksamkeit und das Gefahrenpotenzial von Säuren, Basen und Salzen als Inhaltsstoffe in Alltagsprodukten und leiten daraus begründet Handlungsoptionen ab (B8, B11,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Qualität von Produkten des Alltags oder Umweltparameter auf der Grundlage von qualitativen und quantitativen Analyseergebnissen und beurteilen die Daten hinsichtlich ihrer Aussagekraft (B3,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verschiedene Säure-Base-Titrationsverfahren hinsichtlich ihrer Angemessenheit und Grenzen (B3, K8,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Redoxreaktionen als dynamische Gleichgewichtsreaktionen unter Berücksichtigung des Donator-Akzeptor-Konzepts (S7, S12,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nennen die metallische Bindung und die Beweglichkeit hydratisierter Ionen als Voraussetzungen für einen geschlossenen Stromkreislauf der galvanischen Zelle und der Elektrolyse (S12,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Funktionsweise galvanischer Zellen hinsichtlich der chemischen Prozesse auch mithilfe digitaler Werkzeuge und berechnen auch unter Berücksichtigung der Nernst-Gleichung die jeweilige Zellspannung (S3, S17, E6,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und vergleichen den Aufbau und die Funktion ausgewählter elektrochemischer Spannungsquellen aus Alltag und Technik (Batterie, Akkumulator, Brennstoffzelle) unter Berücksichtigung der Teilreaktionen sowie möglicher Zellspannungen (S10, S12, S16,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am Beispiel einer Brennstoffzelle die Funktion der heterogenen Katalyse unter Verwendung geeigneter Medien (S8, S12,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Reaktionen einer Elektrolyse auf stofflicher und energetischer Ebene als Umkehr der Reaktionen eines galvanischen Elements (S7, S16,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für die Elektrolyse benötigte Zersetzungsspannung unter Berücksichtigung des Phänomens der Überspannung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Stoffumsätze unter Anwendung der Faraday-Gesetze (S3,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r>
              <w:rPr>
                <w:b w:val="0"/>
                <w:color w:val="000000"/>
                <w:sz w:val="20"/>
              </w:rPr>
              <w:t xml:space="preserve">, </w:t>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energetische Erscheinungen bei Redoxreaktionen auf die Umwandlung eines Teils der in Stoffen gespeicherten Energie in Wärme und Arbeit unter Berücksichtigung der Einschränkung durch den zweiten Hauptsatz der Thermodynamik (S3, S12,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die freie Enthalpie bei Redoxreaktionen (S3, S17,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Auftreten von Redoxreaktionen zwischen Metallund Nichtmetallatomen sowie Ionen und überprüfen diese experimentell (E3, E4, E5, E10),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das Verfahren der Redoxtitration zur Ermittlung der Konzentration eines Stoffes begründet an (E5, S3,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Messdaten ausgewählter galvanischer Zellen zur Einordnung in die elektrochemische Spannungsreihe (E6,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Ionenkonzentration von ausgewählten Metall- und Nichtmetallionen mithilfe der Nernst-Gleichung aus Messdaten galvanischer Zellen (E6, E8, S17, K5),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Herleitung elektrochemischer und thermodynamischer Gesetzmäßigkeiten (Faraday, Nernst, Gibbs-Helmholtz) aus experimentellen Daten (E8, S17,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Leistung einer elektrochemischen Spannungsquelle an einem Beispiel (E5, E10,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zur Bildung von Lokalelementen als Grundlage von Korrosionsvorgängen und überprüfen diese experimentell (E1, E3, E5, S15),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ausgewählte Verfahren zum Korrosionsschutz (Galvanik, Opferanode) und führen diese durch (E1,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Standardreaktionsenthalpien ausgewählter Redoxreaktionen unter Anwendung des Satzes von Hess auch rechnerisch (E2, E4, E7, S16, S17,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auch unter Berücksichtigung des energetischen Wirkungsgrads fossile und elektrochemische Energiequellen (B2, B4, K3,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bei der Umwandlung, Speicherung und Nutzung elektrischer Energie auch unter Berücksichtigung thermodynamischer Gesetzmäßigkeiten im Hinblick auf nachhaltiges Handeln (B3, B10, B13, E12,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ökologische und ökonomische Aspekte der elektrolytischen Gewinnung eines Stoffes unter Berücksichtigung der Faraday-Gesetze (B10, B13, E8,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r>
              <w:rPr>
                <w:b w:val="0"/>
                <w:color w:val="000000"/>
                <w:sz w:val="20"/>
              </w:rPr>
              <w:t xml:space="preserve">, </w:t>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Folgen von Korrosionsvorgängen und adäquate Korrosionsschutzmaßnahmen unter ökologischen und ökonomischen Aspekten (B12, B14,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Eigenschaften von gesättigten und ungesättigten Fetten (S1,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Stoffeigenschaften und Reaktionsverhalten mit dem Einfluss der jeweiligen funktionellen Gruppen unter der Berücksichtigung von inter- und intramolekularen Wechselwirkungen (S2, S13,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Redoxreaktionen in organischen Synthesewegen unter Berücksichtigung der Oxidationszahlen (S3, S11,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Estersynthese aus Alkanolen und Carbonsäuren unter Berücksichtigung der Katalyse (S4, S8, S9,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auch mit digitalen Werkzeugen die Reaktionsmechanismen unter Berücksichtigung der spezifischen Reaktionsbedingungen (S8, S9, S14, E9,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Aufbau und die Wirkungsweise eines Katalysators unter Berücksichtigung des Konzepts der koordinativen Bindung als Wechselwirkung von Metallkationen mit freien Elektronenpaaren (S13, S15),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Reaktivität eines aromatischen Systems anhand der Struktur und erläutern in diesem Zusammenhang die Mesomerie (S9, S13, E9, E12),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Farbstoffe sowohl auf Grundlage struktureller Merkmale als auch nach ihrer Verwendung (S10, S11,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Farbigkeit ausgewählter Stoffe durch Lichtabsorption auch unter Berücksichtigung der Molekülstruktur mithilfe des Mesomeriemodells (mesomere Grenzstrukturen, Delokalisation von Elektronen, Donator-Akzeptor-Gruppen) (S2, E7,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schließen mithilfe von spezifischen Nachweisen der Reaktionsprodukte (Doppelbindung zwischen Kohlenstoff-Atomen, Chlorid- und Bromid-Ionen, Carbonyl- und Carboxy-Gruppe) auf den Reaktionsverlauf und bestimmen den Reaktionstyp (E5, E7, S4,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Reaktionsverhalten aus der Molekülstruktur (E3, E12,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Planung und Durchführung einer Estersynthese in Bezug auf die Optimierung der Ausbeute auf der Grundlage des Prinzips von Le Chatelier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experimentell zwischen gesättigten und ungesättigten Fettsäuren (E5,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trennen mithilfe eines chromatografischen Verfahrens Stoffgemische und analysieren ihre Bestandteile durch Interpretation der Retentionsfaktoren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Absorptionsspektren ausgewählter Farbstofflösungen (E8, K2,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und bewerten Nutzen und Risiken ausgewählter Produkte der organischen Chemie unter selbst entwickelten Fragestellungen (B1, B11,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Möglichkeiten und Grenzen von Modellvorstellungen bezüglich der Struktur organischer Verbindungen und die Reaktionsschritte von Synthesen für die Vorhersage der Bildung von Reaktionsprodukten (B1, B2,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Qualität von Fetten hinsichtlich ihrer Zusammensetzung und Verarbeitung im Bereich der Lebensmitteltechnik und der eigenen Ernährung (B7,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verschiedener Farbstoffe in Alltagsprodukten aus chemischer, ökologischer und ökonomischer Sicht (B9, B13,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Eigenschaften von Kunststoffen aufgrund der molekularen Strukturen (Kettenlänge, Vernetzungsgrad, Anzahl und Wechselwirkung verschiedenartiger Monomere)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Kunststoffe anhand ihrer Eigenschaften begründet nach Thermoplasten, Duroplasten und Elastomeren (S1,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Verknüpfung von Monomermolekülen zu Makromolekülen mithilfe von Reaktionsgleichungen an einem Beispiel (S4, S12,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Reaktionsschritte einer radikalischen Polymerisation (S4, S14,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Weg eines Anwendungsproduktes von der Rohstoffgewinnung über die Produktion bis zur Verwertung (S5, S10, K1,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ein technisches Syntheseverfahren auch unter Berücksichtigung der eingesetzten Katalysatoren (S8,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r>
              <w:rPr>
                <w:b w:val="0"/>
                <w:color w:val="000000"/>
                <w:sz w:val="20"/>
              </w:rPr>
              <w:t xml:space="preserve">, </w:t>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Merkmale von Nanomaterialien am Beispiel von Alltagsprodukten (S1,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eigenständig geplante Experimente zur Untersuchung von Eigenschaften organischer Werkstoffe durch und werten diese aus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zielgerichtet anhand der Eigenschaften verschiedener Kunststoffe Experimente zur Trennung und Verwertung von Verpackungsabfällen (E4,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ermittelte Stoffeigenschaften am Beispiel eines Funktionspolymers mit geeigneten Modellen (E1, E5, E7,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veranschaulichen die Größenordnung und Reaktivität von Nanopartikeln (E7,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eine experimentell ermittelte Oberflächeneigenschaft eines ausgewählten Nanoprodukts anhand der Nanostruktur (E5, S11).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von Erdöl und nachwachsenden Rohstoffen für die Herstellung und die Verwendung von Produkten aus Kunststoffen im Sinne einer nachhaltigen Entwicklung aus ökologischer, ökonomischer und sozialer Perspektive (B9, B12, B13),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vergleichen anhand von Bewertungskriterien Produkte aus unterschiedlichen Kunststoffen und leiten daraus Handlungsoptionen für die alltägliche Nutzung ab (B5, B14, K2,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stoffliche und energetische Verfahren der Kunststoffverwertung unter Berücksichtigung ausgewählter Nachhaltigkeitsziele (B6, B13, S3, K5,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der Reaktionsbedingungen für die Synthese eines Kunststoffs im Hinblick auf Atom- und Energieeffizienz, Abfall- und Risikovermeidung sowie erneuerbare Ressourcen (B1, B10),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in verschiedenen Quellen die Chancen und Risiken von Nanomaterialien am Beispiel eines Alltagsproduktes und bewerten diese unter Berücksichtigung der Intention der Autoren (B2, B4, B13,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bl>
    <w:p>
      <w:pPr>
        <w:spacing w:after="60"/>
      </w:pPr>
    </w:p>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28.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28.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17.</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pPr>
        <w:pStyle w:val="Heading1"/>
        <w:jc w:val="left"/>
        <w:pageBreakBefore/>
      </w:pPr>
      <w:r>
        <w:rPr/>
        <w:t>13 Klausuren gestalten und bewerten</w:t>
      </w:r>
      <w:bookmarkStart w:id="9902" w:name="klausurengestaltung"/>
      <w:bookmarkEnd w:id="9902"/>
    </w:p>
    <w:p>
      <w:pPr>
        <w:pStyle w:val="Heading2"/>
        <w:jc w:val="left"/>
      </w:pPr>
      <w:r>
        <w:rPr/>
        <w:t>13.1 Zielsetzung und Kontextorientierung</w:t>
      </w:r>
      <w:bookmarkStart w:id="9903" w:name="klausuren_1"/>
      <w:bookmarkEnd w:id="9903"/>
    </w:p>
    <w:p>
      <w:pPr>
        <w:jc w:val="both"/>
      </w:pPr>
      <w:r>
        <w:rPr/>
        <w:t>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jc w:val="both"/>
      </w:pPr>
      <w:r>
        <w:rPr/>
        <w:t>Maßgeblich sind der für den jeweiligen Jahrgang geltende Kernlehrplan, die APO-GOSt und die jahrgangsbezogenen Abiturvorgaben. Die Fassung des Kernlehrplans von 2026 gilt ab 1. August 2027 beginnend mit der Einführungsphase aufsteigend. Die Vorbereitung auf diese Prüfungsformate bedeutet nicht, dass die neuen Prüfungsregelungen bereits gelten. Die GKL werden im anschließenden Kapitel 14 behandelt.</w:t>
      </w:r>
    </w:p>
    <w:p>
      <w:pPr>
        <w:jc w:val="both"/>
      </w:pPr>
      <w:r>
        <w:rPr>
          <w:b/>
        </w:rPr>
        <w:t>Amtliche Grundlagen:</w:t>
      </w:r>
      <w:r>
        <w:rPr/>
        <w:t xml:space="preserve"> </w:t>
      </w:r>
      <w:hyperlink r:id="rIdKlausur57">
        <w:r>
          <w:rPr>
            <w:color w:val="174D72"/>
            <w:u w:val="single"/>
          </w:rPr>
          <w:t xml:space="preserve">Kernlehrplan 2022 (Kap. 3/4) ↗</w:t>
        </w:r>
      </w:hyperlink>
      <w:r>
        <w:rPr/>
        <w:t xml:space="preserve"> · </w:t>
      </w:r>
      <w:hyperlink r:id="rIdKlausur58">
        <w:r>
          <w:rPr>
            <w:color w:val="174D72"/>
            <w:u w:val="single"/>
          </w:rPr>
          <w:t xml:space="preserve">Konstruktionsvorgaben ↗</w:t>
        </w:r>
      </w:hyperlink>
      <w:r>
        <w:rPr/>
        <w:t xml:space="preserve"> · </w:t>
      </w:r>
      <w:hyperlink r:id="rIdKlausur59">
        <w:r>
          <w:rPr>
            <w:color w:val="174D72"/>
            <w:u w:val="single"/>
          </w:rPr>
          <w:t xml:space="preserve">Operatorenliste ↗</w:t>
        </w:r>
      </w:hyperlink>
      <w:r>
        <w:rPr/>
        <w:t xml:space="preserve"> · </w:t>
      </w:r>
      <w:hyperlink r:id="rIdKlausur60">
        <w:r>
          <w:rPr>
            <w:color w:val="174D72"/>
            <w:u w:val="single"/>
          </w:rPr>
          <w:t xml:space="preserve">Schulgesetz (§ 48) ↗</w:t>
        </w:r>
      </w:hyperlink>
      <w:r>
        <w:rPr/>
        <w:t xml:space="preserve"> · </w:t>
      </w:r>
      <w:hyperlink r:id="rIdKlausur61">
        <w:r>
          <w:rPr>
            <w:color w:val="174D72"/>
            <w:u w:val="single"/>
          </w:rPr>
          <w:t xml:space="preserve">APO-GOSt aktuell ↗</w:t>
        </w:r>
      </w:hyperlink>
      <w:r>
        <w:rPr/>
        <w:t xml:space="preserve"> · </w:t>
      </w:r>
      <w:hyperlink r:id="rIdKlausur62">
        <w:r>
          <w:rPr>
            <w:color w:val="174D72"/>
            <w:u w:val="single"/>
          </w:rPr>
          <w:t xml:space="preserve">APO-GOSt ab 2027 ↗</w:t>
        </w:r>
      </w:hyperlink>
    </w:p>
    <w:p>
      <w:pPr>
        <w:pStyle w:val="Heading2"/>
        <w:jc w:val="left"/>
      </w:pPr>
      <w:r>
        <w:rPr/>
        <w:t>13.2 Anforderungsbereiche und ihre Gewichtung</w:t>
      </w:r>
      <w:bookmarkStart w:id="9904" w:name="klausuren_2"/>
      <w:bookmarkEnd w:id="9904"/>
    </w:p>
    <w:p>
      <w:pPr>
        <w:jc w:val="both"/>
        <w:keepNext/>
      </w:pPr>
      <w:r>
        <w:rPr/>
        <w:t>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Bereich</w:t>
            </w:r>
          </w:p>
        </w:tc>
        <w:tc>
          <w:tcPr>
            <w:tcW w:w="3500" w:type="dxa"/>
            <w:vAlign w:val="center"/>
            <w:shd w:fill="DDE9EC"/>
          </w:tcPr>
          <w:p>
            <w:pPr>
              <w:spacing w:before="20" w:after="20" w:line="260" w:lineRule="auto"/>
              <w:jc w:val="left"/>
              <w:keepNext/>
            </w:pPr>
            <w:r>
              <w:rPr>
                <w:sz w:val="18"/>
                <w:b/>
              </w:rPr>
              <w:t>Verlangte Leistung</w:t>
            </w:r>
          </w:p>
        </w:tc>
        <w:tc>
          <w:tcPr>
            <w:tcW w:w="3774" w:type="dxa"/>
            <w:vAlign w:val="center"/>
            <w:shd w:fill="DDE9EC"/>
          </w:tcPr>
          <w:p>
            <w:pPr>
              <w:spacing w:before="20" w:after="20" w:line="260" w:lineRule="auto"/>
              <w:jc w:val="left"/>
              <w:keepNext/>
            </w:pPr>
            <w:r>
              <w:rPr>
                <w:sz w:val="18"/>
                <w:b/>
              </w:rPr>
              <w:t>Fachliches Beispiel</w:t>
            </w:r>
          </w:p>
        </w:tc>
      </w:tr>
      <w:tr>
        <w:trPr>
          <w:cantSplit/>
        </w:trPr>
        <w:tc>
          <w:tcPr>
            <w:tcW w:w="1800" w:type="dxa"/>
            <w:vAlign w:val="center"/>
            <w:shd w:fill="FFFFFF"/>
          </w:tcPr>
          <w:p>
            <w:pPr>
              <w:spacing w:before="20" w:after="20" w:line="260" w:lineRule="auto"/>
              <w:jc w:val="left"/>
              <w:keepNext/>
            </w:pPr>
            <w:r>
              <w:rPr>
                <w:sz w:val="18"/>
              </w:rPr>
              <w:t>I · Reproduktion</w:t>
            </w:r>
          </w:p>
        </w:tc>
        <w:tc>
          <w:tcPr>
            <w:tcW w:w="3500" w:type="dxa"/>
            <w:vAlign w:val="center"/>
            <w:shd w:fill="FFFFFF"/>
          </w:tcPr>
          <w:p>
            <w:pPr>
              <w:spacing w:before="20" w:after="20" w:line="260" w:lineRule="auto"/>
              <w:jc w:val="left"/>
              <w:keepNext/>
            </w:pPr>
            <w:r>
              <w:rPr>
                <w:sz w:val="18"/>
              </w:rPr>
              <w:t>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Eine eingeübte Nachweisreaktion zum Material beschreiben.</w:t>
            </w:r>
          </w:p>
        </w:tc>
      </w:tr>
      <w:tr>
        <w:trPr>
          <w:cantSplit/>
        </w:trPr>
        <w:tc>
          <w:tcPr>
            <w:tcW w:w="1800" w:type="dxa"/>
            <w:vAlign w:val="center"/>
            <w:shd w:fill="F1F5F6"/>
          </w:tcPr>
          <w:p>
            <w:pPr>
              <w:spacing w:before="20" w:after="20" w:line="260" w:lineRule="auto"/>
              <w:jc w:val="left"/>
              <w:keepNext/>
            </w:pPr>
            <w:r>
              <w:rPr>
                <w:sz w:val="18"/>
              </w:rPr>
              <w:t>II · Reorganisation und Transfer</w:t>
            </w:r>
          </w:p>
        </w:tc>
        <w:tc>
          <w:tcPr>
            <w:tcW w:w="3500" w:type="dxa"/>
            <w:vAlign w:val="center"/>
            <w:shd w:fill="F1F5F6"/>
          </w:tcPr>
          <w:p>
            <w:pPr>
              <w:spacing w:before="20" w:after="20" w:line="260" w:lineRule="auto"/>
              <w:jc w:val="left"/>
              <w:keepNext/>
            </w:pPr>
            <w:r>
              <w:rPr>
                <w:sz w:val="18"/>
              </w:rPr>
              <w:t>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Aus Messdaten eine Konzentration ermitteln und das Ergebnis chemisch erklären.</w:t>
            </w:r>
          </w:p>
        </w:tc>
      </w:tr>
      <w:tr>
        <w:trPr>
          <w:cantSplit/>
        </w:trPr>
        <w:tc>
          <w:tcPr>
            <w:tcW w:w="1800" w:type="dxa"/>
            <w:vAlign w:val="center"/>
            <w:shd w:fill="FFFFFF"/>
          </w:tcPr>
          <w:p>
            <w:pPr>
              <w:spacing w:before="20" w:after="20" w:line="260" w:lineRule="auto"/>
              <w:jc w:val="left"/>
            </w:pPr>
            <w:r>
              <w:rPr>
                <w:sz w:val="18"/>
              </w:rPr>
              <w:t>III · Reflexion und Problemlösung</w:t>
            </w:r>
          </w:p>
        </w:tc>
        <w:tc>
          <w:tcPr>
            <w:tcW w:w="3500" w:type="dxa"/>
            <w:vAlign w:val="center"/>
            <w:shd w:fill="FFFFFF"/>
          </w:tcPr>
          <w:p>
            <w:pPr>
              <w:spacing w:before="20" w:after="20" w:line="260" w:lineRule="auto"/>
              <w:jc w:val="left"/>
            </w:pPr>
            <w:r>
              <w:rPr>
                <w:sz w:val="18"/>
              </w:rPr>
              <w:t>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Ein Analyseverfahren für eine neue Fragestellung entwickeln und seine Aussagekraft beurteilen.</w:t>
            </w:r>
          </w:p>
        </w:tc>
      </w:tr>
    </w:tbl>
    <w:p>
      <w:pPr>
        <w:jc w:val="both"/>
        <w:spacing w:before="100"/>
      </w:pPr>
      <w:r>
        <w:rPr>
          <w:b/>
        </w:rPr>
        <w:t>Gewichtung:</w:t>
      </w:r>
      <w:r>
        <w:rPr/>
        <w:t xml:space="preserve"> Alle drei Bereiche werden berücksichtigt. Bereich II bildet den Schwerpunkt; Bereich I wird stärker gewichtet als Bereich III. Als schulischer Orientierungswert werden etwa </w:t>
      </w:r>
      <w:r>
        <w:rPr>
          <w:b/>
        </w:rPr>
        <w:t>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13.3 Einheitlicher Aufbau der Klausurunterlagen</w:t>
      </w:r>
      <w:bookmarkStart w:id="9905" w:name="klausuren_3"/>
      <w:bookmarkEnd w:id="9905"/>
    </w:p>
    <w:p>
      <w:pPr>
        <w:jc w:val="both"/>
      </w:pPr>
      <w:r>
        <w:rPr/>
        <w:t>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Für Chemie dienen höchstens sechs Teilaufgaben je abiturähnlicher Aufgabe als Orientierung. Diese Größen beziehen sich auf das Abiturformat. Kürzere Klausuren in EF und Q1 werden entsprechend ihrer Bearbeitungszeit und ihrem Lernstand angepasst.</w:t>
      </w:r>
    </w:p>
    <w:p>
      <w:pPr>
        <w:jc w:val="both"/>
      </w:pPr>
      <w:r>
        <w:rPr/>
        <w:t>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13.4 Erwartungshorizont und Rückmeldung</w:t>
      </w:r>
      <w:bookmarkStart w:id="9906" w:name="klausuren_4"/>
      <w:bookmarkEnd w:id="9906"/>
    </w:p>
    <w:p>
      <w:pPr>
        <w:jc w:val="both"/>
      </w:pPr>
      <w:r>
        <w:rPr/>
        <w:t>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jc w:val="both"/>
      </w:pPr>
      <w:r>
        <w:rPr/>
        <w:t>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13.5 Noten und qualitative Leistungsanforderungen</w:t>
      </w:r>
      <w:bookmarkStart w:id="9907" w:name="klausuren_5"/>
      <w:bookmarkEnd w:id="9907"/>
    </w:p>
    <w:p>
      <w:pPr>
        <w:jc w:val="both"/>
        <w:keepNext/>
      </w:pPr>
      <w:r>
        <w:rPr/>
        <w:t>Die Notendefinitionen folgen § 48 Schulgesetz NRW und § 16 APO-GOSt. Die folgende Übersicht fasst die qualitativen Maßstäbe zusammen; sie bildet die Grundlage für die Gestaltung des Erwartungshorizonts.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Note</w:t>
            </w:r>
          </w:p>
        </w:tc>
        <w:tc>
          <w:tcPr>
            <w:tcW w:w="1700" w:type="dxa"/>
            <w:vAlign w:val="center"/>
            <w:shd w:fill="DDE9EC"/>
          </w:tcPr>
          <w:p>
            <w:pPr>
              <w:spacing w:before="20" w:after="20" w:line="260" w:lineRule="auto"/>
              <w:jc w:val="left"/>
              <w:keepNext/>
            </w:pPr>
            <w:r>
              <w:rPr>
                <w:sz w:val="18"/>
                <w:b/>
              </w:rPr>
              <w:t>Notenpunkte in der Q-Phase</w:t>
            </w:r>
          </w:p>
        </w:tc>
        <w:tc>
          <w:tcPr>
            <w:tcW w:w="5274" w:type="dxa"/>
            <w:vAlign w:val="center"/>
            <w:shd w:fill="DDE9EC"/>
          </w:tcPr>
          <w:p>
            <w:pPr>
              <w:spacing w:before="20" w:after="20" w:line="260" w:lineRule="auto"/>
              <w:jc w:val="left"/>
              <w:keepNext/>
            </w:pPr>
            <w:r>
              <w:rPr>
                <w:sz w:val="18"/>
                <w:b/>
              </w:rPr>
              <w:t>Qualitativer Maßstab</w:t>
            </w:r>
          </w:p>
        </w:tc>
      </w:tr>
      <w:tr>
        <w:trPr>
          <w:cantSplit/>
        </w:trPr>
        <w:tc>
          <w:tcPr>
            <w:tcW w:w="2100" w:type="dxa"/>
            <w:vAlign w:val="center"/>
            <w:shd w:fill="FFFFFF"/>
          </w:tcPr>
          <w:p>
            <w:pPr>
              <w:spacing w:before="20" w:after="20" w:line="260" w:lineRule="auto"/>
              <w:jc w:val="left"/>
              <w:keepNext/>
            </w:pPr>
            <w:r>
              <w:rPr>
                <w:sz w:val="18"/>
              </w:rPr>
              <w:t>sehr gut</w:t>
            </w:r>
          </w:p>
        </w:tc>
        <w:tc>
          <w:tcPr>
            <w:tcW w:w="1700" w:type="dxa"/>
            <w:vAlign w:val="center"/>
            <w:shd w:fill="FFFFFF"/>
          </w:tcPr>
          <w:p>
            <w:pPr>
              <w:spacing w:before="20" w:after="20" w:line="260" w:lineRule="auto"/>
              <w:jc w:val="left"/>
              <w:keepNext/>
            </w:pPr>
            <w:r>
              <w:rPr>
                <w:sz w:val="18"/>
              </w:rPr>
              <w:t>15–13</w:t>
            </w:r>
          </w:p>
        </w:tc>
        <w:tc>
          <w:tcPr>
            <w:tcW w:w="5274" w:type="dxa"/>
            <w:vAlign w:val="center"/>
            <w:shd w:fill="FFFFFF"/>
          </w:tcPr>
          <w:p>
            <w:pPr>
              <w:spacing w:before="20" w:after="20" w:line="260" w:lineRule="auto"/>
              <w:jc w:val="left"/>
              <w:keepNext/>
            </w:pPr>
            <w:r>
              <w:rPr>
                <w:sz w:val="18"/>
              </w:rPr>
              <w:t>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gut</w:t>
            </w:r>
          </w:p>
        </w:tc>
        <w:tc>
          <w:tcPr>
            <w:tcW w:w="1700" w:type="dxa"/>
            <w:vAlign w:val="center"/>
            <w:shd w:fill="F1F5F6"/>
          </w:tcPr>
          <w:p>
            <w:pPr>
              <w:spacing w:before="20" w:after="20" w:line="260" w:lineRule="auto"/>
              <w:jc w:val="left"/>
              <w:keepNext/>
            </w:pPr>
            <w:r>
              <w:rPr>
                <w:sz w:val="18"/>
              </w:rPr>
              <w:t>12–10</w:t>
            </w:r>
          </w:p>
        </w:tc>
        <w:tc>
          <w:tcPr>
            <w:tcW w:w="5274" w:type="dxa"/>
            <w:vAlign w:val="center"/>
            <w:shd w:fill="F1F5F6"/>
          </w:tcPr>
          <w:p>
            <w:pPr>
              <w:spacing w:before="20" w:after="20" w:line="260" w:lineRule="auto"/>
              <w:jc w:val="left"/>
              <w:keepNext/>
            </w:pPr>
            <w:r>
              <w:rPr>
                <w:sz w:val="18"/>
              </w:rPr>
              <w:t>Die Anforderungen werden vollständig erfüllt.</w:t>
            </w:r>
          </w:p>
        </w:tc>
      </w:tr>
      <w:tr>
        <w:trPr>
          <w:cantSplit/>
        </w:trPr>
        <w:tc>
          <w:tcPr>
            <w:tcW w:w="2100" w:type="dxa"/>
            <w:vAlign w:val="center"/>
            <w:shd w:fill="FFFFFF"/>
          </w:tcPr>
          <w:p>
            <w:pPr>
              <w:spacing w:before="20" w:after="20" w:line="260" w:lineRule="auto"/>
              <w:jc w:val="left"/>
              <w:keepNext/>
            </w:pPr>
            <w:r>
              <w:rPr>
                <w:sz w:val="18"/>
              </w:rPr>
              <w:t>befriedigend</w:t>
            </w:r>
          </w:p>
        </w:tc>
        <w:tc>
          <w:tcPr>
            <w:tcW w:w="1700" w:type="dxa"/>
            <w:vAlign w:val="center"/>
            <w:shd w:fill="FFFFFF"/>
          </w:tcPr>
          <w:p>
            <w:pPr>
              <w:spacing w:before="20" w:after="20" w:line="260" w:lineRule="auto"/>
              <w:jc w:val="left"/>
              <w:keepNext/>
            </w:pPr>
            <w:r>
              <w:rPr>
                <w:sz w:val="18"/>
              </w:rPr>
              <w:t>9–7</w:t>
            </w:r>
          </w:p>
        </w:tc>
        <w:tc>
          <w:tcPr>
            <w:tcW w:w="5274" w:type="dxa"/>
            <w:vAlign w:val="center"/>
            <w:shd w:fill="FFFFFF"/>
          </w:tcPr>
          <w:p>
            <w:pPr>
              <w:spacing w:before="20" w:after="20" w:line="260" w:lineRule="auto"/>
              <w:jc w:val="left"/>
              <w:keepNext/>
            </w:pPr>
            <w:r>
              <w:rPr>
                <w:sz w:val="18"/>
              </w:rPr>
              <w:t>Die Anforderungen werden im Allgemeinen erfüllt.</w:t>
            </w:r>
          </w:p>
        </w:tc>
      </w:tr>
      <w:tr>
        <w:trPr>
          <w:cantSplit/>
        </w:trPr>
        <w:tc>
          <w:tcPr>
            <w:tcW w:w="2100" w:type="dxa"/>
            <w:vAlign w:val="center"/>
            <w:shd w:fill="F1F5F6"/>
          </w:tcPr>
          <w:p>
            <w:pPr>
              <w:spacing w:before="20" w:after="20" w:line="260" w:lineRule="auto"/>
              <w:jc w:val="left"/>
              <w:keepNext/>
            </w:pPr>
            <w:r>
              <w:rPr>
                <w:sz w:val="18"/>
              </w:rPr>
              <w:t>ausreichend</w:t>
            </w:r>
          </w:p>
        </w:tc>
        <w:tc>
          <w:tcPr>
            <w:tcW w:w="1700" w:type="dxa"/>
            <w:vAlign w:val="center"/>
            <w:shd w:fill="F1F5F6"/>
          </w:tcPr>
          <w:p>
            <w:pPr>
              <w:spacing w:before="20" w:after="20" w:line="260" w:lineRule="auto"/>
              <w:jc w:val="left"/>
              <w:keepNext/>
            </w:pPr>
            <w:r>
              <w:rPr>
                <w:sz w:val="18"/>
              </w:rPr>
              <w:t>6–5</w:t>
            </w:r>
          </w:p>
        </w:tc>
        <w:tc>
          <w:tcPr>
            <w:tcW w:w="5274" w:type="dxa"/>
            <w:vAlign w:val="center"/>
            <w:shd w:fill="F1F5F6"/>
          </w:tcPr>
          <w:p>
            <w:pPr>
              <w:spacing w:before="20" w:after="20" w:line="260" w:lineRule="auto"/>
              <w:jc w:val="left"/>
              <w:keepNext/>
            </w:pPr>
            <w:r>
              <w:rPr>
                <w:sz w:val="18"/>
              </w:rPr>
              <w:t>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schwach ausreichend</w:t>
            </w:r>
          </w:p>
        </w:tc>
        <w:tc>
          <w:tcPr>
            <w:tcW w:w="1700" w:type="dxa"/>
            <w:vAlign w:val="center"/>
            <w:shd w:fill="FFFFFF"/>
          </w:tcPr>
          <w:p>
            <w:pPr>
              <w:spacing w:before="20" w:after="20" w:line="260" w:lineRule="auto"/>
              <w:jc w:val="left"/>
              <w:keepNext/>
            </w:pPr>
            <w:r>
              <w:rPr>
                <w:sz w:val="18"/>
              </w:rPr>
              <w:t>4</w:t>
            </w:r>
          </w:p>
        </w:tc>
        <w:tc>
          <w:tcPr>
            <w:tcW w:w="5274" w:type="dxa"/>
            <w:vAlign w:val="center"/>
            <w:shd w:fill="FFFFFF"/>
          </w:tcPr>
          <w:p>
            <w:pPr>
              <w:spacing w:before="20" w:after="20" w:line="260" w:lineRule="auto"/>
              <w:jc w:val="left"/>
              <w:keepNext/>
            </w:pPr>
            <w:r>
              <w:rPr>
                <w:sz w:val="18"/>
              </w:rPr>
              <w:t>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mangelhaft</w:t>
            </w:r>
          </w:p>
        </w:tc>
        <w:tc>
          <w:tcPr>
            <w:tcW w:w="1700" w:type="dxa"/>
            <w:vAlign w:val="center"/>
            <w:shd w:fill="F1F5F6"/>
          </w:tcPr>
          <w:p>
            <w:pPr>
              <w:spacing w:before="20" w:after="20" w:line="260" w:lineRule="auto"/>
              <w:jc w:val="left"/>
              <w:keepNext/>
            </w:pPr>
            <w:r>
              <w:rPr>
                <w:sz w:val="18"/>
              </w:rPr>
              <w:t>3–1</w:t>
            </w:r>
          </w:p>
        </w:tc>
        <w:tc>
          <w:tcPr>
            <w:tcW w:w="5274" w:type="dxa"/>
            <w:vAlign w:val="center"/>
            <w:shd w:fill="F1F5F6"/>
          </w:tcPr>
          <w:p>
            <w:pPr>
              <w:spacing w:before="20" w:after="20" w:line="260" w:lineRule="auto"/>
              <w:jc w:val="left"/>
              <w:keepNext/>
            </w:pPr>
            <w:r>
              <w:rPr>
                <w:sz w:val="18"/>
              </w:rPr>
              <w:t>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ungenügend</w:t>
            </w:r>
          </w:p>
        </w:tc>
        <w:tc>
          <w:tcPr>
            <w:tcW w:w="1700" w:type="dxa"/>
            <w:vAlign w:val="center"/>
            <w:shd w:fill="FFFFFF"/>
          </w:tcPr>
          <w:p>
            <w:pPr>
              <w:spacing w:before="20" w:after="20" w:line="260" w:lineRule="auto"/>
              <w:jc w:val="left"/>
            </w:pPr>
            <w:r>
              <w:rPr>
                <w:sz w:val="18"/>
              </w:rPr>
              <w:t>0</w:t>
            </w:r>
          </w:p>
        </w:tc>
        <w:tc>
          <w:tcPr>
            <w:tcW w:w="5274" w:type="dxa"/>
            <w:vAlign w:val="center"/>
            <w:shd w:fill="FFFFFF"/>
          </w:tcPr>
          <w:p>
            <w:pPr>
              <w:spacing w:before="20" w:after="20" w:line="260" w:lineRule="auto"/>
              <w:jc w:val="left"/>
            </w:pPr>
            <w:r>
              <w:rPr>
                <w:sz w:val="18"/>
              </w:rPr>
              <w:t>Die Anforderungen werden nicht erfüllt; auch die Grundkenntnisse sind so lückenhaft, dass eine Behebung der Mängel in absehbarer Zeit nicht zu erwarten ist.</w:t>
            </w:r>
          </w:p>
        </w:tc>
      </w:tr>
    </w:tbl>
    <w:p>
      <w:pPr>
        <w:jc w:val="both"/>
        <w:spacing w:before="100"/>
      </w:pPr>
      <w:r>
        <w:rPr/>
        <w:t>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13.6 Bewertungseinheiten und Notenschlüssel</w:t>
      </w:r>
      <w:bookmarkStart w:id="9908" w:name="klausuren_6"/>
      <w:bookmarkEnd w:id="9908"/>
    </w:p>
    <w:p>
      <w:pPr>
        <w:jc w:val="both"/>
        <w:keepNext/>
      </w:pPr>
      <w:r>
        <w:rPr/>
        <w:t>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6"/>
                <w:b/>
              </w:rPr>
              <w:t>Notenpunkte</w:t>
            </w:r>
          </w:p>
        </w:tc>
        <w:tc>
          <w:tcPr>
            <w:tcW w:w="3124" w:type="dxa"/>
            <w:vAlign w:val="center"/>
            <w:shd w:fill="DDE9EC"/>
          </w:tcPr>
          <w:p>
            <w:pPr>
              <w:spacing w:before="20" w:after="20" w:line="260" w:lineRule="auto"/>
              <w:jc w:val="left"/>
              <w:keepNext/>
            </w:pPr>
            <w:r>
              <w:rPr>
                <w:sz w:val="18"/>
                <w:b/>
              </w:rPr>
              <w:t>Notentendenz</w:t>
            </w:r>
          </w:p>
        </w:tc>
        <w:tc>
          <w:tcPr>
            <w:tcW w:w="1400" w:type="dxa"/>
            <w:vAlign w:val="center"/>
            <w:shd w:fill="DDE9EC"/>
          </w:tcPr>
          <w:p>
            <w:pPr>
              <w:spacing w:before="20" w:after="20" w:line="260" w:lineRule="auto"/>
              <w:jc w:val="left"/>
              <w:keepNext/>
            </w:pPr>
            <w:r>
              <w:rPr>
                <w:sz w:val="18"/>
                <w:b/>
              </w:rPr>
              <w:t>Mindestanteil</w:t>
            </w:r>
          </w:p>
        </w:tc>
        <w:tc>
          <w:tcPr>
            <w:tcW w:w="1500" w:type="dxa"/>
            <w:vAlign w:val="center"/>
            <w:shd w:fill="DDE9EC"/>
          </w:tcPr>
          <w:p>
            <w:pPr>
              <w:spacing w:before="20" w:after="20" w:line="260" w:lineRule="auto"/>
              <w:jc w:val="left"/>
              <w:keepNext/>
            </w:pPr>
            <w:r>
              <w:rPr>
                <w:sz w:val="18"/>
                <w:b/>
              </w:rPr>
              <w:t>100 BE gesamt</w:t>
            </w:r>
          </w:p>
        </w:tc>
        <w:tc>
          <w:tcPr>
            <w:tcW w:w="1500" w:type="dxa"/>
            <w:vAlign w:val="center"/>
            <w:shd w:fill="DDE9EC"/>
          </w:tcPr>
          <w:p>
            <w:pPr>
              <w:spacing w:before="20" w:after="20" w:line="260" w:lineRule="auto"/>
              <w:jc w:val="left"/>
              <w:keepNext/>
            </w:pPr>
            <w:r>
              <w:rPr>
                <w:sz w:val="18"/>
                <w:b/>
              </w:rPr>
              <w:t>120 BE gesamt</w:t>
            </w:r>
          </w:p>
        </w:tc>
      </w:tr>
      <w:tr>
        <w:trPr>
          <w:cantSplit/>
        </w:trPr>
        <w:tc>
          <w:tcPr>
            <w:tcW w:w="1550" w:type="dxa"/>
            <w:vAlign w:val="center"/>
            <w:shd w:fill="FFFFFF"/>
          </w:tcPr>
          <w:p>
            <w:pPr>
              <w:spacing w:before="20" w:after="20" w:line="260" w:lineRule="auto"/>
              <w:jc w:val="left"/>
              <w:keepNext/>
            </w:pPr>
            <w:r>
              <w:rPr>
                <w:sz w:val="18"/>
              </w:rPr>
              <w:t>15</w:t>
            </w:r>
          </w:p>
        </w:tc>
        <w:tc>
          <w:tcPr>
            <w:tcW w:w="3124" w:type="dxa"/>
            <w:vAlign w:val="center"/>
            <w:shd w:fill="FFFFFF"/>
          </w:tcPr>
          <w:p>
            <w:pPr>
              <w:spacing w:before="20" w:after="20" w:line="260" w:lineRule="auto"/>
              <w:jc w:val="left"/>
              <w:keepNext/>
            </w:pPr>
            <w:r>
              <w:rPr>
                <w:sz w:val="18"/>
              </w:rPr>
              <w:t>sehr gut plus</w:t>
            </w:r>
          </w:p>
        </w:tc>
        <w:tc>
          <w:tcPr>
            <w:tcW w:w="1400" w:type="dxa"/>
            <w:vAlign w:val="center"/>
            <w:shd w:fill="FFFFFF"/>
          </w:tcPr>
          <w:p>
            <w:pPr>
              <w:spacing w:before="20" w:after="20" w:line="260" w:lineRule="auto"/>
              <w:jc w:val="left"/>
              <w:keepNext/>
            </w:pPr>
            <w:r>
              <w:rPr>
                <w:sz w:val="18"/>
              </w:rPr>
              <w:t>95 %</w:t>
            </w:r>
          </w:p>
        </w:tc>
        <w:tc>
          <w:tcPr>
            <w:tcW w:w="1500" w:type="dxa"/>
            <w:vAlign w:val="center"/>
            <w:shd w:fill="FFFFFF"/>
          </w:tcPr>
          <w:p>
            <w:pPr>
              <w:spacing w:before="20" w:after="20" w:line="260" w:lineRule="auto"/>
              <w:jc w:val="left"/>
              <w:keepNext/>
            </w:pPr>
            <w:r>
              <w:rPr>
                <w:sz w:val="18"/>
              </w:rPr>
              <w:t>95–100</w:t>
            </w:r>
          </w:p>
        </w:tc>
        <w:tc>
          <w:tcPr>
            <w:tcW w:w="1500" w:type="dxa"/>
            <w:vAlign w:val="center"/>
            <w:shd w:fill="FFFFFF"/>
          </w:tcPr>
          <w:p>
            <w:pPr>
              <w:spacing w:before="20" w:after="20" w:line="260" w:lineRule="auto"/>
              <w:jc w:val="left"/>
              <w:keepNext/>
            </w:pPr>
            <w:r>
              <w:rPr>
                <w:sz w:val="18"/>
              </w:rPr>
              <w:t>114–120</w:t>
            </w:r>
          </w:p>
        </w:tc>
      </w:tr>
      <w:tr>
        <w:trPr>
          <w:cantSplit/>
        </w:trPr>
        <w:tc>
          <w:tcPr>
            <w:tcW w:w="1550" w:type="dxa"/>
            <w:vAlign w:val="center"/>
            <w:shd w:fill="F1F5F6"/>
          </w:tcPr>
          <w:p>
            <w:pPr>
              <w:spacing w:before="20" w:after="20" w:line="260" w:lineRule="auto"/>
              <w:jc w:val="left"/>
              <w:keepNext/>
            </w:pPr>
            <w:r>
              <w:rPr>
                <w:sz w:val="18"/>
              </w:rPr>
              <w:t>14</w:t>
            </w:r>
          </w:p>
        </w:tc>
        <w:tc>
          <w:tcPr>
            <w:tcW w:w="3124" w:type="dxa"/>
            <w:vAlign w:val="center"/>
            <w:shd w:fill="F1F5F6"/>
          </w:tcPr>
          <w:p>
            <w:pPr>
              <w:spacing w:before="20" w:after="20" w:line="260" w:lineRule="auto"/>
              <w:jc w:val="left"/>
              <w:keepNext/>
            </w:pPr>
            <w:r>
              <w:rPr>
                <w:sz w:val="18"/>
              </w:rPr>
              <w:t>sehr gut</w:t>
            </w:r>
          </w:p>
        </w:tc>
        <w:tc>
          <w:tcPr>
            <w:tcW w:w="1400" w:type="dxa"/>
            <w:vAlign w:val="center"/>
            <w:shd w:fill="F1F5F6"/>
          </w:tcPr>
          <w:p>
            <w:pPr>
              <w:spacing w:before="20" w:after="20" w:line="260" w:lineRule="auto"/>
              <w:jc w:val="left"/>
              <w:keepNext/>
            </w:pPr>
            <w:r>
              <w:rPr>
                <w:sz w:val="18"/>
              </w:rPr>
              <w:t>90 %</w:t>
            </w:r>
          </w:p>
        </w:tc>
        <w:tc>
          <w:tcPr>
            <w:tcW w:w="1500" w:type="dxa"/>
            <w:vAlign w:val="center"/>
            <w:shd w:fill="F1F5F6"/>
          </w:tcPr>
          <w:p>
            <w:pPr>
              <w:spacing w:before="20" w:after="20" w:line="260" w:lineRule="auto"/>
              <w:jc w:val="left"/>
              <w:keepNext/>
            </w:pPr>
            <w:r>
              <w:rPr>
                <w:sz w:val="18"/>
              </w:rPr>
              <w:t>90–94</w:t>
            </w:r>
          </w:p>
        </w:tc>
        <w:tc>
          <w:tcPr>
            <w:tcW w:w="1500" w:type="dxa"/>
            <w:vAlign w:val="center"/>
            <w:shd w:fill="F1F5F6"/>
          </w:tcPr>
          <w:p>
            <w:pPr>
              <w:spacing w:before="20" w:after="20" w:line="260" w:lineRule="auto"/>
              <w:jc w:val="left"/>
              <w:keepNext/>
            </w:pPr>
            <w:r>
              <w:rPr>
                <w:sz w:val="18"/>
              </w:rPr>
              <w:t>108–113</w:t>
            </w:r>
          </w:p>
        </w:tc>
      </w:tr>
      <w:tr>
        <w:trPr>
          <w:cantSplit/>
        </w:trPr>
        <w:tc>
          <w:tcPr>
            <w:tcW w:w="1550" w:type="dxa"/>
            <w:vAlign w:val="center"/>
            <w:shd w:fill="FFFFFF"/>
          </w:tcPr>
          <w:p>
            <w:pPr>
              <w:spacing w:before="20" w:after="20" w:line="260" w:lineRule="auto"/>
              <w:jc w:val="left"/>
              <w:keepNext/>
            </w:pPr>
            <w:r>
              <w:rPr>
                <w:sz w:val="18"/>
              </w:rPr>
              <w:t>13</w:t>
            </w:r>
          </w:p>
        </w:tc>
        <w:tc>
          <w:tcPr>
            <w:tcW w:w="3124" w:type="dxa"/>
            <w:vAlign w:val="center"/>
            <w:shd w:fill="FFFFFF"/>
          </w:tcPr>
          <w:p>
            <w:pPr>
              <w:spacing w:before="20" w:after="20" w:line="260" w:lineRule="auto"/>
              <w:jc w:val="left"/>
              <w:keepNext/>
            </w:pPr>
            <w:r>
              <w:rPr>
                <w:sz w:val="18"/>
              </w:rPr>
              <w:t>sehr gut minus</w:t>
            </w:r>
          </w:p>
        </w:tc>
        <w:tc>
          <w:tcPr>
            <w:tcW w:w="1400" w:type="dxa"/>
            <w:vAlign w:val="center"/>
            <w:shd w:fill="FFFFFF"/>
          </w:tcPr>
          <w:p>
            <w:pPr>
              <w:spacing w:before="20" w:after="20" w:line="260" w:lineRule="auto"/>
              <w:jc w:val="left"/>
              <w:keepNext/>
            </w:pPr>
            <w:r>
              <w:rPr>
                <w:sz w:val="18"/>
              </w:rPr>
              <w:t>85 %</w:t>
            </w:r>
          </w:p>
        </w:tc>
        <w:tc>
          <w:tcPr>
            <w:tcW w:w="1500" w:type="dxa"/>
            <w:vAlign w:val="center"/>
            <w:shd w:fill="FFFFFF"/>
          </w:tcPr>
          <w:p>
            <w:pPr>
              <w:spacing w:before="20" w:after="20" w:line="260" w:lineRule="auto"/>
              <w:jc w:val="left"/>
              <w:keepNext/>
            </w:pPr>
            <w:r>
              <w:rPr>
                <w:sz w:val="18"/>
              </w:rPr>
              <w:t>85–89</w:t>
            </w:r>
          </w:p>
        </w:tc>
        <w:tc>
          <w:tcPr>
            <w:tcW w:w="1500" w:type="dxa"/>
            <w:vAlign w:val="center"/>
            <w:shd w:fill="FFFFFF"/>
          </w:tcPr>
          <w:p>
            <w:pPr>
              <w:spacing w:before="20" w:after="20" w:line="260" w:lineRule="auto"/>
              <w:jc w:val="left"/>
              <w:keepNext/>
            </w:pPr>
            <w:r>
              <w:rPr>
                <w:sz w:val="18"/>
              </w:rPr>
              <w:t>102–107</w:t>
            </w:r>
          </w:p>
        </w:tc>
      </w:tr>
      <w:tr>
        <w:trPr>
          <w:cantSplit/>
        </w:trPr>
        <w:tc>
          <w:tcPr>
            <w:tcW w:w="1550" w:type="dxa"/>
            <w:vAlign w:val="center"/>
            <w:shd w:fill="F1F5F6"/>
          </w:tcPr>
          <w:p>
            <w:pPr>
              <w:spacing w:before="20" w:after="20" w:line="260" w:lineRule="auto"/>
              <w:jc w:val="left"/>
              <w:keepNext/>
            </w:pPr>
            <w:r>
              <w:rPr>
                <w:sz w:val="18"/>
              </w:rPr>
              <w:t>12</w:t>
            </w:r>
          </w:p>
        </w:tc>
        <w:tc>
          <w:tcPr>
            <w:tcW w:w="3124" w:type="dxa"/>
            <w:vAlign w:val="center"/>
            <w:shd w:fill="F1F5F6"/>
          </w:tcPr>
          <w:p>
            <w:pPr>
              <w:spacing w:before="20" w:after="20" w:line="260" w:lineRule="auto"/>
              <w:jc w:val="left"/>
              <w:keepNext/>
            </w:pPr>
            <w:r>
              <w:rPr>
                <w:sz w:val="18"/>
              </w:rPr>
              <w:t>gut plus</w:t>
            </w:r>
          </w:p>
        </w:tc>
        <w:tc>
          <w:tcPr>
            <w:tcW w:w="1400" w:type="dxa"/>
            <w:vAlign w:val="center"/>
            <w:shd w:fill="F1F5F6"/>
          </w:tcPr>
          <w:p>
            <w:pPr>
              <w:spacing w:before="20" w:after="20" w:line="260" w:lineRule="auto"/>
              <w:jc w:val="left"/>
              <w:keepNext/>
            </w:pPr>
            <w:r>
              <w:rPr>
                <w:sz w:val="18"/>
              </w:rPr>
              <w:t>80 %</w:t>
            </w:r>
          </w:p>
        </w:tc>
        <w:tc>
          <w:tcPr>
            <w:tcW w:w="1500" w:type="dxa"/>
            <w:vAlign w:val="center"/>
            <w:shd w:fill="F1F5F6"/>
          </w:tcPr>
          <w:p>
            <w:pPr>
              <w:spacing w:before="20" w:after="20" w:line="260" w:lineRule="auto"/>
              <w:jc w:val="left"/>
              <w:keepNext/>
            </w:pPr>
            <w:r>
              <w:rPr>
                <w:sz w:val="18"/>
              </w:rPr>
              <w:t>80–84</w:t>
            </w:r>
          </w:p>
        </w:tc>
        <w:tc>
          <w:tcPr>
            <w:tcW w:w="1500" w:type="dxa"/>
            <w:vAlign w:val="center"/>
            <w:shd w:fill="F1F5F6"/>
          </w:tcPr>
          <w:p>
            <w:pPr>
              <w:spacing w:before="20" w:after="20" w:line="260" w:lineRule="auto"/>
              <w:jc w:val="left"/>
              <w:keepNext/>
            </w:pPr>
            <w:r>
              <w:rPr>
                <w:sz w:val="18"/>
              </w:rPr>
              <w:t>96–101</w:t>
            </w:r>
          </w:p>
        </w:tc>
      </w:tr>
      <w:tr>
        <w:trPr>
          <w:cantSplit/>
        </w:trPr>
        <w:tc>
          <w:tcPr>
            <w:tcW w:w="1550" w:type="dxa"/>
            <w:vAlign w:val="center"/>
            <w:shd w:fill="FFFFFF"/>
          </w:tcPr>
          <w:p>
            <w:pPr>
              <w:spacing w:before="20" w:after="20" w:line="260" w:lineRule="auto"/>
              <w:jc w:val="left"/>
              <w:keepNext/>
            </w:pPr>
            <w:r>
              <w:rPr>
                <w:sz w:val="18"/>
              </w:rPr>
              <w:t>11</w:t>
            </w:r>
          </w:p>
        </w:tc>
        <w:tc>
          <w:tcPr>
            <w:tcW w:w="3124" w:type="dxa"/>
            <w:vAlign w:val="center"/>
            <w:shd w:fill="FFFFFF"/>
          </w:tcPr>
          <w:p>
            <w:pPr>
              <w:spacing w:before="20" w:after="20" w:line="260" w:lineRule="auto"/>
              <w:jc w:val="left"/>
              <w:keepNext/>
            </w:pPr>
            <w:r>
              <w:rPr>
                <w:sz w:val="18"/>
              </w:rPr>
              <w:t>gut</w:t>
            </w:r>
          </w:p>
        </w:tc>
        <w:tc>
          <w:tcPr>
            <w:tcW w:w="1400" w:type="dxa"/>
            <w:vAlign w:val="center"/>
            <w:shd w:fill="FFFFFF"/>
          </w:tcPr>
          <w:p>
            <w:pPr>
              <w:spacing w:before="20" w:after="20" w:line="260" w:lineRule="auto"/>
              <w:jc w:val="left"/>
              <w:keepNext/>
            </w:pPr>
            <w:r>
              <w:rPr>
                <w:sz w:val="18"/>
              </w:rPr>
              <w:t>75 %</w:t>
            </w:r>
          </w:p>
        </w:tc>
        <w:tc>
          <w:tcPr>
            <w:tcW w:w="1500" w:type="dxa"/>
            <w:vAlign w:val="center"/>
            <w:shd w:fill="FFFFFF"/>
          </w:tcPr>
          <w:p>
            <w:pPr>
              <w:spacing w:before="20" w:after="20" w:line="260" w:lineRule="auto"/>
              <w:jc w:val="left"/>
              <w:keepNext/>
            </w:pPr>
            <w:r>
              <w:rPr>
                <w:sz w:val="18"/>
              </w:rPr>
              <w:t>75–79</w:t>
            </w:r>
          </w:p>
        </w:tc>
        <w:tc>
          <w:tcPr>
            <w:tcW w:w="1500" w:type="dxa"/>
            <w:vAlign w:val="center"/>
            <w:shd w:fill="FFFFFF"/>
          </w:tcPr>
          <w:p>
            <w:pPr>
              <w:spacing w:before="20" w:after="20" w:line="260" w:lineRule="auto"/>
              <w:jc w:val="left"/>
              <w:keepNext/>
            </w:pPr>
            <w:r>
              <w:rPr>
                <w:sz w:val="18"/>
              </w:rPr>
              <w:t>90–95</w:t>
            </w:r>
          </w:p>
        </w:tc>
      </w:tr>
      <w:tr>
        <w:trPr>
          <w:cantSplit/>
        </w:trPr>
        <w:tc>
          <w:tcPr>
            <w:tcW w:w="1550" w:type="dxa"/>
            <w:vAlign w:val="center"/>
            <w:shd w:fill="F1F5F6"/>
          </w:tcPr>
          <w:p>
            <w:pPr>
              <w:spacing w:before="20" w:after="20" w:line="260" w:lineRule="auto"/>
              <w:jc w:val="left"/>
              <w:keepNext/>
            </w:pPr>
            <w:r>
              <w:rPr>
                <w:sz w:val="18"/>
              </w:rPr>
              <w:t>10</w:t>
            </w:r>
          </w:p>
        </w:tc>
        <w:tc>
          <w:tcPr>
            <w:tcW w:w="3124" w:type="dxa"/>
            <w:vAlign w:val="center"/>
            <w:shd w:fill="F1F5F6"/>
          </w:tcPr>
          <w:p>
            <w:pPr>
              <w:spacing w:before="20" w:after="20" w:line="260" w:lineRule="auto"/>
              <w:jc w:val="left"/>
              <w:keepNext/>
            </w:pPr>
            <w:r>
              <w:rPr>
                <w:sz w:val="18"/>
              </w:rPr>
              <w:t>gut minus</w:t>
            </w:r>
          </w:p>
        </w:tc>
        <w:tc>
          <w:tcPr>
            <w:tcW w:w="1400" w:type="dxa"/>
            <w:vAlign w:val="center"/>
            <w:shd w:fill="F1F5F6"/>
          </w:tcPr>
          <w:p>
            <w:pPr>
              <w:spacing w:before="20" w:after="20" w:line="260" w:lineRule="auto"/>
              <w:jc w:val="left"/>
              <w:keepNext/>
            </w:pPr>
            <w:r>
              <w:rPr>
                <w:sz w:val="18"/>
              </w:rPr>
              <w:t>70 %</w:t>
            </w:r>
          </w:p>
        </w:tc>
        <w:tc>
          <w:tcPr>
            <w:tcW w:w="1500" w:type="dxa"/>
            <w:vAlign w:val="center"/>
            <w:shd w:fill="F1F5F6"/>
          </w:tcPr>
          <w:p>
            <w:pPr>
              <w:spacing w:before="20" w:after="20" w:line="260" w:lineRule="auto"/>
              <w:jc w:val="left"/>
              <w:keepNext/>
            </w:pPr>
            <w:r>
              <w:rPr>
                <w:sz w:val="18"/>
              </w:rPr>
              <w:t>70–74</w:t>
            </w:r>
          </w:p>
        </w:tc>
        <w:tc>
          <w:tcPr>
            <w:tcW w:w="1500" w:type="dxa"/>
            <w:vAlign w:val="center"/>
            <w:shd w:fill="F1F5F6"/>
          </w:tcPr>
          <w:p>
            <w:pPr>
              <w:spacing w:before="20" w:after="20" w:line="260" w:lineRule="auto"/>
              <w:jc w:val="left"/>
              <w:keepNext/>
            </w:pPr>
            <w:r>
              <w:rPr>
                <w:sz w:val="18"/>
              </w:rPr>
              <w:t>84–89</w:t>
            </w:r>
          </w:p>
        </w:tc>
      </w:tr>
      <w:tr>
        <w:trPr>
          <w:cantSplit/>
        </w:trPr>
        <w:tc>
          <w:tcPr>
            <w:tcW w:w="1550" w:type="dxa"/>
            <w:vAlign w:val="center"/>
            <w:shd w:fill="FFFFFF"/>
          </w:tcPr>
          <w:p>
            <w:pPr>
              <w:spacing w:before="20" w:after="20" w:line="260" w:lineRule="auto"/>
              <w:jc w:val="left"/>
              <w:keepNext/>
            </w:pPr>
            <w:r>
              <w:rPr>
                <w:sz w:val="18"/>
              </w:rPr>
              <w:t>9</w:t>
            </w:r>
          </w:p>
        </w:tc>
        <w:tc>
          <w:tcPr>
            <w:tcW w:w="3124" w:type="dxa"/>
            <w:vAlign w:val="center"/>
            <w:shd w:fill="FFFFFF"/>
          </w:tcPr>
          <w:p>
            <w:pPr>
              <w:spacing w:before="20" w:after="20" w:line="260" w:lineRule="auto"/>
              <w:jc w:val="left"/>
              <w:keepNext/>
            </w:pPr>
            <w:r>
              <w:rPr>
                <w:sz w:val="18"/>
              </w:rPr>
              <w:t>befriedigend plus</w:t>
            </w:r>
          </w:p>
        </w:tc>
        <w:tc>
          <w:tcPr>
            <w:tcW w:w="1400" w:type="dxa"/>
            <w:vAlign w:val="center"/>
            <w:shd w:fill="FFFFFF"/>
          </w:tcPr>
          <w:p>
            <w:pPr>
              <w:spacing w:before="20" w:after="20" w:line="260" w:lineRule="auto"/>
              <w:jc w:val="left"/>
              <w:keepNext/>
            </w:pPr>
            <w:r>
              <w:rPr>
                <w:sz w:val="18"/>
              </w:rPr>
              <w:t>65 %</w:t>
            </w:r>
          </w:p>
        </w:tc>
        <w:tc>
          <w:tcPr>
            <w:tcW w:w="1500" w:type="dxa"/>
            <w:vAlign w:val="center"/>
            <w:shd w:fill="FFFFFF"/>
          </w:tcPr>
          <w:p>
            <w:pPr>
              <w:spacing w:before="20" w:after="20" w:line="260" w:lineRule="auto"/>
              <w:jc w:val="left"/>
              <w:keepNext/>
            </w:pPr>
            <w:r>
              <w:rPr>
                <w:sz w:val="18"/>
              </w:rPr>
              <w:t>65–69</w:t>
            </w:r>
          </w:p>
        </w:tc>
        <w:tc>
          <w:tcPr>
            <w:tcW w:w="1500" w:type="dxa"/>
            <w:vAlign w:val="center"/>
            <w:shd w:fill="FFFFFF"/>
          </w:tcPr>
          <w:p>
            <w:pPr>
              <w:spacing w:before="20" w:after="20" w:line="260" w:lineRule="auto"/>
              <w:jc w:val="left"/>
              <w:keepNext/>
            </w:pPr>
            <w:r>
              <w:rPr>
                <w:sz w:val="18"/>
              </w:rPr>
              <w:t>78–83</w:t>
            </w:r>
          </w:p>
        </w:tc>
      </w:tr>
      <w:tr>
        <w:trPr>
          <w:cantSplit/>
        </w:trPr>
        <w:tc>
          <w:tcPr>
            <w:tcW w:w="1550" w:type="dxa"/>
            <w:vAlign w:val="center"/>
            <w:shd w:fill="F1F5F6"/>
          </w:tcPr>
          <w:p>
            <w:pPr>
              <w:spacing w:before="20" w:after="20" w:line="260" w:lineRule="auto"/>
              <w:jc w:val="left"/>
              <w:keepNext/>
            </w:pPr>
            <w:r>
              <w:rPr>
                <w:sz w:val="18"/>
              </w:rPr>
              <w:t>8</w:t>
            </w:r>
          </w:p>
        </w:tc>
        <w:tc>
          <w:tcPr>
            <w:tcW w:w="3124" w:type="dxa"/>
            <w:vAlign w:val="center"/>
            <w:shd w:fill="F1F5F6"/>
          </w:tcPr>
          <w:p>
            <w:pPr>
              <w:spacing w:before="20" w:after="20" w:line="260" w:lineRule="auto"/>
              <w:jc w:val="left"/>
              <w:keepNext/>
            </w:pPr>
            <w:r>
              <w:rPr>
                <w:sz w:val="18"/>
              </w:rPr>
              <w:t>befriedigend</w:t>
            </w:r>
          </w:p>
        </w:tc>
        <w:tc>
          <w:tcPr>
            <w:tcW w:w="1400" w:type="dxa"/>
            <w:vAlign w:val="center"/>
            <w:shd w:fill="F1F5F6"/>
          </w:tcPr>
          <w:p>
            <w:pPr>
              <w:spacing w:before="20" w:after="20" w:line="260" w:lineRule="auto"/>
              <w:jc w:val="left"/>
              <w:keepNext/>
            </w:pPr>
            <w:r>
              <w:rPr>
                <w:sz w:val="18"/>
              </w:rPr>
              <w:t>60 %</w:t>
            </w:r>
          </w:p>
        </w:tc>
        <w:tc>
          <w:tcPr>
            <w:tcW w:w="1500" w:type="dxa"/>
            <w:vAlign w:val="center"/>
            <w:shd w:fill="F1F5F6"/>
          </w:tcPr>
          <w:p>
            <w:pPr>
              <w:spacing w:before="20" w:after="20" w:line="260" w:lineRule="auto"/>
              <w:jc w:val="left"/>
              <w:keepNext/>
            </w:pPr>
            <w:r>
              <w:rPr>
                <w:sz w:val="18"/>
              </w:rPr>
              <w:t>60–64</w:t>
            </w:r>
          </w:p>
        </w:tc>
        <w:tc>
          <w:tcPr>
            <w:tcW w:w="1500" w:type="dxa"/>
            <w:vAlign w:val="center"/>
            <w:shd w:fill="F1F5F6"/>
          </w:tcPr>
          <w:p>
            <w:pPr>
              <w:spacing w:before="20" w:after="20" w:line="260" w:lineRule="auto"/>
              <w:jc w:val="left"/>
              <w:keepNext/>
            </w:pPr>
            <w:r>
              <w:rPr>
                <w:sz w:val="18"/>
              </w:rPr>
              <w:t>72–77</w:t>
            </w:r>
          </w:p>
        </w:tc>
      </w:tr>
      <w:tr>
        <w:trPr>
          <w:cantSplit/>
        </w:trPr>
        <w:tc>
          <w:tcPr>
            <w:tcW w:w="1550" w:type="dxa"/>
            <w:vAlign w:val="center"/>
            <w:shd w:fill="FFFFFF"/>
          </w:tcPr>
          <w:p>
            <w:pPr>
              <w:spacing w:before="20" w:after="20" w:line="260" w:lineRule="auto"/>
              <w:jc w:val="left"/>
              <w:keepNext/>
            </w:pPr>
            <w:r>
              <w:rPr>
                <w:sz w:val="18"/>
              </w:rPr>
              <w:t>7</w:t>
            </w:r>
          </w:p>
        </w:tc>
        <w:tc>
          <w:tcPr>
            <w:tcW w:w="3124" w:type="dxa"/>
            <w:vAlign w:val="center"/>
            <w:shd w:fill="FFFFFF"/>
          </w:tcPr>
          <w:p>
            <w:pPr>
              <w:spacing w:before="20" w:after="20" w:line="260" w:lineRule="auto"/>
              <w:jc w:val="left"/>
              <w:keepNext/>
            </w:pPr>
            <w:r>
              <w:rPr>
                <w:sz w:val="18"/>
              </w:rPr>
              <w:t>befriedigend minus</w:t>
            </w:r>
          </w:p>
        </w:tc>
        <w:tc>
          <w:tcPr>
            <w:tcW w:w="1400" w:type="dxa"/>
            <w:vAlign w:val="center"/>
            <w:shd w:fill="FFFFFF"/>
          </w:tcPr>
          <w:p>
            <w:pPr>
              <w:spacing w:before="20" w:after="20" w:line="260" w:lineRule="auto"/>
              <w:jc w:val="left"/>
              <w:keepNext/>
            </w:pPr>
            <w:r>
              <w:rPr>
                <w:sz w:val="18"/>
              </w:rPr>
              <w:t>55 %</w:t>
            </w:r>
          </w:p>
        </w:tc>
        <w:tc>
          <w:tcPr>
            <w:tcW w:w="1500" w:type="dxa"/>
            <w:vAlign w:val="center"/>
            <w:shd w:fill="FFFFFF"/>
          </w:tcPr>
          <w:p>
            <w:pPr>
              <w:spacing w:before="20" w:after="20" w:line="260" w:lineRule="auto"/>
              <w:jc w:val="left"/>
              <w:keepNext/>
            </w:pPr>
            <w:r>
              <w:rPr>
                <w:sz w:val="18"/>
              </w:rPr>
              <w:t>55–59</w:t>
            </w:r>
          </w:p>
        </w:tc>
        <w:tc>
          <w:tcPr>
            <w:tcW w:w="1500" w:type="dxa"/>
            <w:vAlign w:val="center"/>
            <w:shd w:fill="FFFFFF"/>
          </w:tcPr>
          <w:p>
            <w:pPr>
              <w:spacing w:before="20" w:after="20" w:line="260" w:lineRule="auto"/>
              <w:jc w:val="left"/>
              <w:keepNext/>
            </w:pPr>
            <w:r>
              <w:rPr>
                <w:sz w:val="18"/>
              </w:rPr>
              <w:t>66–71</w:t>
            </w:r>
          </w:p>
        </w:tc>
      </w:tr>
      <w:tr>
        <w:trPr>
          <w:cantSplit/>
        </w:trPr>
        <w:tc>
          <w:tcPr>
            <w:tcW w:w="1550" w:type="dxa"/>
            <w:vAlign w:val="center"/>
            <w:shd w:fill="F1F5F6"/>
          </w:tcPr>
          <w:p>
            <w:pPr>
              <w:spacing w:before="20" w:after="20" w:line="260" w:lineRule="auto"/>
              <w:jc w:val="left"/>
              <w:keepNext/>
            </w:pPr>
            <w:r>
              <w:rPr>
                <w:sz w:val="18"/>
              </w:rPr>
              <w:t>6</w:t>
            </w:r>
          </w:p>
        </w:tc>
        <w:tc>
          <w:tcPr>
            <w:tcW w:w="3124" w:type="dxa"/>
            <w:vAlign w:val="center"/>
            <w:shd w:fill="F1F5F6"/>
          </w:tcPr>
          <w:p>
            <w:pPr>
              <w:spacing w:before="20" w:after="20" w:line="260" w:lineRule="auto"/>
              <w:jc w:val="left"/>
              <w:keepNext/>
            </w:pPr>
            <w:r>
              <w:rPr>
                <w:sz w:val="18"/>
              </w:rPr>
              <w:t>ausreichend plus</w:t>
            </w:r>
          </w:p>
        </w:tc>
        <w:tc>
          <w:tcPr>
            <w:tcW w:w="1400" w:type="dxa"/>
            <w:vAlign w:val="center"/>
            <w:shd w:fill="F1F5F6"/>
          </w:tcPr>
          <w:p>
            <w:pPr>
              <w:spacing w:before="20" w:after="20" w:line="260" w:lineRule="auto"/>
              <w:jc w:val="left"/>
              <w:keepNext/>
            </w:pPr>
            <w:r>
              <w:rPr>
                <w:sz w:val="18"/>
              </w:rPr>
              <w:t>50 %</w:t>
            </w:r>
          </w:p>
        </w:tc>
        <w:tc>
          <w:tcPr>
            <w:tcW w:w="1500" w:type="dxa"/>
            <w:vAlign w:val="center"/>
            <w:shd w:fill="F1F5F6"/>
          </w:tcPr>
          <w:p>
            <w:pPr>
              <w:spacing w:before="20" w:after="20" w:line="260" w:lineRule="auto"/>
              <w:jc w:val="left"/>
              <w:keepNext/>
            </w:pPr>
            <w:r>
              <w:rPr>
                <w:sz w:val="18"/>
              </w:rPr>
              <w:t>50–54</w:t>
            </w:r>
          </w:p>
        </w:tc>
        <w:tc>
          <w:tcPr>
            <w:tcW w:w="1500" w:type="dxa"/>
            <w:vAlign w:val="center"/>
            <w:shd w:fill="F1F5F6"/>
          </w:tcPr>
          <w:p>
            <w:pPr>
              <w:spacing w:before="20" w:after="20" w:line="260" w:lineRule="auto"/>
              <w:jc w:val="left"/>
              <w:keepNext/>
            </w:pPr>
            <w:r>
              <w:rPr>
                <w:sz w:val="18"/>
              </w:rPr>
              <w:t>60–65</w:t>
            </w:r>
          </w:p>
        </w:tc>
      </w:tr>
      <w:tr>
        <w:trPr>
          <w:cantSplit/>
        </w:trPr>
        <w:tc>
          <w:tcPr>
            <w:tcW w:w="1550" w:type="dxa"/>
            <w:vAlign w:val="center"/>
            <w:shd w:fill="FFFFFF"/>
          </w:tcPr>
          <w:p>
            <w:pPr>
              <w:spacing w:before="20" w:after="20" w:line="260" w:lineRule="auto"/>
              <w:jc w:val="left"/>
              <w:keepNext/>
            </w:pPr>
            <w:r>
              <w:rPr>
                <w:sz w:val="18"/>
              </w:rPr>
              <w:t>5</w:t>
            </w:r>
          </w:p>
        </w:tc>
        <w:tc>
          <w:tcPr>
            <w:tcW w:w="3124" w:type="dxa"/>
            <w:vAlign w:val="center"/>
            <w:shd w:fill="FFFFFF"/>
          </w:tcPr>
          <w:p>
            <w:pPr>
              <w:spacing w:before="20" w:after="20" w:line="260" w:lineRule="auto"/>
              <w:jc w:val="left"/>
              <w:keepNext/>
            </w:pPr>
            <w:r>
              <w:rPr>
                <w:sz w:val="18"/>
              </w:rPr>
              <w:t>ausreichend</w:t>
            </w:r>
          </w:p>
        </w:tc>
        <w:tc>
          <w:tcPr>
            <w:tcW w:w="1400" w:type="dxa"/>
            <w:vAlign w:val="center"/>
            <w:shd w:fill="FFFFFF"/>
          </w:tcPr>
          <w:p>
            <w:pPr>
              <w:spacing w:before="20" w:after="20" w:line="260" w:lineRule="auto"/>
              <w:jc w:val="left"/>
              <w:keepNext/>
            </w:pPr>
            <w:r>
              <w:rPr>
                <w:sz w:val="18"/>
              </w:rPr>
              <w:t>45 %</w:t>
            </w:r>
          </w:p>
        </w:tc>
        <w:tc>
          <w:tcPr>
            <w:tcW w:w="1500" w:type="dxa"/>
            <w:vAlign w:val="center"/>
            <w:shd w:fill="FFFFFF"/>
          </w:tcPr>
          <w:p>
            <w:pPr>
              <w:spacing w:before="20" w:after="20" w:line="260" w:lineRule="auto"/>
              <w:jc w:val="left"/>
              <w:keepNext/>
            </w:pPr>
            <w:r>
              <w:rPr>
                <w:sz w:val="18"/>
              </w:rPr>
              <w:t>45–49</w:t>
            </w:r>
          </w:p>
        </w:tc>
        <w:tc>
          <w:tcPr>
            <w:tcW w:w="1500" w:type="dxa"/>
            <w:vAlign w:val="center"/>
            <w:shd w:fill="FFFFFF"/>
          </w:tcPr>
          <w:p>
            <w:pPr>
              <w:spacing w:before="20" w:after="20" w:line="260" w:lineRule="auto"/>
              <w:jc w:val="left"/>
              <w:keepNext/>
            </w:pPr>
            <w:r>
              <w:rPr>
                <w:sz w:val="18"/>
              </w:rPr>
              <w:t>54–59</w:t>
            </w:r>
          </w:p>
        </w:tc>
      </w:tr>
      <w:tr>
        <w:trPr>
          <w:cantSplit/>
        </w:trPr>
        <w:tc>
          <w:tcPr>
            <w:tcW w:w="1550" w:type="dxa"/>
            <w:vAlign w:val="center"/>
            <w:shd w:fill="F1F5F6"/>
          </w:tcPr>
          <w:p>
            <w:pPr>
              <w:spacing w:before="20" w:after="20" w:line="260" w:lineRule="auto"/>
              <w:jc w:val="left"/>
              <w:keepNext/>
            </w:pPr>
            <w:r>
              <w:rPr>
                <w:sz w:val="18"/>
              </w:rPr>
              <w:t>4</w:t>
            </w:r>
          </w:p>
        </w:tc>
        <w:tc>
          <w:tcPr>
            <w:tcW w:w="3124" w:type="dxa"/>
            <w:vAlign w:val="center"/>
            <w:shd w:fill="F1F5F6"/>
          </w:tcPr>
          <w:p>
            <w:pPr>
              <w:spacing w:before="20" w:after="20" w:line="260" w:lineRule="auto"/>
              <w:jc w:val="left"/>
              <w:keepNext/>
            </w:pPr>
            <w:r>
              <w:rPr>
                <w:sz w:val="18"/>
              </w:rPr>
              <w:t>ausreichend minus¹</w:t>
            </w:r>
          </w:p>
        </w:tc>
        <w:tc>
          <w:tcPr>
            <w:tcW w:w="1400" w:type="dxa"/>
            <w:vAlign w:val="center"/>
            <w:shd w:fill="F1F5F6"/>
          </w:tcPr>
          <w:p>
            <w:pPr>
              <w:spacing w:before="20" w:after="20" w:line="260" w:lineRule="auto"/>
              <w:jc w:val="left"/>
              <w:keepNext/>
            </w:pPr>
            <w:r>
              <w:rPr>
                <w:sz w:val="18"/>
              </w:rPr>
              <w:t>40 %</w:t>
            </w:r>
          </w:p>
        </w:tc>
        <w:tc>
          <w:tcPr>
            <w:tcW w:w="1500" w:type="dxa"/>
            <w:vAlign w:val="center"/>
            <w:shd w:fill="F1F5F6"/>
          </w:tcPr>
          <w:p>
            <w:pPr>
              <w:spacing w:before="20" w:after="20" w:line="260" w:lineRule="auto"/>
              <w:jc w:val="left"/>
              <w:keepNext/>
            </w:pPr>
            <w:r>
              <w:rPr>
                <w:sz w:val="18"/>
              </w:rPr>
              <w:t>40–44</w:t>
            </w:r>
          </w:p>
        </w:tc>
        <w:tc>
          <w:tcPr>
            <w:tcW w:w="1500" w:type="dxa"/>
            <w:vAlign w:val="center"/>
            <w:shd w:fill="F1F5F6"/>
          </w:tcPr>
          <w:p>
            <w:pPr>
              <w:spacing w:before="20" w:after="20" w:line="260" w:lineRule="auto"/>
              <w:jc w:val="left"/>
              <w:keepNext/>
            </w:pPr>
            <w:r>
              <w:rPr>
                <w:sz w:val="18"/>
              </w:rPr>
              <w:t>48–53</w:t>
            </w:r>
          </w:p>
        </w:tc>
      </w:tr>
      <w:tr>
        <w:trPr>
          <w:cantSplit/>
        </w:trPr>
        <w:tc>
          <w:tcPr>
            <w:tcW w:w="1550" w:type="dxa"/>
            <w:vAlign w:val="center"/>
            <w:shd w:fill="FFFFFF"/>
          </w:tcPr>
          <w:p>
            <w:pPr>
              <w:spacing w:before="20" w:after="20" w:line="260" w:lineRule="auto"/>
              <w:jc w:val="left"/>
              <w:keepNext/>
            </w:pPr>
            <w:r>
              <w:rPr>
                <w:sz w:val="18"/>
              </w:rPr>
              <w:t>3</w:t>
            </w:r>
          </w:p>
        </w:tc>
        <w:tc>
          <w:tcPr>
            <w:tcW w:w="3124" w:type="dxa"/>
            <w:vAlign w:val="center"/>
            <w:shd w:fill="FFFFFF"/>
          </w:tcPr>
          <w:p>
            <w:pPr>
              <w:spacing w:before="20" w:after="20" w:line="260" w:lineRule="auto"/>
              <w:jc w:val="left"/>
              <w:keepNext/>
            </w:pPr>
            <w:r>
              <w:rPr>
                <w:sz w:val="18"/>
              </w:rPr>
              <w:t>mangelhaft plus</w:t>
            </w:r>
          </w:p>
        </w:tc>
        <w:tc>
          <w:tcPr>
            <w:tcW w:w="1400" w:type="dxa"/>
            <w:vAlign w:val="center"/>
            <w:shd w:fill="FFFFFF"/>
          </w:tcPr>
          <w:p>
            <w:pPr>
              <w:spacing w:before="20" w:after="20" w:line="260" w:lineRule="auto"/>
              <w:jc w:val="left"/>
              <w:keepNext/>
            </w:pPr>
            <w:r>
              <w:rPr>
                <w:sz w:val="18"/>
              </w:rPr>
              <w:t>33 %</w:t>
            </w:r>
          </w:p>
        </w:tc>
        <w:tc>
          <w:tcPr>
            <w:tcW w:w="1500" w:type="dxa"/>
            <w:vAlign w:val="center"/>
            <w:shd w:fill="FFFFFF"/>
          </w:tcPr>
          <w:p>
            <w:pPr>
              <w:spacing w:before="20" w:after="20" w:line="260" w:lineRule="auto"/>
              <w:jc w:val="left"/>
              <w:keepNext/>
            </w:pPr>
            <w:r>
              <w:rPr>
                <w:sz w:val="18"/>
              </w:rPr>
              <w:t>33–39</w:t>
            </w:r>
          </w:p>
        </w:tc>
        <w:tc>
          <w:tcPr>
            <w:tcW w:w="1500" w:type="dxa"/>
            <w:vAlign w:val="center"/>
            <w:shd w:fill="FFFFFF"/>
          </w:tcPr>
          <w:p>
            <w:pPr>
              <w:spacing w:before="20" w:after="20" w:line="260" w:lineRule="auto"/>
              <w:jc w:val="left"/>
              <w:keepNext/>
            </w:pPr>
            <w:r>
              <w:rPr>
                <w:sz w:val="18"/>
              </w:rPr>
              <w:t>40–47</w:t>
            </w:r>
          </w:p>
        </w:tc>
      </w:tr>
      <w:tr>
        <w:trPr>
          <w:cantSplit/>
        </w:trPr>
        <w:tc>
          <w:tcPr>
            <w:tcW w:w="1550" w:type="dxa"/>
            <w:vAlign w:val="center"/>
            <w:shd w:fill="F1F5F6"/>
          </w:tcPr>
          <w:p>
            <w:pPr>
              <w:spacing w:before="20" w:after="20" w:line="260" w:lineRule="auto"/>
              <w:jc w:val="left"/>
              <w:keepNext/>
            </w:pPr>
            <w:r>
              <w:rPr>
                <w:sz w:val="18"/>
              </w:rPr>
              <w:t>2</w:t>
            </w:r>
          </w:p>
        </w:tc>
        <w:tc>
          <w:tcPr>
            <w:tcW w:w="3124" w:type="dxa"/>
            <w:vAlign w:val="center"/>
            <w:shd w:fill="F1F5F6"/>
          </w:tcPr>
          <w:p>
            <w:pPr>
              <w:spacing w:before="20" w:after="20" w:line="260" w:lineRule="auto"/>
              <w:jc w:val="left"/>
              <w:keepNext/>
            </w:pPr>
            <w:r>
              <w:rPr>
                <w:sz w:val="18"/>
              </w:rPr>
              <w:t>mangelhaft</w:t>
            </w:r>
          </w:p>
        </w:tc>
        <w:tc>
          <w:tcPr>
            <w:tcW w:w="1400" w:type="dxa"/>
            <w:vAlign w:val="center"/>
            <w:shd w:fill="F1F5F6"/>
          </w:tcPr>
          <w:p>
            <w:pPr>
              <w:spacing w:before="20" w:after="20" w:line="260" w:lineRule="auto"/>
              <w:jc w:val="left"/>
              <w:keepNext/>
            </w:pPr>
            <w:r>
              <w:rPr>
                <w:sz w:val="18"/>
              </w:rPr>
              <w:t>27 %</w:t>
            </w:r>
          </w:p>
        </w:tc>
        <w:tc>
          <w:tcPr>
            <w:tcW w:w="1500" w:type="dxa"/>
            <w:vAlign w:val="center"/>
            <w:shd w:fill="F1F5F6"/>
          </w:tcPr>
          <w:p>
            <w:pPr>
              <w:spacing w:before="20" w:after="20" w:line="260" w:lineRule="auto"/>
              <w:jc w:val="left"/>
              <w:keepNext/>
            </w:pPr>
            <w:r>
              <w:rPr>
                <w:sz w:val="18"/>
              </w:rPr>
              <w:t>27–32</w:t>
            </w:r>
          </w:p>
        </w:tc>
        <w:tc>
          <w:tcPr>
            <w:tcW w:w="1500" w:type="dxa"/>
            <w:vAlign w:val="center"/>
            <w:shd w:fill="F1F5F6"/>
          </w:tcPr>
          <w:p>
            <w:pPr>
              <w:spacing w:before="20" w:after="20" w:line="260" w:lineRule="auto"/>
              <w:jc w:val="left"/>
              <w:keepNext/>
            </w:pPr>
            <w:r>
              <w:rPr>
                <w:sz w:val="18"/>
              </w:rPr>
              <w:t>33–39</w:t>
            </w:r>
          </w:p>
        </w:tc>
      </w:tr>
      <w:tr>
        <w:trPr>
          <w:cantSplit/>
        </w:trPr>
        <w:tc>
          <w:tcPr>
            <w:tcW w:w="1550" w:type="dxa"/>
            <w:vAlign w:val="center"/>
            <w:shd w:fill="FFFFFF"/>
          </w:tcPr>
          <w:p>
            <w:pPr>
              <w:spacing w:before="20" w:after="20" w:line="260" w:lineRule="auto"/>
              <w:jc w:val="left"/>
              <w:keepNext/>
            </w:pPr>
            <w:r>
              <w:rPr>
                <w:sz w:val="18"/>
              </w:rPr>
              <w:t>1</w:t>
            </w:r>
          </w:p>
        </w:tc>
        <w:tc>
          <w:tcPr>
            <w:tcW w:w="3124" w:type="dxa"/>
            <w:vAlign w:val="center"/>
            <w:shd w:fill="FFFFFF"/>
          </w:tcPr>
          <w:p>
            <w:pPr>
              <w:spacing w:before="20" w:after="20" w:line="260" w:lineRule="auto"/>
              <w:jc w:val="left"/>
              <w:keepNext/>
            </w:pPr>
            <w:r>
              <w:rPr>
                <w:sz w:val="18"/>
              </w:rPr>
              <w:t>mangelhaft minus</w:t>
            </w:r>
          </w:p>
        </w:tc>
        <w:tc>
          <w:tcPr>
            <w:tcW w:w="1400" w:type="dxa"/>
            <w:vAlign w:val="center"/>
            <w:shd w:fill="FFFFFF"/>
          </w:tcPr>
          <w:p>
            <w:pPr>
              <w:spacing w:before="20" w:after="20" w:line="260" w:lineRule="auto"/>
              <w:jc w:val="left"/>
              <w:keepNext/>
            </w:pPr>
            <w:r>
              <w:rPr>
                <w:sz w:val="18"/>
              </w:rPr>
              <w:t>20 %</w:t>
            </w:r>
          </w:p>
        </w:tc>
        <w:tc>
          <w:tcPr>
            <w:tcW w:w="1500" w:type="dxa"/>
            <w:vAlign w:val="center"/>
            <w:shd w:fill="FFFFFF"/>
          </w:tcPr>
          <w:p>
            <w:pPr>
              <w:spacing w:before="20" w:after="20" w:line="260" w:lineRule="auto"/>
              <w:jc w:val="left"/>
              <w:keepNext/>
            </w:pPr>
            <w:r>
              <w:rPr>
                <w:sz w:val="18"/>
              </w:rPr>
              <w:t>20–26</w:t>
            </w:r>
          </w:p>
        </w:tc>
        <w:tc>
          <w:tcPr>
            <w:tcW w:w="1500" w:type="dxa"/>
            <w:vAlign w:val="center"/>
            <w:shd w:fill="FFFFFF"/>
          </w:tcPr>
          <w:p>
            <w:pPr>
              <w:spacing w:before="20" w:after="20" w:line="260" w:lineRule="auto"/>
              <w:jc w:val="left"/>
              <w:keepNext/>
            </w:pPr>
            <w:r>
              <w:rPr>
                <w:sz w:val="18"/>
              </w:rPr>
              <w:t>24–32</w:t>
            </w:r>
          </w:p>
        </w:tc>
      </w:tr>
      <w:tr>
        <w:trPr>
          <w:cantSplit/>
        </w:trPr>
        <w:tc>
          <w:tcPr>
            <w:tcW w:w="1550" w:type="dxa"/>
            <w:vAlign w:val="center"/>
            <w:shd w:fill="F1F5F6"/>
          </w:tcPr>
          <w:p>
            <w:pPr>
              <w:spacing w:before="20" w:after="20" w:line="260" w:lineRule="auto"/>
              <w:jc w:val="left"/>
            </w:pPr>
            <w:r>
              <w:rPr>
                <w:sz w:val="18"/>
              </w:rPr>
              <w:t>0</w:t>
            </w:r>
          </w:p>
        </w:tc>
        <w:tc>
          <w:tcPr>
            <w:tcW w:w="3124" w:type="dxa"/>
            <w:vAlign w:val="center"/>
            <w:shd w:fill="F1F5F6"/>
          </w:tcPr>
          <w:p>
            <w:pPr>
              <w:spacing w:before="20" w:after="20" w:line="260" w:lineRule="auto"/>
              <w:jc w:val="left"/>
            </w:pPr>
            <w:r>
              <w:rPr>
                <w:sz w:val="18"/>
              </w:rPr>
              <w:t>ungenügend</w:t>
            </w:r>
          </w:p>
        </w:tc>
        <w:tc>
          <w:tcPr>
            <w:tcW w:w="1400" w:type="dxa"/>
            <w:vAlign w:val="center"/>
            <w:shd w:fill="F1F5F6"/>
          </w:tcPr>
          <w:p>
            <w:pPr>
              <w:spacing w:before="20" w:after="20" w:line="260" w:lineRule="auto"/>
              <w:jc w:val="left"/>
            </w:pPr>
            <w:r>
              <w:rPr>
                <w:sz w:val="18"/>
              </w:rPr>
              <w:t>0 %</w:t>
            </w:r>
          </w:p>
        </w:tc>
        <w:tc>
          <w:tcPr>
            <w:tcW w:w="1500" w:type="dxa"/>
            <w:vAlign w:val="center"/>
            <w:shd w:fill="F1F5F6"/>
          </w:tcPr>
          <w:p>
            <w:pPr>
              <w:spacing w:before="20" w:after="20" w:line="260" w:lineRule="auto"/>
              <w:jc w:val="left"/>
            </w:pPr>
            <w:r>
              <w:rPr>
                <w:sz w:val="18"/>
              </w:rPr>
              <w:t>0–19</w:t>
            </w:r>
          </w:p>
        </w:tc>
        <w:tc>
          <w:tcPr>
            <w:tcW w:w="1500" w:type="dxa"/>
            <w:vAlign w:val="center"/>
            <w:shd w:fill="F1F5F6"/>
          </w:tcPr>
          <w:p>
            <w:pPr>
              <w:spacing w:before="20" w:after="20" w:line="260" w:lineRule="auto"/>
              <w:jc w:val="left"/>
            </w:pPr>
            <w:r>
              <w:rPr>
                <w:sz w:val="18"/>
              </w:rPr>
              <w:t>0–23</w:t>
            </w:r>
          </w:p>
        </w:tc>
      </w:tr>
    </w:tbl>
    <w:p>
      <w:pPr>
        <w:jc w:val="both"/>
        <w:spacing w:before="100"/>
      </w:pPr>
      <w:r>
        <w:rPr/>
        <w:t>¹ Vier Notenpunkte entsprechen gemäß APO-GOSt „schwach ausreichend“. Der Mindestanteil von 0 % bezeichnet die unterste Stufe; unterhalb von 20 % werden null Notenpunkte vergeben.</w:t>
      </w:r>
    </w:p>
    <w:p>
      <w:pPr>
        <w:jc w:val="both"/>
      </w:pPr>
      <w:r>
        <w:rPr/>
        <w:t>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14 Gleichwertige komplexe Leistungsnachweise: Aufgaben und Bewertungsraster</w:t>
      </w:r>
      <w:bookmarkEnd w:id="49"/>
    </w:p>
    <w:p>
      <w:pPr>
        <w:suppressAutoHyphens w:val="0"/>
        <w:jc w:val="both"/>
      </w:pPr>
      <w:r>
        <w:t>Für GKL im Fach Chemie stehen vier Formate zur Verfügung. Das gewählte Format, die fachlichen Anforderungen und die individuellen Nachweise werden vor Arbeitsbeginn vereinbart.</w:t>
      </w:r>
    </w:p>
    <w:p>
      <w:pPr>
        <w:suppressAutoHyphens w:val="0"/>
        <w:jc w:val="both"/>
      </w:pPr>
      <w:r>
        <w:t>Präsentation: Eine chemische Fragestellung anhand überprüfbarer Quellen, Daten und Modelle bearbeiten, Ergebnisse adressatengerecht präsentieren und im Fachgespräch begründen.</w:t>
      </w:r>
    </w:p>
    <w:p>
      <w:pPr>
        <w:suppressAutoHyphens w:val="0"/>
        <w:jc w:val="both"/>
      </w:pPr>
      <w:r>
        <w:t>Experimentelle Aufgabe: Eine eigene Untersuchung planen, nach Freigabe durchführen, Messwerte auswerten und die Aussagekraft der Ergebnisse beurteilen. Eine Anleitung des gesamten Kurses ist dabei nicht erforderlich.</w:t>
      </w:r>
    </w:p>
    <w:p>
      <w:pPr>
        <w:suppressAutoHyphens w:val="0"/>
        <w:jc w:val="both"/>
      </w:pPr>
      <w:r>
        <w:t>Anleitung des Kurses zum Experimentieren: Ein freigegebenes Verfahren erproben, den Kurs fachlich anleiten, bei Schwierigkeiten unterstützen und die Ergebnisse gemeinsam auswerten.</w:t>
      </w:r>
    </w:p>
    <w:p>
      <w:pPr>
        <w:suppressAutoHyphens w:val="0"/>
        <w:jc w:val="both"/>
      </w:pPr>
      <w:r>
        <w:t>Erarbeitung eines stationsbetriebenen Lernzirkels: Inhaltlich zusammenhängende Stationen mit Aufgaben, Experimenten oder Modellen, abgestuften Hilfen und einer gemeinsamen Ergebnissicherung entwickeln, erproben und mit dem Kurs durchführen.</w:t>
      </w:r>
    </w:p>
    <w:p>
      <w:pPr>
        <w:suppressAutoHyphens w:val="0"/>
        <w:jc w:val="both"/>
      </w:pPr>
      <w:r>
        <w:t>Die Beispiele in 14.2 bis 14.4 und das EF-Beispiel zu Stoffkreisläufen in 14.11 konkretisieren diese Formate. Kombinationen sind möglich, wenn Umfang, Zuständigkeiten und Bewertung vorab feststehen. Bei allen experimentellen Formaten verbleiben Freigabe und Aufsicht bei der Lehrkraft.</w:t>
      </w:r>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14.1 Einordnung und transparente Vereinbarungen</w:t>
      </w:r>
    </w:p>
    <w:p>
      <w:pPr>
        <w:suppressAutoHyphens w:val="0"/>
        <w:jc w:val="both"/>
      </w:pPr>
      <w:r>
        <w:t>Vor diesem Hintergrund entwickeln die GKL-Aufgaben ausdrücklich Kreativität, Kollaboration, Kommunikation und kritisches Denken. Abschnitt 14.10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14.2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GK.06.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14.3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14.4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Für aussagekräftige Vergleiche werden Probenabmessungen, Trocknungszustand und Prüfbedingungen soweit möglich konstant gehalten.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14.5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sz w:val="16"/>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(14.6) oder Experimentierbogen (14.7) auswählen und jeder Person genau ein passendes Rollenmodul aus 14.8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14.6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Ist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Nachprüfbare Dokumentation: Quellen, Daten und Modelle sind gekennzeichnet; eigene und fremde Beiträge sind unterscheidbar.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Ist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sz w:val="16"/>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Ist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Nachvollziehbare Dokumentation: Anleitung, Datenherkunft, Auswertung und Schlussfolgerung sind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Ist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sz w:val="16"/>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40" w:before="0" w:line="240" w:lineRule="auto"/>
              <w:suppressAutoHyphens w:val="1"/>
            </w:pPr>
            <w:r>
              <w:rPr>
                <w:b/>
              </w:rPr>
              <w:t>Rollenbezogene Leistung</w:t>
            </w:r>
          </w:p>
        </w:tc>
        <w:tc>
          <w:tcPr>
            <w:tcW w:type="dxa" w:w="718"/>
            <w:vAlign w:val="center"/>
            <w:shd w:fill="DDE9EC"/>
          </w:tcPr>
          <w:p>
            <w:pPr>
              <w:pStyle w:val="Compact"/>
              <w:spacing w:after="40" w:before="0" w:line="240" w:lineRule="auto"/>
              <w:jc w:val="center"/>
              <w:suppressAutoHyphens w:val="1"/>
            </w:pPr>
            <w:r>
              <w:rPr>
                <w:b/>
              </w:rPr>
              <w:t>Max.</w:t>
            </w:r>
          </w:p>
        </w:tc>
        <w:tc>
          <w:tcPr>
            <w:tcW w:type="dxa" w:w="849"/>
            <w:vAlign w:val="center"/>
            <w:shd w:fill="DDE9EC"/>
          </w:tcPr>
          <w:p>
            <w:pPr>
              <w:pStyle w:val="Compact"/>
              <w:spacing w:after="40" w:before="0" w:line="240" w:lineRule="auto"/>
              <w:jc w:val="center"/>
              <w:suppressAutoHyphens w:val="1"/>
            </w:pPr>
            <w:r>
              <w:rPr>
                <w:b/>
              </w:rPr>
              <w:t>Ist</w:t>
            </w:r>
          </w:p>
        </w:tc>
        <w:tc>
          <w:tcPr>
            <w:tcW w:type="dxa" w:w="2807"/>
            <w:vAlign w:val="center"/>
            <w:shd w:fill="DDE9EC"/>
          </w:tcPr>
          <w:p>
            <w:pPr>
              <w:pStyle w:val="Compact"/>
              <w:spacing w:after="40" w:before="0" w:line="240" w:lineRule="auto"/>
              <w:suppressAutoHyphens w:val="1"/>
            </w:pPr>
            <w:r>
              <w:rPr>
                <w:b/>
              </w:rPr>
              <w:t>Beobachtungsbeleg</w:t>
            </w:r>
          </w:p>
        </w:tc>
      </w:tr>
      <w:tr>
        <w:trPr>
          <w:cantSplit/>
        </w:trPr>
        <w:tc>
          <w:tcPr>
            <w:tcW w:type="dxa" w:w="4700"/>
            <w:vAlign w:val="center"/>
            <w:shd w:fill="FFFFFF"/>
          </w:tcPr>
          <w:p>
            <w:pPr>
              <w:pStyle w:val="Compact"/>
              <w:spacing w:after="40" w:before="0" w:line="240" w:lineRule="auto"/>
              <w:suppressAutoHyphens w:val="1"/>
            </w:pPr>
            <w:r>
              <w:rPr>
                <w:b w:val="0"/>
              </w:rPr>
              <w:t>Quellen und Vergleichbarkeit der Daten fachlich prüfen</w:t>
            </w:r>
          </w:p>
        </w:tc>
        <w:tc>
          <w:tcPr>
            <w:tcW w:type="dxa" w:w="718"/>
            <w:vAlign w:val="center"/>
            <w:shd w:fill="FFFFFF"/>
          </w:tcPr>
          <w:p>
            <w:pPr>
              <w:pStyle w:val="Compact"/>
              <w:spacing w:after="40" w:before="0" w:line="240" w:lineRule="auto"/>
              <w:jc w:val="center"/>
              <w:suppressAutoHyphens w:val="1"/>
            </w:pPr>
            <w:r>
              <w:rPr>
                <w:b w:val="0"/>
              </w:rPr>
              <w:t>15</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Daten für die Präsentation sachgerecht auswerten und aufbereiten</w:t>
            </w:r>
          </w:p>
        </w:tc>
        <w:tc>
          <w:tcPr>
            <w:tcW w:type="dxa" w:w="718"/>
            <w:vAlign w:val="center"/>
            <w:shd w:fill="F5F8F9"/>
          </w:tcPr>
          <w:p>
            <w:pPr>
              <w:pStyle w:val="Compact"/>
              <w:spacing w:after="40" w:before="0" w:line="240" w:lineRule="auto"/>
              <w:jc w:val="center"/>
              <w:suppressAutoHyphens w:val="1"/>
            </w:pPr>
            <w:r>
              <w:rPr>
                <w:b w:val="0"/>
              </w:rPr>
              <w:t>10</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Widersprüchliche Befunde in der Darstellung kenntlich machen</w:t>
            </w:r>
          </w:p>
        </w:tc>
        <w:tc>
          <w:tcPr>
            <w:tcW w:type="dxa" w:w="718"/>
            <w:vAlign w:val="center"/>
            <w:shd w:fill="FFFFFF"/>
          </w:tcPr>
          <w:p>
            <w:pPr>
              <w:pStyle w:val="Compact"/>
              <w:spacing w:after="40" w:before="0" w:line="240" w:lineRule="auto"/>
              <w:jc w:val="center"/>
              <w:suppressAutoHyphens w:val="1"/>
            </w:pPr>
            <w:r>
              <w:rPr>
                <w:b w:val="0"/>
              </w:rPr>
              <w:t>10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Rechercheweg und eigene Bearbeitung dokumentieren</w:t>
            </w:r>
          </w:p>
        </w:tc>
        <w:tc>
          <w:tcPr>
            <w:tcW w:type="dxa" w:w="718"/>
            <w:vAlign w:val="center"/>
            <w:shd w:fill="F5F8F9"/>
          </w:tcPr>
          <w:p>
            <w:pPr>
              <w:pStyle w:val="Compact"/>
              <w:spacing w:after="40" w:before="0" w:line="240" w:lineRule="auto"/>
              <w:jc w:val="center"/>
              <w:suppressAutoHyphens w:val="1"/>
            </w:pPr>
            <w:r>
              <w:rPr>
                <w:b w:val="0"/>
              </w:rPr>
              <w:t>5</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Summe C</w:t>
            </w:r>
          </w:p>
        </w:tc>
        <w:tc>
          <w:tcPr>
            <w:tcW w:type="dxa" w:w="718"/>
            <w:vAlign w:val="center"/>
            <w:shd w:fill="FFFFFF"/>
          </w:tcPr>
          <w:p>
            <w:pPr>
              <w:pStyle w:val="Compact"/>
              <w:spacing w:after="40" w:before="0" w:line="240" w:lineRule="auto"/>
              <w:jc w:val="center"/>
              <w:suppressAutoHyphens w:val="1"/>
            </w:pPr>
            <w:r>
              <w:rPr>
                <w:b w:val="0"/>
              </w:rPr>
              <w:t>40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40" w:before="0" w:line="240" w:lineRule="auto"/>
              <w:suppressAutoHyphens w:val="1"/>
            </w:pPr>
            <w:r>
              <w:rPr>
                <w:b/>
              </w:rPr>
              <w:t>Rollenbezogene Leistung</w:t>
            </w:r>
          </w:p>
        </w:tc>
        <w:tc>
          <w:tcPr>
            <w:tcW w:type="dxa" w:w="718"/>
            <w:vAlign w:val="center"/>
            <w:shd w:fill="DDE9EC"/>
          </w:tcPr>
          <w:p>
            <w:pPr>
              <w:pStyle w:val="Compact"/>
              <w:spacing w:after="40" w:before="0" w:line="240" w:lineRule="auto"/>
              <w:jc w:val="center"/>
              <w:suppressAutoHyphens w:val="1"/>
            </w:pPr>
            <w:r>
              <w:rPr>
                <w:b/>
              </w:rPr>
              <w:t>Max.</w:t>
            </w:r>
          </w:p>
        </w:tc>
        <w:tc>
          <w:tcPr>
            <w:tcW w:type="dxa" w:w="849"/>
            <w:vAlign w:val="center"/>
            <w:shd w:fill="DDE9EC"/>
          </w:tcPr>
          <w:p>
            <w:pPr>
              <w:pStyle w:val="Compact"/>
              <w:spacing w:after="40" w:before="0" w:line="240" w:lineRule="auto"/>
              <w:jc w:val="center"/>
              <w:suppressAutoHyphens w:val="1"/>
            </w:pPr>
            <w:r>
              <w:rPr>
                <w:b/>
              </w:rPr>
              <w:t>Ist</w:t>
            </w:r>
          </w:p>
        </w:tc>
        <w:tc>
          <w:tcPr>
            <w:tcW w:type="dxa" w:w="2807"/>
            <w:vAlign w:val="center"/>
            <w:shd w:fill="DDE9EC"/>
          </w:tcPr>
          <w:p>
            <w:pPr>
              <w:pStyle w:val="Compact"/>
              <w:spacing w:after="40" w:before="0" w:line="240" w:lineRule="auto"/>
              <w:suppressAutoHyphens w:val="1"/>
            </w:pPr>
            <w:r>
              <w:rPr>
                <w:b/>
              </w:rPr>
              <w:t>Beobachtungsbeleg</w:t>
            </w:r>
          </w:p>
        </w:tc>
      </w:tr>
      <w:tr>
        <w:trPr>
          <w:cantSplit/>
        </w:trPr>
        <w:tc>
          <w:tcPr>
            <w:tcW w:type="dxa" w:w="4700"/>
            <w:vAlign w:val="center"/>
            <w:shd w:fill="FFFFFF"/>
          </w:tcPr>
          <w:p>
            <w:pPr>
              <w:pStyle w:val="Compact"/>
              <w:spacing w:after="40" w:before="0" w:line="240" w:lineRule="auto"/>
              <w:suppressAutoHyphens w:val="1"/>
            </w:pPr>
            <w:r>
              <w:rPr>
                <w:b w:val="0"/>
              </w:rPr>
              <w:t>Fachlich korrekte und zweckmäßige Modelle entwickeln</w:t>
            </w:r>
          </w:p>
        </w:tc>
        <w:tc>
          <w:tcPr>
            <w:tcW w:type="dxa" w:w="718"/>
            <w:vAlign w:val="center"/>
            <w:shd w:fill="FFFFFF"/>
          </w:tcPr>
          <w:p>
            <w:pPr>
              <w:pStyle w:val="Compact"/>
              <w:spacing w:after="40" w:before="0" w:line="240" w:lineRule="auto"/>
              <w:jc w:val="center"/>
              <w:suppressAutoHyphens w:val="1"/>
            </w:pPr>
            <w:r>
              <w:rPr>
                <w:b w:val="0"/>
              </w:rPr>
              <w:t>15</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Darstellungen verständlich beschriften und erläutern</w:t>
            </w:r>
          </w:p>
        </w:tc>
        <w:tc>
          <w:tcPr>
            <w:tcW w:type="dxa" w:w="718"/>
            <w:vAlign w:val="center"/>
            <w:shd w:fill="F5F8F9"/>
          </w:tcPr>
          <w:p>
            <w:pPr>
              <w:pStyle w:val="Compact"/>
              <w:spacing w:after="40" w:before="0" w:line="240" w:lineRule="auto"/>
              <w:jc w:val="center"/>
              <w:suppressAutoHyphens w:val="1"/>
            </w:pPr>
            <w:r>
              <w:rPr>
                <w:b w:val="0"/>
              </w:rPr>
              <w:t>10</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Modellgrenzen sichtbar machen und Fehlvorstellungen vermeiden</w:t>
            </w:r>
          </w:p>
        </w:tc>
        <w:tc>
          <w:tcPr>
            <w:tcW w:type="dxa" w:w="718"/>
            <w:vAlign w:val="center"/>
            <w:shd w:fill="FFFFFF"/>
          </w:tcPr>
          <w:p>
            <w:pPr>
              <w:pStyle w:val="Compact"/>
              <w:spacing w:after="40" w:before="0" w:line="240" w:lineRule="auto"/>
              <w:jc w:val="center"/>
              <w:suppressAutoHyphens w:val="1"/>
            </w:pPr>
            <w:r>
              <w:rPr>
                <w:b w:val="0"/>
              </w:rPr>
              <w:t>10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Medien funktional und zeitangemessen einsetzen</w:t>
            </w:r>
          </w:p>
        </w:tc>
        <w:tc>
          <w:tcPr>
            <w:tcW w:type="dxa" w:w="718"/>
            <w:vAlign w:val="center"/>
            <w:shd w:fill="F5F8F9"/>
          </w:tcPr>
          <w:p>
            <w:pPr>
              <w:pStyle w:val="Compact"/>
              <w:spacing w:after="40" w:before="0" w:line="240" w:lineRule="auto"/>
              <w:jc w:val="center"/>
              <w:suppressAutoHyphens w:val="1"/>
            </w:pPr>
            <w:r>
              <w:rPr>
                <w:b w:val="0"/>
              </w:rPr>
              <w:t>5</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Summe C</w:t>
            </w:r>
          </w:p>
        </w:tc>
        <w:tc>
          <w:tcPr>
            <w:tcW w:type="dxa" w:w="718"/>
            <w:vAlign w:val="center"/>
            <w:shd w:fill="FFFFFF"/>
          </w:tcPr>
          <w:p>
            <w:pPr>
              <w:pStyle w:val="Compact"/>
              <w:spacing w:after="40" w:before="0" w:line="240" w:lineRule="auto"/>
              <w:jc w:val="center"/>
              <w:suppressAutoHyphens w:val="1"/>
            </w:pPr>
            <w:r>
              <w:rPr>
                <w:b w:val="0"/>
              </w:rPr>
              <w:t>40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40" w:before="0" w:line="240" w:lineRule="auto"/>
              <w:suppressAutoHyphens w:val="1"/>
            </w:pPr>
            <w:r>
              <w:rPr>
                <w:b/>
              </w:rPr>
              <w:t>Rollenbezogene Leistung</w:t>
            </w:r>
          </w:p>
        </w:tc>
        <w:tc>
          <w:tcPr>
            <w:tcW w:type="dxa" w:w="718"/>
            <w:vAlign w:val="center"/>
            <w:shd w:fill="DDE9EC"/>
          </w:tcPr>
          <w:p>
            <w:pPr>
              <w:pStyle w:val="Compact"/>
              <w:spacing w:after="40" w:before="0" w:line="240" w:lineRule="auto"/>
              <w:jc w:val="center"/>
              <w:suppressAutoHyphens w:val="1"/>
            </w:pPr>
            <w:r>
              <w:rPr>
                <w:b/>
              </w:rPr>
              <w:t>Max.</w:t>
            </w:r>
          </w:p>
        </w:tc>
        <w:tc>
          <w:tcPr>
            <w:tcW w:type="dxa" w:w="849"/>
            <w:vAlign w:val="center"/>
            <w:shd w:fill="DDE9EC"/>
          </w:tcPr>
          <w:p>
            <w:pPr>
              <w:pStyle w:val="Compact"/>
              <w:spacing w:after="40" w:before="0" w:line="240" w:lineRule="auto"/>
              <w:jc w:val="center"/>
              <w:suppressAutoHyphens w:val="1"/>
            </w:pPr>
            <w:r>
              <w:rPr>
                <w:b/>
              </w:rPr>
              <w:t>Ist</w:t>
            </w:r>
          </w:p>
        </w:tc>
        <w:tc>
          <w:tcPr>
            <w:tcW w:type="dxa" w:w="2807"/>
            <w:vAlign w:val="center"/>
            <w:shd w:fill="DDE9EC"/>
          </w:tcPr>
          <w:p>
            <w:pPr>
              <w:pStyle w:val="Compact"/>
              <w:spacing w:after="40" w:before="0" w:line="240" w:lineRule="auto"/>
              <w:suppressAutoHyphens w:val="1"/>
            </w:pPr>
            <w:r>
              <w:rPr>
                <w:b/>
              </w:rPr>
              <w:t>Beobachtungsbeleg</w:t>
            </w:r>
          </w:p>
        </w:tc>
      </w:tr>
      <w:tr>
        <w:trPr>
          <w:cantSplit/>
        </w:trPr>
        <w:tc>
          <w:tcPr>
            <w:tcW w:type="dxa" w:w="4700"/>
            <w:vAlign w:val="center"/>
            <w:shd w:fill="FFFFFF"/>
          </w:tcPr>
          <w:p>
            <w:pPr>
              <w:pStyle w:val="Compact"/>
              <w:spacing w:after="40" w:before="0" w:line="240" w:lineRule="auto"/>
              <w:suppressAutoHyphens w:val="1"/>
            </w:pPr>
            <w:r>
              <w:rPr>
                <w:b w:val="0"/>
              </w:rPr>
              <w:t>Befunde zu einer schlüssigen Argumentation verbinden</w:t>
            </w:r>
          </w:p>
        </w:tc>
        <w:tc>
          <w:tcPr>
            <w:tcW w:type="dxa" w:w="718"/>
            <w:vAlign w:val="center"/>
            <w:shd w:fill="FFFFFF"/>
          </w:tcPr>
          <w:p>
            <w:pPr>
              <w:pStyle w:val="Compact"/>
              <w:spacing w:after="40" w:before="0" w:line="240" w:lineRule="auto"/>
              <w:jc w:val="center"/>
              <w:suppressAutoHyphens w:val="1"/>
            </w:pPr>
            <w:r>
              <w:rPr>
                <w:b w:val="0"/>
              </w:rPr>
              <w:t>15</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Gegenargumente und Zielkonflikte angemessen einbeziehen</w:t>
            </w:r>
          </w:p>
        </w:tc>
        <w:tc>
          <w:tcPr>
            <w:tcW w:type="dxa" w:w="718"/>
            <w:vAlign w:val="center"/>
            <w:shd w:fill="F5F8F9"/>
          </w:tcPr>
          <w:p>
            <w:pPr>
              <w:pStyle w:val="Compact"/>
              <w:spacing w:after="40" w:before="0" w:line="240" w:lineRule="auto"/>
              <w:jc w:val="center"/>
              <w:suppressAutoHyphens w:val="1"/>
            </w:pPr>
            <w:r>
              <w:rPr>
                <w:b w:val="0"/>
              </w:rPr>
              <w:t>10</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Diskussion durch präzise Impulse und fachliche Antworten führen</w:t>
            </w:r>
          </w:p>
        </w:tc>
        <w:tc>
          <w:tcPr>
            <w:tcW w:type="dxa" w:w="718"/>
            <w:vAlign w:val="center"/>
            <w:shd w:fill="FFFFFF"/>
          </w:tcPr>
          <w:p>
            <w:pPr>
              <w:pStyle w:val="Compact"/>
              <w:spacing w:after="40" w:before="0" w:line="240" w:lineRule="auto"/>
              <w:jc w:val="center"/>
              <w:suppressAutoHyphens w:val="1"/>
            </w:pPr>
            <w:r>
              <w:rPr>
                <w:b w:val="0"/>
              </w:rPr>
              <w:t>10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Beiträge adressatengerecht und zeitangemessen strukturieren</w:t>
            </w:r>
          </w:p>
        </w:tc>
        <w:tc>
          <w:tcPr>
            <w:tcW w:type="dxa" w:w="718"/>
            <w:vAlign w:val="center"/>
            <w:shd w:fill="F5F8F9"/>
          </w:tcPr>
          <w:p>
            <w:pPr>
              <w:pStyle w:val="Compact"/>
              <w:spacing w:after="40" w:before="0" w:line="240" w:lineRule="auto"/>
              <w:jc w:val="center"/>
              <w:suppressAutoHyphens w:val="1"/>
            </w:pPr>
            <w:r>
              <w:rPr>
                <w:b w:val="0"/>
              </w:rPr>
              <w:t>5</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Summe C</w:t>
            </w:r>
          </w:p>
        </w:tc>
        <w:tc>
          <w:tcPr>
            <w:tcW w:type="dxa" w:w="718"/>
            <w:vAlign w:val="center"/>
            <w:shd w:fill="FFFFFF"/>
          </w:tcPr>
          <w:p>
            <w:pPr>
              <w:pStyle w:val="Compact"/>
              <w:spacing w:after="40" w:before="0" w:line="240" w:lineRule="auto"/>
              <w:jc w:val="center"/>
              <w:suppressAutoHyphens w:val="1"/>
            </w:pPr>
            <w:r>
              <w:rPr>
                <w:b w:val="0"/>
              </w:rPr>
              <w:t>40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bl>
    <w:p>
      <w:pPr>
        <w:pStyle w:val="Heading2"/>
        <w:pageBreakBefore/>
        <w:suppressAutoHyphens w:val="1"/>
      </w:pPr>
      <w:r>
        <w:t>14.8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40" w:before="0" w:line="240" w:lineRule="auto"/>
              <w:suppressAutoHyphens w:val="1"/>
            </w:pPr>
            <w:r>
              <w:rPr>
                <w:b/>
              </w:rPr>
              <w:t>Rollenbezogene Leistung</w:t>
            </w:r>
          </w:p>
        </w:tc>
        <w:tc>
          <w:tcPr>
            <w:tcW w:type="dxa" w:w="718"/>
            <w:vAlign w:val="center"/>
            <w:shd w:fill="DDE9EC"/>
          </w:tcPr>
          <w:p>
            <w:pPr>
              <w:pStyle w:val="Compact"/>
              <w:spacing w:after="40" w:before="0" w:line="240" w:lineRule="auto"/>
              <w:jc w:val="center"/>
              <w:suppressAutoHyphens w:val="1"/>
            </w:pPr>
            <w:r>
              <w:rPr>
                <w:b/>
              </w:rPr>
              <w:t>Max.</w:t>
            </w:r>
          </w:p>
        </w:tc>
        <w:tc>
          <w:tcPr>
            <w:tcW w:type="dxa" w:w="849"/>
            <w:vAlign w:val="center"/>
            <w:shd w:fill="DDE9EC"/>
          </w:tcPr>
          <w:p>
            <w:pPr>
              <w:pStyle w:val="Compact"/>
              <w:spacing w:after="40" w:before="0" w:line="240" w:lineRule="auto"/>
              <w:jc w:val="center"/>
              <w:suppressAutoHyphens w:val="1"/>
            </w:pPr>
            <w:r>
              <w:rPr>
                <w:b/>
              </w:rPr>
              <w:t>Ist</w:t>
            </w:r>
          </w:p>
        </w:tc>
        <w:tc>
          <w:tcPr>
            <w:tcW w:type="dxa" w:w="2807"/>
            <w:vAlign w:val="center"/>
            <w:shd w:fill="DDE9EC"/>
          </w:tcPr>
          <w:p>
            <w:pPr>
              <w:pStyle w:val="Compact"/>
              <w:spacing w:after="40" w:before="0" w:line="240" w:lineRule="auto"/>
              <w:suppressAutoHyphens w:val="1"/>
            </w:pPr>
            <w:r>
              <w:rPr>
                <w:b/>
              </w:rPr>
              <w:t>Beobachtungsbeleg</w:t>
            </w:r>
          </w:p>
        </w:tc>
      </w:tr>
      <w:tr>
        <w:trPr>
          <w:cantSplit/>
        </w:trPr>
        <w:tc>
          <w:tcPr>
            <w:tcW w:type="dxa" w:w="4700"/>
            <w:vAlign w:val="center"/>
            <w:shd w:fill="FFFFFF"/>
          </w:tcPr>
          <w:p>
            <w:pPr>
              <w:pStyle w:val="Compact"/>
              <w:spacing w:after="40" w:before="0" w:line="240" w:lineRule="auto"/>
              <w:suppressAutoHyphens w:val="1"/>
            </w:pPr>
            <w:r>
              <w:rPr>
                <w:b w:val="0"/>
              </w:rPr>
              <w:t>Verfahren erproben und kritische Schritte fachlich begründet planen</w:t>
            </w:r>
          </w:p>
        </w:tc>
        <w:tc>
          <w:tcPr>
            <w:tcW w:type="dxa" w:w="718"/>
            <w:vAlign w:val="center"/>
            <w:shd w:fill="FFFFFF"/>
          </w:tcPr>
          <w:p>
            <w:pPr>
              <w:pStyle w:val="Compact"/>
              <w:spacing w:after="40" w:before="0" w:line="240" w:lineRule="auto"/>
              <w:jc w:val="center"/>
              <w:suppressAutoHyphens w:val="1"/>
            </w:pPr>
            <w:r>
              <w:rPr>
                <w:b w:val="0"/>
              </w:rPr>
              <w:t>15</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Kurs verständlich anleiten und Verständnis gezielt prüfen</w:t>
            </w:r>
          </w:p>
        </w:tc>
        <w:tc>
          <w:tcPr>
            <w:tcW w:type="dxa" w:w="718"/>
            <w:vAlign w:val="center"/>
            <w:shd w:fill="F5F8F9"/>
          </w:tcPr>
          <w:p>
            <w:pPr>
              <w:pStyle w:val="Compact"/>
              <w:spacing w:after="40" w:before="0" w:line="240" w:lineRule="auto"/>
              <w:jc w:val="center"/>
              <w:suppressAutoHyphens w:val="1"/>
            </w:pPr>
            <w:r>
              <w:rPr>
                <w:b w:val="0"/>
              </w:rPr>
              <w:t>10</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40" w:before="0" w:line="240" w:lineRule="auto"/>
              <w:jc w:val="center"/>
              <w:suppressAutoHyphens w:val="1"/>
            </w:pPr>
            <w:r>
              <w:rPr>
                <w:b w:val="0"/>
              </w:rPr>
              <w:t>10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Material, Zeit und Übergaben vorausschauend organisieren</w:t>
            </w:r>
          </w:p>
        </w:tc>
        <w:tc>
          <w:tcPr>
            <w:tcW w:type="dxa" w:w="718"/>
            <w:vAlign w:val="center"/>
            <w:shd w:fill="F5F8F9"/>
          </w:tcPr>
          <w:p>
            <w:pPr>
              <w:pStyle w:val="Compact"/>
              <w:spacing w:after="40" w:before="0" w:line="240" w:lineRule="auto"/>
              <w:jc w:val="center"/>
              <w:suppressAutoHyphens w:val="1"/>
            </w:pPr>
            <w:r>
              <w:rPr>
                <w:b w:val="0"/>
              </w:rPr>
              <w:t>5</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Summe C</w:t>
            </w:r>
          </w:p>
        </w:tc>
        <w:tc>
          <w:tcPr>
            <w:tcW w:type="dxa" w:w="718"/>
            <w:vAlign w:val="center"/>
            <w:shd w:fill="FFFFFF"/>
          </w:tcPr>
          <w:p>
            <w:pPr>
              <w:pStyle w:val="Compact"/>
              <w:spacing w:after="40" w:before="0" w:line="240" w:lineRule="auto"/>
              <w:jc w:val="center"/>
              <w:suppressAutoHyphens w:val="1"/>
            </w:pPr>
            <w:r>
              <w:rPr>
                <w:b w:val="0"/>
              </w:rPr>
              <w:t>40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40" w:before="0" w:line="240" w:lineRule="auto"/>
              <w:suppressAutoHyphens w:val="1"/>
            </w:pPr>
            <w:r>
              <w:rPr>
                <w:b/>
              </w:rPr>
              <w:t>Rollenbezogene Leistung</w:t>
            </w:r>
          </w:p>
        </w:tc>
        <w:tc>
          <w:tcPr>
            <w:tcW w:type="dxa" w:w="718"/>
            <w:vAlign w:val="center"/>
            <w:shd w:fill="DDE9EC"/>
          </w:tcPr>
          <w:p>
            <w:pPr>
              <w:pStyle w:val="Compact"/>
              <w:spacing w:after="40" w:before="0" w:line="240" w:lineRule="auto"/>
              <w:jc w:val="center"/>
              <w:suppressAutoHyphens w:val="1"/>
            </w:pPr>
            <w:r>
              <w:rPr>
                <w:b/>
              </w:rPr>
              <w:t>Max.</w:t>
            </w:r>
          </w:p>
        </w:tc>
        <w:tc>
          <w:tcPr>
            <w:tcW w:type="dxa" w:w="849"/>
            <w:vAlign w:val="center"/>
            <w:shd w:fill="DDE9EC"/>
          </w:tcPr>
          <w:p>
            <w:pPr>
              <w:pStyle w:val="Compact"/>
              <w:spacing w:after="40" w:before="0" w:line="240" w:lineRule="auto"/>
              <w:jc w:val="center"/>
              <w:suppressAutoHyphens w:val="1"/>
            </w:pPr>
            <w:r>
              <w:rPr>
                <w:b/>
              </w:rPr>
              <w:t>Ist</w:t>
            </w:r>
          </w:p>
        </w:tc>
        <w:tc>
          <w:tcPr>
            <w:tcW w:type="dxa" w:w="2807"/>
            <w:vAlign w:val="center"/>
            <w:shd w:fill="DDE9EC"/>
          </w:tcPr>
          <w:p>
            <w:pPr>
              <w:pStyle w:val="Compact"/>
              <w:spacing w:after="40" w:before="0" w:line="240" w:lineRule="auto"/>
              <w:suppressAutoHyphens w:val="1"/>
            </w:pPr>
            <w:r>
              <w:rPr>
                <w:b/>
              </w:rPr>
              <w:t>Beobachtungsbeleg</w:t>
            </w:r>
          </w:p>
        </w:tc>
      </w:tr>
      <w:tr>
        <w:trPr>
          <w:cantSplit/>
        </w:trPr>
        <w:tc>
          <w:tcPr>
            <w:tcW w:type="dxa" w:w="4700"/>
            <w:vAlign w:val="center"/>
            <w:shd w:fill="FFFFFF"/>
          </w:tcPr>
          <w:p>
            <w:pPr>
              <w:pStyle w:val="Compact"/>
              <w:spacing w:after="40" w:before="0" w:line="240" w:lineRule="auto"/>
              <w:suppressAutoHyphens w:val="1"/>
            </w:pPr>
            <w:r>
              <w:rPr>
                <w:b w:val="0"/>
              </w:rPr>
              <w:t>Messkonzept und Qualitätskontrolle sachgerecht umsetzen</w:t>
            </w:r>
          </w:p>
        </w:tc>
        <w:tc>
          <w:tcPr>
            <w:tcW w:type="dxa" w:w="718"/>
            <w:vAlign w:val="center"/>
            <w:shd w:fill="FFFFFF"/>
          </w:tcPr>
          <w:p>
            <w:pPr>
              <w:pStyle w:val="Compact"/>
              <w:spacing w:after="40" w:before="0" w:line="240" w:lineRule="auto"/>
              <w:jc w:val="center"/>
              <w:suppressAutoHyphens w:val="1"/>
            </w:pPr>
            <w:r>
              <w:rPr>
                <w:b w:val="0"/>
              </w:rPr>
              <w:t>15</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Kursgruppen bei Messproblemen fachlich gezielt unterstützen</w:t>
            </w:r>
          </w:p>
        </w:tc>
        <w:tc>
          <w:tcPr>
            <w:tcW w:type="dxa" w:w="718"/>
            <w:vAlign w:val="center"/>
            <w:shd w:fill="F5F8F9"/>
          </w:tcPr>
          <w:p>
            <w:pPr>
              <w:pStyle w:val="Compact"/>
              <w:spacing w:after="40" w:before="0" w:line="240" w:lineRule="auto"/>
              <w:jc w:val="center"/>
              <w:suppressAutoHyphens w:val="1"/>
            </w:pPr>
            <w:r>
              <w:rPr>
                <w:b w:val="0"/>
              </w:rPr>
              <w:t>10</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Kursdaten korrekt auswerten und Fehlerquellen berücksichtigen</w:t>
            </w:r>
          </w:p>
        </w:tc>
        <w:tc>
          <w:tcPr>
            <w:tcW w:type="dxa" w:w="718"/>
            <w:vAlign w:val="center"/>
            <w:shd w:fill="FFFFFF"/>
          </w:tcPr>
          <w:p>
            <w:pPr>
              <w:pStyle w:val="Compact"/>
              <w:spacing w:after="40" w:before="0" w:line="240" w:lineRule="auto"/>
              <w:jc w:val="center"/>
              <w:suppressAutoHyphens w:val="1"/>
            </w:pPr>
            <w:r>
              <w:rPr>
                <w:b w:val="0"/>
              </w:rPr>
              <w:t>10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Rohdaten mit ihrer Herkunft nachvollziehbar zusammenführen</w:t>
            </w:r>
          </w:p>
        </w:tc>
        <w:tc>
          <w:tcPr>
            <w:tcW w:type="dxa" w:w="718"/>
            <w:vAlign w:val="center"/>
            <w:shd w:fill="F5F8F9"/>
          </w:tcPr>
          <w:p>
            <w:pPr>
              <w:pStyle w:val="Compact"/>
              <w:spacing w:after="40" w:before="0" w:line="240" w:lineRule="auto"/>
              <w:jc w:val="center"/>
              <w:suppressAutoHyphens w:val="1"/>
            </w:pPr>
            <w:r>
              <w:rPr>
                <w:b w:val="0"/>
              </w:rPr>
              <w:t>5</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Summe C</w:t>
            </w:r>
          </w:p>
        </w:tc>
        <w:tc>
          <w:tcPr>
            <w:tcW w:type="dxa" w:w="718"/>
            <w:vAlign w:val="center"/>
            <w:shd w:fill="FFFFFF"/>
          </w:tcPr>
          <w:p>
            <w:pPr>
              <w:pStyle w:val="Compact"/>
              <w:spacing w:after="40" w:before="0" w:line="240" w:lineRule="auto"/>
              <w:jc w:val="center"/>
              <w:suppressAutoHyphens w:val="1"/>
            </w:pPr>
            <w:r>
              <w:rPr>
                <w:b w:val="0"/>
              </w:rPr>
              <w:t>40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40" w:before="0" w:line="240" w:lineRule="auto"/>
              <w:suppressAutoHyphens w:val="1"/>
            </w:pPr>
            <w:r>
              <w:rPr>
                <w:b/>
              </w:rPr>
              <w:t>Rollenbezogene Leistung</w:t>
            </w:r>
          </w:p>
        </w:tc>
        <w:tc>
          <w:tcPr>
            <w:tcW w:type="dxa" w:w="718"/>
            <w:vAlign w:val="center"/>
            <w:shd w:fill="DDE9EC"/>
          </w:tcPr>
          <w:p>
            <w:pPr>
              <w:pStyle w:val="Compact"/>
              <w:spacing w:after="40" w:before="0" w:line="240" w:lineRule="auto"/>
              <w:jc w:val="center"/>
              <w:suppressAutoHyphens w:val="1"/>
            </w:pPr>
            <w:r>
              <w:rPr>
                <w:b/>
              </w:rPr>
              <w:t>Max.</w:t>
            </w:r>
          </w:p>
        </w:tc>
        <w:tc>
          <w:tcPr>
            <w:tcW w:type="dxa" w:w="849"/>
            <w:vAlign w:val="center"/>
            <w:shd w:fill="DDE9EC"/>
          </w:tcPr>
          <w:p>
            <w:pPr>
              <w:pStyle w:val="Compact"/>
              <w:spacing w:after="40" w:before="0" w:line="240" w:lineRule="auto"/>
              <w:jc w:val="center"/>
              <w:suppressAutoHyphens w:val="1"/>
            </w:pPr>
            <w:r>
              <w:rPr>
                <w:b/>
              </w:rPr>
              <w:t>Ist</w:t>
            </w:r>
          </w:p>
        </w:tc>
        <w:tc>
          <w:tcPr>
            <w:tcW w:type="dxa" w:w="2807"/>
            <w:vAlign w:val="center"/>
            <w:shd w:fill="DDE9EC"/>
          </w:tcPr>
          <w:p>
            <w:pPr>
              <w:pStyle w:val="Compact"/>
              <w:spacing w:after="40" w:before="0" w:line="240" w:lineRule="auto"/>
              <w:suppressAutoHyphens w:val="1"/>
            </w:pPr>
            <w:r>
              <w:rPr>
                <w:b/>
              </w:rPr>
              <w:t>Beobachtungsbeleg</w:t>
            </w:r>
          </w:p>
        </w:tc>
      </w:tr>
      <w:tr>
        <w:trPr>
          <w:cantSplit/>
        </w:trPr>
        <w:tc>
          <w:tcPr>
            <w:tcW w:type="dxa" w:w="4700"/>
            <w:vAlign w:val="center"/>
            <w:shd w:fill="FFFFFF"/>
          </w:tcPr>
          <w:p>
            <w:pPr>
              <w:pStyle w:val="Compact"/>
              <w:spacing w:after="40" w:before="0" w:line="240" w:lineRule="auto"/>
              <w:suppressAutoHyphens w:val="1"/>
            </w:pPr>
            <w:r>
              <w:rPr>
                <w:b w:val="0"/>
              </w:rPr>
              <w:t>Modell und Materialversuch fachlich passend verknüpfen</w:t>
            </w:r>
          </w:p>
        </w:tc>
        <w:tc>
          <w:tcPr>
            <w:tcW w:type="dxa" w:w="718"/>
            <w:vAlign w:val="center"/>
            <w:shd w:fill="FFFFFF"/>
          </w:tcPr>
          <w:p>
            <w:pPr>
              <w:pStyle w:val="Compact"/>
              <w:spacing w:after="40" w:before="0" w:line="240" w:lineRule="auto"/>
              <w:jc w:val="center"/>
              <w:suppressAutoHyphens w:val="1"/>
            </w:pPr>
            <w:r>
              <w:rPr>
                <w:b w:val="0"/>
              </w:rPr>
              <w:t>15</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Kursgruppen durch passende Aufgaben und Hilfen anleiten</w:t>
            </w:r>
          </w:p>
        </w:tc>
        <w:tc>
          <w:tcPr>
            <w:tcW w:type="dxa" w:w="718"/>
            <w:vAlign w:val="center"/>
            <w:shd w:fill="F5F8F9"/>
          </w:tcPr>
          <w:p>
            <w:pPr>
              <w:pStyle w:val="Compact"/>
              <w:spacing w:after="40" w:before="0" w:line="240" w:lineRule="auto"/>
              <w:jc w:val="center"/>
              <w:suppressAutoHyphens w:val="1"/>
            </w:pPr>
            <w:r>
              <w:rPr>
                <w:b w:val="0"/>
              </w:rPr>
              <w:t>10</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Fehlvorstellungen aufgreifen und Modellgrenzen vermitteln</w:t>
            </w:r>
          </w:p>
        </w:tc>
        <w:tc>
          <w:tcPr>
            <w:tcW w:type="dxa" w:w="718"/>
            <w:vAlign w:val="center"/>
            <w:shd w:fill="FFFFFF"/>
          </w:tcPr>
          <w:p>
            <w:pPr>
              <w:pStyle w:val="Compact"/>
              <w:spacing w:after="40" w:before="0" w:line="240" w:lineRule="auto"/>
              <w:jc w:val="center"/>
              <w:suppressAutoHyphens w:val="1"/>
            </w:pPr>
            <w:r>
              <w:rPr>
                <w:b w:val="0"/>
              </w:rPr>
              <w:t>10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Station, Übergänge und Ergebnissicherung sinnvoll organisieren</w:t>
            </w:r>
          </w:p>
        </w:tc>
        <w:tc>
          <w:tcPr>
            <w:tcW w:type="dxa" w:w="718"/>
            <w:vAlign w:val="center"/>
            <w:shd w:fill="F5F8F9"/>
          </w:tcPr>
          <w:p>
            <w:pPr>
              <w:pStyle w:val="Compact"/>
              <w:spacing w:after="40" w:before="0" w:line="240" w:lineRule="auto"/>
              <w:jc w:val="center"/>
              <w:suppressAutoHyphens w:val="1"/>
            </w:pPr>
            <w:r>
              <w:rPr>
                <w:b w:val="0"/>
              </w:rPr>
              <w:t>5</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Summe C</w:t>
            </w:r>
          </w:p>
        </w:tc>
        <w:tc>
          <w:tcPr>
            <w:tcW w:type="dxa" w:w="718"/>
            <w:vAlign w:val="center"/>
            <w:shd w:fill="FFFFFF"/>
          </w:tcPr>
          <w:p>
            <w:pPr>
              <w:pStyle w:val="Compact"/>
              <w:spacing w:after="40" w:before="0" w:line="240" w:lineRule="auto"/>
              <w:jc w:val="center"/>
              <w:suppressAutoHyphens w:val="1"/>
            </w:pPr>
            <w:r>
              <w:rPr>
                <w:b w:val="0"/>
              </w:rPr>
              <w:t>40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bl>
    <w:p>
      <w:pPr>
        <w:pStyle w:val="Heading2"/>
        <w:pageBreakBefore/>
        <w:suppressAutoHyphens w:val="1"/>
      </w:pPr>
      <w:r>
        <w:t>14.9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sz w:val="16"/>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sz w:val="16"/>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14.10 Die vier K in Aufgaben und Bewertung</w:t>
      </w:r>
      <w:bookmarkEnd w:id="9901"/>
    </w:p>
    <w:p>
      <w:pPr>
        <w:suppressAutoHyphens w:val="0"/>
        <w:jc w:val="both"/>
      </w:pPr>
      <w:r>
        <w:t>Kreativität, Kollaboration, Kommunikation und kritisches Denken werden in den Aufgaben 14.2 bis 14.4 und 14.11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suppressAutoHyphens w:val="1"/>
      </w:pPr>
      <w:r>
        <w:t>Konkretisierung der Beispielaufgaben</w:t>
      </w:r>
    </w:p>
    <w:p>
      <w:pPr>
        <w:suppressAutoHyphens w:val="0"/>
        <w:jc w:val="both"/>
      </w:pPr>
      <w:r>
        <w:t>Präsentation (14.2):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t>Analytische Kursanleitung (14.3):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t>Polymerstationen (14.4):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pStyle w:val="Heading2"/>
        <w:pageBreakBefore/>
        <w:suppressAutoHyphens w:val="1"/>
      </w:pPr>
      <w:r>
        <w:t>14.11 EF Beispiel zu Stoffkreisläufen</w:t>
      </w:r>
    </w:p>
    <w:p>
      <w:pPr>
        <w:suppressAutoHyphens w:val="0"/>
        <w:jc w:val="both"/>
      </w:pPr>
      <w:r>
        <w:t>Leitfrage: Wenn das Meer CO₂ aufnimmt – ist das Klimaproblem damit gelöst? Bezug: Kohlenstoffkreislauf, chemisches Gleichgewicht und Klima. Format: experimentelle Aufgabe mit begründeter Ergebnisdarstellung; einzeln oder im Team aus bis zu drei Personen. Voraussetzung sind die im Unterricht erarbeiteten Grundlagen zu Kohlenstoffdioxid und chemischen Gleichgewichten.</w:t>
      </w:r>
    </w:p>
    <w:p>
      <w:pPr>
        <w:suppressAutoHyphens w:val="0"/>
        <w:jc w:val="both"/>
      </w:pPr>
      <w:r>
        <w:t>Auftrag: Untersuchen Sie an einem freigegebenen Modellversuch, wie Erwärmung den Austausch von Kohlenstoffdioxid zwischen Wasser und Luft beeinflusst. Verbinden Sie Ihre Befunde mit einem selbst erstellten Schaubild des Kohlenstoffkreislaufs. Prüfen Sie anschließend die Behauptung, die Aufnahme von CO₂ durch die Meere mache eine Verringerung menschlicher Emissionen überflüssig.</w:t>
      </w:r>
    </w:p>
    <w:p>
      <w:pPr>
        <w:suppressAutoHyphens w:val="0"/>
        <w:jc w:val="both"/>
      </w:pPr>
      <w:r>
        <w:t>Planung und Erprobung: Formulieren Sie eine überprüfbare Vermutung. Entwickeln Sie zwei geeignete Varianten der Untersuchung und begründen Sie Ihre Auswahl. Vereinbaren Sie mit der Lehrkraft Material, Temperaturbereich, Messverfahren und Schutzmaßnahmen. Halten Sie Ausgangsprobe, Flüssigkeitsvolumen, Gefäßform und Beobachtungsdauer bei Vergleichsansätzen möglichst gleich.</w:t>
      </w:r>
    </w:p>
    <w:p>
      <w:pPr>
        <w:suppressAutoHyphens w:val="0"/>
        <w:jc w:val="both"/>
      </w:pPr>
      <w:r>
        <w:t>Modellversuch: Vergleichen Sie gleiche Teilproben desselben kohlensäurehaltigen Wassers bei unterschiedlichen Temperaturen. Dokumentieren Sie Temperatur, Gasentwicklung und den mit einem geeigneten Verfahren bestimmten pH-Wert im zeitlichen Verlauf. Eine nicht erwärmte Teilprobe dient als Vergleich; eine zusätzliche Probe ohne zugesetztes CO₂ hilft, Einflüsse des Wassers und des Messverfahrens zu erkennen. Führen Sie Vergleichsmessungen durch und beachten Sie den Temperatureinfluss auf die pH-Messung. Erwärmte Gefäße dürfen nicht gasdicht verschlossen werden. Die konkrete Durchführung erfolgt ausschließlich nach freigegebener Anleitung und unter Aufsicht.</w:t>
      </w:r>
    </w:p>
    <w:p>
      <w:pPr>
        <w:suppressAutoHyphens w:val="0"/>
        <w:jc w:val="both"/>
      </w:pPr>
      <w:r>
        <w:t>Auswertung: Trennen Sie Beobachtung und Erklärung. Erläutern Sie den Austausch CO₂(g) ⇌ CO₂(aq) und die damit gekoppelten Säure-Base-Gleichgewichte auf dem im Unterricht behandelten Niveau. Ein pH-Wert ist kein direktes Maß für die gesamte gelöste Kohlenstoffmenge. Gasblasen allein erlauben keine quantitative Bestimmung der CO₂-Abgabe. Bloßes Abkühlen führt in einem offenen Gefäß nicht zwangsläufig zum Ausgangszustand zurück, weil zuvor Gas entweichen konnte.</w:t>
      </w:r>
    </w:p>
    <w:p>
      <w:pPr>
        <w:pStyle w:val="Heading2"/>
        <w:pageBreakBefore/>
        <w:suppressAutoHyphens w:val="1"/>
      </w:pPr>
      <w:r>
        <w:t>14.11 EF Beispiel zu Stoffkreisläufen Fortsetzung</w:t>
      </w:r>
    </w:p>
    <w:p>
      <w:pPr>
        <w:suppressAutoHyphens w:val="0"/>
        <w:jc w:val="both"/>
      </w:pPr>
      <w:r>
        <w:t>Vom Versuch zum Stoffkreislauf: Stellen Sie Atmosphäre, Ozean, Biosphäre und Gesteine als Kohlenstoffspeicher dar. Kennzeichnen Sie Austauschprozesse, menschliche Eingriffe und unterschiedliche Zeitskalen. Unterscheiden Sie die Größe eines Speichers von einem Stoffstrom pro Zeit. Begründen Sie, warum Mineralwasser kein vollständiges Modell des Meerwassers ist: Salzgehalt, Pufferung, Strömungen und biologische Prozesse werden im Versuch nicht angemessen erfasst.</w:t>
      </w:r>
    </w:p>
    <w:p>
      <w:pPr>
        <w:suppressAutoHyphens w:val="0"/>
        <w:jc w:val="both"/>
      </w:pPr>
      <w:r>
        <w:t>Materialgestützte Bilanz: Werten Sie von der Lehrkraft bereitgestellte oder selbst überprüfte Daten zu Kohlenstoffspeichern und Stoffströmen aus. Nennen Sie Quelle, Bezugszeitraum, Einheit und Unsicherheiten. Als ausdrücklich vereinfachte Übungsdaten, nicht als aktuelle globale Messwerte, erhält ein Modellozean jährlich 9 Gt Kohlenstoff und gibt 7 Gt wieder ab. Berechnen und erklären Sie die jährliche Bestandsänderung. Prüfen Sie, was eine zusätzlich freigesetzte Menge von 1 Gt Kohlenstoff bei sonst unveränderten Stoffströmen an dieser Bilanz ändert.</w:t>
      </w:r>
    </w:p>
    <w:p>
      <w:pPr>
        <w:suppressAutoHyphens w:val="0"/>
        <w:jc w:val="both"/>
      </w:pPr>
      <w:r>
        <w:t>Fachlicher Erwartungshorizont zur Rechnung: Δm(C) = m(C, hinein) − m(C, hinaus) = 9 Gt − 7 Gt = 2 Gt pro Jahr. Bei einer zusätzlichen Abgabe von 1 Gt beträgt die Zunahme nur noch 1 Gt pro Jahr; der Modellozean bleibt unter diesen Annahmen eine Netto-Senke. Kohlenstoffmasse und CO₂-Masse sind nicht gleich: m(CO₂) = m(C) · 44/12. Eine Aufnahme von 2 Gt Kohlenstoff entspricht damit rund 7,3 Gt CO₂. Die Bilanz beschreibt weder die vorhandene Gesamtmenge noch eine unbegrenzt fortsetzbare Speicherung.</w:t>
      </w:r>
    </w:p>
    <w:p>
      <w:pPr>
        <w:suppressAutoHyphens w:val="0"/>
        <w:jc w:val="both"/>
      </w:pPr>
      <w:r>
        <w:t>Beurteilung und Transfer: Beantworten Sie die Leitfrage mit Belegen aus Versuch und Datenmaterial. Erklären Sie, warum die Aufnahme von CO₂ den Anstieg in der Atmosphäre vermindern kann, aber Emissionen nicht ungeschehen macht. Berücksichtigen Sie die Veränderung der Wasserchemie und die Grenzen des Modellversuchs. Untersuchen Sie als Transfer, welche Folgen eine Erwärmung oder eine Änderung eines Stoffstroms haben könnte, ohne daraus eine unbelegte quantitative Klimaprognose abzuleiten.</w:t>
      </w:r>
    </w:p>
    <w:p>
      <w:pPr>
        <w:suppressAutoHyphens w:val="0"/>
        <w:jc w:val="both"/>
      </w:pPr>
      <w:r>
        <w:t>Produkte und individueller Nachweis: Abzugeben sind Versuchsplanung und Erprobungsprotokoll, gekennzeichnete Rohdaten, eine fachlich erläuterte Auswertung, das Kreislaufschaubild mit Quellen sowie eine begründete Antwort auf die Leitfrage. Jede Person dokumentiert eigene Entscheidungen und erläutert im Fachgespräch eine Gleichgewichtsverschiebung, eine Bilanzrechnung und eine Modellgrenze.</w:t>
      </w:r>
    </w:p>
    <w:p>
      <w:pPr>
        <w:suppressAutoHyphens w:val="0"/>
        <w:jc w:val="both"/>
      </w:pPr>
      <w:r>
        <w:t>Bewertung und vier K: Für die experimentelle Aufgabe wird der Bogen aus 14.7 verwendet. In Teil C werden vorab passende Kriterien vereinbart: Bei E1 tritt die nachvollziehbare Dokumentation der eigenen Durchführung an die Stelle der Kursanleitung; bei E2 wird der eigene Umgang mit Messproblemen statt der Unterstützung von Kursgruppen bewertet. Die jeweiligen Höchstwerte bleiben unverändert. Kreativität zeigt sich in begründet verglichenen Versuchs- oder Darstellungsvarianten, Kommunikation in der verständlichen Erklärung, kritisches Denken in Quellenprüfung und Modellkritik. Bei Teamarbeit wird Kollaboration durch dokumentierte Absprachen und individuelle Beiträge nachgewiesen; bei Einzelarbeit wird keine Gruppenleistung vorausgesetzt.</w:t>
      </w:r>
    </w:p>
    <w:p>
      <w:pPr>
        <w:pStyle w:val="Heading1"/>
        <w:jc w:val="left"/>
        <w:pageBreakBefore/>
      </w:pPr>
      <w:r>
        <w:rPr/>
        <w:t>15 Abiturprüfung</w:t>
      </w:r>
      <w:bookmarkStart w:id="9909" w:name="abiturpruefung"/>
      <w:bookmarkEnd w:id="9909"/>
    </w:p>
    <w:p>
      <w:pPr>
        <w:jc w:val="both"/>
      </w:pPr>
      <w:r>
        <w:rPr/>
        <w:t>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15.1 Schriftliche Prüfung</w:t>
      </w:r>
      <w:bookmarkStart w:id="9910" w:name="abitur_schriftlich"/>
      <w:bookmarkEnd w:id="9910"/>
    </w:p>
    <w:p>
      <w:pPr>
        <w:jc w:val="both"/>
      </w:pPr>
      <w:r>
        <w:rPr/>
        <w:t>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pPr>
        <w:pStyle w:val="Heading2"/>
        <w:jc w:val="left"/>
      </w:pPr>
      <w:r>
        <w:rPr/>
        <w:t>15.2 Mündliche Prüfung und Fachgespräch</w:t>
      </w:r>
      <w:bookmarkStart w:id="9911" w:name="abitur_muendlich"/>
      <w:bookmarkEnd w:id="9911"/>
    </w:p>
    <w:p>
      <w:pPr>
        <w:jc w:val="both"/>
      </w:pPr>
      <w:r>
        <w:rPr/>
        <w:t>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15.3 Bewertung und Formulierungshilfen</w:t>
      </w:r>
      <w:bookmarkStart w:id="9912" w:name="abitur_bewertung"/>
      <w:bookmarkEnd w:id="9912"/>
    </w:p>
    <w:p>
      <w:pPr>
        <w:jc w:val="both"/>
      </w:pPr>
      <w:r>
        <w:rPr/>
        <w:t>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Note und Notenpunkte</w:t>
            </w:r>
          </w:p>
        </w:tc>
        <w:tc>
          <w:tcPr>
            <w:tcW w:w="6674" w:type="dxa"/>
            <w:vAlign w:val="center"/>
            <w:shd w:fill="DDE9EC"/>
          </w:tcPr>
          <w:p>
            <w:pPr>
              <w:spacing w:before="20" w:after="20" w:line="260" w:lineRule="auto"/>
              <w:jc w:val="left"/>
              <w:keepNext/>
            </w:pPr>
            <w:r>
              <w:rPr>
                <w:sz w:val="18"/>
                <w:b/>
              </w:rPr>
              <w:t>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jc w:val="both"/>
      </w:pPr>
      <w:r>
        <w:rPr>
          <w:b/>
        </w:rPr>
        <w:t>Amtliche Grundlagen:</w:t>
      </w:r>
      <w:r>
        <w:rPr/>
        <w:t xml:space="preserve"> </w:t>
      </w:r>
      <w:hyperlink r:id="rIdKlausur63">
        <w:r>
          <w:rPr>
            <w:color w:val="174D72"/>
            <w:u w:val="single"/>
          </w:rPr>
          <w:t xml:space="preserve">APO-GOSt bisher: §§ 32–38</w:t>
        </w:r>
      </w:hyperlink>
      <w:r>
        <w:rPr/>
        <w:t xml:space="preserve"> · </w:t>
      </w:r>
      <w:hyperlink r:id="rIdKlausur64">
        <w:r>
          <w:rPr>
            <w:color w:val="174D72"/>
            <w:u w:val="single"/>
          </w:rPr>
          <w:t xml:space="preserve">APO-GOSt ab EF 2027/28: §§ 33–35</w:t>
        </w:r>
      </w:hyperlink>
      <w:r>
        <w:rPr/>
        <w:t xml:space="preserve"> · </w:t>
      </w:r>
      <w:hyperlink r:id="rIdKlausur65">
        <w:r>
          <w:rPr>
            <w:color w:val="174D72"/>
            <w:u w:val="single"/>
          </w:rPr>
          <w:t xml:space="preserve">Kernlehrplan 2022, Kapitel 4</w:t>
        </w:r>
      </w:hyperlink>
      <w:r>
        <w:rPr/>
        <w:t>.</w:t>
      </w:r>
    </w:p>
    <w:p>
      <w:bookmarkStart w:id="50" w:name="fuenftes"/>
      <w:pPr>
        <w:pStyle w:val="Heading1"/>
        <w:pageBreakBefore/>
        <w:suppressAutoHyphens w:val="1"/>
      </w:pPr>
      <w:r>
        <w:t>16 Vorbereitung auf das fünfte Abiturfach</w:t>
      </w:r>
      <w:bookmarkEnd w:id="50"/>
    </w:p>
    <w:p>
      <w:pPr>
        <w:pStyle w:val="Heading2"/>
        <w:suppressAutoHyphens w:val="1"/>
      </w:pPr>
      <w:r>
        <w:t>16.1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16.2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w:t>
      </w:r>
    </w:p>
    <w:p>
      <w:pPr>
        <w:jc w:val="both"/>
      </w:pPr>
      <w:r>
        <w:rPr/>
        <w:t>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pStyle w:val="Heading3"/>
        <w:jc w:val="left"/>
        <w:keepNext/>
      </w:pPr>
      <w:bookmarkStart w:id="9913" w:name="produkte_rechtsgrundlage"/>
      <w:bookmarkEnd w:id="9913"/>
      <w:r>
        <w:rPr/>
        <w:t>Welche Produkte und Leistungsnachweise kommen infrage</w:t>
      </w:r>
    </w:p>
    <w:p>
      <w:pPr>
        <w:jc w:val="both"/>
        <w:keepLines/>
      </w:pPr>
      <w:r>
        <w:rPr/>
        <w:t xml:space="preserve">Die Prüfungsgrundlagen sind nicht auf gebaute Gegenstände oder GKL beschränkt. </w:t>
      </w:r>
      <w:hyperlink r:id="rIdProducts71">
        <w:r>
          <w:rPr>
            <w:color w:val="174D72"/>
            <w:u w:val="single"/>
          </w:rPr>
          <w:t xml:space="preserve">§ 35 Absatz 2 APO-GOSt</w:t>
        </w:r>
      </w:hyperlink>
      <w:r>
        <w:rPr/>
        <w:t xml:space="preserve"> verweist auf Leistungsnachweise der Qualifikationsphase nach </w:t>
      </w:r>
      <w:hyperlink r:id="rIdProducts72">
        <w:r>
          <w:rPr>
            <w:color w:val="174D72"/>
            <w:u w:val="single"/>
          </w:rPr>
          <w:t xml:space="preserve">§ 14 Absatz 3</w:t>
        </w:r>
      </w:hyperlink>
      <w:r>
        <w:rPr/>
        <w:t xml:space="preserve"> und </w:t>
      </w:r>
      <w:hyperlink r:id="rIdProducts73">
        <w:r>
          <w:rPr>
            <w:color w:val="174D72"/>
            <w:u w:val="single"/>
          </w:rPr>
          <w:t xml:space="preserve">§ 15 Absatz 1</w:t>
        </w:r>
      </w:hyperlink>
      <w:r>
        <w:rPr/>
        <w:t>.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pPr>
        <w:jc w:val="both"/>
        <w:keepLines/>
      </w:pPr>
      <w:r>
        <w:rPr/>
        <w:t xml:space="preserve">Davon sind die verbindlichen Produkte des Projektkurses zu unterscheiden: Dort entsteht nach </w:t>
      </w:r>
      <w:hyperlink r:id="rIdProducts74">
        <w:r>
          <w:rPr>
            <w:color w:val="174D72"/>
            <w:u w:val="single"/>
          </w:rPr>
          <w:t xml:space="preserve">§ 14 Absatz 3 APO-GOSt</w:t>
        </w:r>
      </w:hyperlink>
      <w:r>
        <w:rPr/>
        <w:t xml:space="preserve"> in Q2.1 und Q2.2 jeweils ein Produkt im Beurteilungsbereich „Schriftliche Arbeiten“. Im regulären Grundkurs sind die beiden ausgewählten Prüfungsgrundlagen dagegen nicht auf diese besondere Leistungsform beschränkt.</w:t>
      </w:r>
    </w:p>
    <w:p>
      <w:pPr>
        <w:jc w:val="both"/>
        <w:keepLines/>
      </w:pPr>
      <w:r>
        <w:rPr/>
        <w:t xml:space="preserve">Die Auswahl wird entsprechend </w:t>
      </w:r>
      <w:hyperlink r:id="rIdProducts75">
        <w:r>
          <w:rPr>
            <w:color w:val="174D72"/>
            <w:u w:val="single"/>
          </w:rPr>
          <w:t xml:space="preserve">§ 35 Absatz 2 und VV 35.2.2</w:t>
        </w:r>
      </w:hyperlink>
      <w:r>
        <w:rPr/>
        <w:t xml:space="preserve"> dokumentiert. Die Prüfung muss nach </w:t>
      </w:r>
      <w:hyperlink r:id="rIdProducts76">
        <w:r>
          <w:rPr>
            <w:color w:val="174D72"/>
            <w:u w:val="single"/>
          </w:rPr>
          <w:t xml:space="preserve">§ 35 Absätze 4 und 5</w:t>
        </w:r>
      </w:hyperlink>
      <w:r>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Products77">
        <w:r>
          <w:rPr>
            <w:color w:val="174D72"/>
            <w:u w:val="single"/>
          </w:rPr>
          <w:t xml:space="preserve">§ 35 Absatz 6</w:t>
        </w:r>
      </w:hyperlink>
      <w:r>
        <w:rPr/>
        <w:t>).</w:t>
      </w:r>
    </w:p>
    <w:p>
      <w:pPr>
        <w:jc w:val="both"/>
        <w:keepLines/>
      </w:pPr>
      <w:r>
        <w:rPr/>
        <w:t>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pPr>
        <w:pStyle w:val="Heading3"/>
        <w:jc w:val="left"/>
        <w:keepNext/>
      </w:pPr>
      <w:bookmarkStart w:id="9914" w:name="produkte_beispiel_1"/>
      <w:bookmarkEnd w:id="9914"/>
      <w:r>
        <w:rPr/>
        <w:t>Beispiel 1 · Batterien und Brennstoffzellen</w:t>
      </w:r>
    </w:p>
    <w:p>
      <w:pPr>
        <w:jc w:val="both"/>
        <w:keepLines/>
        <w:keepNext/>
      </w:pPr>
      <w:r>
        <w:rPr>
          <w:b/>
        </w:rPr>
        <w:t>Zwei mögliche Leistungsnachweise.</w:t>
      </w:r>
      <w:r>
        <w:rPr/>
        <w:t xml:space="preserve"> Eine eigene Klausurbearbeitung zu einem Akkumulator und eine weitere Klausurbearbeitung zu einer Wasserstoff-Brennstoffzelle. Beide gehören zum Beurteilungsbereich „Schriftliche Arbeiten“.</w:t>
      </w:r>
    </w:p>
    <w:p>
      <w:pPr>
        <w:jc w:val="both"/>
        <w:keepLines/>
        <w:keepNext/>
      </w:pPr>
      <w:r>
        <w:rPr>
          <w:b/>
        </w:rPr>
        <w:t>Übergreifende Fragestellung.</w:t>
      </w:r>
      <w:r>
        <w:rPr/>
        <w:t xml:space="preserve"> Wie bestimmen die elektrochemischen Reaktionen die Möglichkeiten und Grenzen beider Systeme zur Energieversorgung?</w:t>
      </w:r>
    </w:p>
    <w:p>
      <w:pPr>
        <w:jc w:val="both"/>
        <w:keepLines/>
      </w:pPr>
      <w:r>
        <w:rPr>
          <w:b/>
        </w:rPr>
        <w:t>Fachliche Verknüpfung und Reflexion.</w:t>
      </w:r>
      <w:r>
        <w:rPr/>
        <w:t xml:space="preserve"> Die Präsentation verknüpft Redoxreaktionen, Elektrodenreaktionen und Energieumwandlungen. Sie vergleicht die eigenen Lösungswege, überprüft die verwendeten Systemgrenzen und begründet, unter welchen Nutzungsbedingungen die betrachteten Systeme geeignet sind.</w:t>
      </w:r>
    </w:p>
    <w:p>
      <w:pPr>
        <w:pStyle w:val="Heading3"/>
        <w:jc w:val="left"/>
        <w:keepNext/>
      </w:pPr>
      <w:bookmarkStart w:id="9915" w:name="produkte_beispiel_2"/>
      <w:bookmarkEnd w:id="9915"/>
      <w:r>
        <w:rPr/>
        <w:t>Beispiel 2 · Wie zuverlässig ist eine chemische Analyse</w:t>
      </w:r>
    </w:p>
    <w:p>
      <w:pPr>
        <w:jc w:val="both"/>
        <w:keepLines/>
        <w:keepNext/>
      </w:pPr>
      <w:r>
        <w:rPr>
          <w:b/>
        </w:rPr>
        <w:t>Zwei mögliche Leistungsnachweise.</w:t>
      </w:r>
      <w:r>
        <w:rPr/>
        <w:t xml:space="preserve"> Eine experimentelle GKL, bei der der Kurs zur Säurebestimmung durch Titration angeleitet wurde, und ein als Sonstige Mitarbeit bewerteter Untersuchungsbericht zur Konzentrationsbestimmung mittels Kalibrierkurve, beispielsweise durch Fotometrie.</w:t>
      </w:r>
    </w:p>
    <w:p>
      <w:pPr>
        <w:jc w:val="both"/>
        <w:keepLines/>
        <w:keepNext/>
      </w:pPr>
      <w:r>
        <w:rPr>
          <w:b/>
        </w:rPr>
        <w:t>Übergreifende Fragestellung.</w:t>
      </w:r>
      <w:r>
        <w:rPr/>
        <w:t xml:space="preserve"> Wie beeinflussen chemische Grundlagen, Verfahrenswahl und Messunsicherheiten die Aussagekraft einer Analyse?</w:t>
      </w:r>
    </w:p>
    <w:p>
      <w:pPr>
        <w:jc w:val="both"/>
        <w:keepLines/>
      </w:pPr>
      <w:r>
        <w:rPr>
          <w:b/>
        </w:rPr>
        <w:t>Fachliche Verknüpfung und Reflexion.</w:t>
      </w:r>
      <w:r>
        <w:rPr/>
        <w:t xml:space="preserve"> Verglichen werden das stöchiometrische Verfahren der Titration und die kalibrierungsabhängige Auswertung. An eigenen Daten werden Selektivität, Blindwerte, Wiederholungsmessungen und systematische Abweichungen reflektiert. Auch der Einfluss der Kursanleitung auf die Qualität der erhobenen Daten kann einbezogen werden.</w:t>
      </w:r>
    </w:p>
    <w:p>
      <w:pPr>
        <w:pStyle w:val="Heading3"/>
        <w:jc w:val="left"/>
        <w:keepNext/>
      </w:pPr>
      <w:bookmarkStart w:id="9916" w:name="produkte_beispiel_3"/>
      <w:bookmarkEnd w:id="9916"/>
      <w:r>
        <w:rPr/>
        <w:t>Beispiel 3 · Kunststoffe gezielt gestalten</w:t>
      </w:r>
    </w:p>
    <w:p>
      <w:pPr>
        <w:jc w:val="both"/>
        <w:keepLines/>
        <w:keepNext/>
      </w:pPr>
      <w:r>
        <w:rPr>
          <w:b/>
        </w:rPr>
        <w:t>Zwei mögliche Leistungsnachweise.</w:t>
      </w:r>
      <w:r>
        <w:rPr/>
        <w:t xml:space="preserve"> Eine dokumentierte Unterrichtsprojektarbeit zur Herstellung und Untersuchung einer Stärkefolie sowie ein fachlich erläutertes Modell oder Erklärvideo zu Struktur und Eigenschaften eines synthetischen Polymers. Beide Leistungen wurden im Bereich Sonstige Mitarbeit bewertet.</w:t>
      </w:r>
    </w:p>
    <w:p>
      <w:pPr>
        <w:jc w:val="both"/>
        <w:keepLines/>
        <w:keepNext/>
      </w:pPr>
      <w:r>
        <w:rPr>
          <w:b/>
        </w:rPr>
        <w:t>Übergreifende Fragestellung.</w:t>
      </w:r>
      <w:r>
        <w:rPr/>
        <w:t xml:space="preserve"> Wie hängen molekulare Struktur, Verarbeitung und Materialeigenschaften zusammen, und weshalb bedeutet „biobasiert“ nicht automatisch „biologisch abbaubar“?</w:t>
      </w:r>
    </w:p>
    <w:p>
      <w:pPr>
        <w:jc w:val="both"/>
        <w:keepLines/>
      </w:pPr>
      <w:r>
        <w:rPr>
          <w:b/>
        </w:rPr>
        <w:t>Fachliche Verknüpfung und Reflexion.</w:t>
      </w:r>
      <w:r>
        <w:rPr/>
        <w:t xml:space="preserve"> Die Präsentation verbindet eigene Beobachtungen mit Kettenstruktur, zwischenmolekularen Wechselwirkungen und gegebenenfalls Vernetzung. Sie unterscheidet Rohstoffherkunft, Nutzung und Abbaubedingungen und prüft, welche Materialaussagen durch die eigenen Versuche tatsächlich gestützt werden.</w:t>
      </w:r>
    </w:p>
    <w:p>
      <w:pPr>
        <w:jc w:val="both"/>
      </w:pPr>
      <w:r>
        <w:rPr>
          <w:b/>
        </w:rPr>
        <w:t>Folgerung für die Unterrichts- und Klausurgestaltung.</w:t>
      </w:r>
      <w:r>
        <w:rPr/>
        <w:t xml:space="preserve"> Die in Kapitel 13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pPr>
        <w:jc w:val="both"/>
      </w:pPr>
      <w:r>
        <w:rPr/>
        <w:t>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Bewertungsgrenze für das Fachgespräch:</w:t>
      </w:r>
      <w:r>
        <w:rPr/>
        <w:t xml:space="preserve"> Wird der zweite Prüfungsteil mit </w:t>
      </w:r>
      <w:r>
        <w:rPr>
          <w:b/>
        </w:rPr>
        <w:t>drei Notenpunkten oder weniger</w:t>
      </w:r>
      <w:r>
        <w:rPr/>
        <w:t xml:space="preserve"> bewertet, darf die </w:t>
      </w:r>
      <w:r>
        <w:rPr>
          <w:b/>
        </w:rPr>
        <w:t>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14 ersetzen diese nicht.</w:t>
      </w:r>
    </w:p>
    <w:p>
      <w:pPr>
        <w:pStyle w:val="Heading2"/>
        <w:suppressAutoHyphens w:val="1"/>
      </w:pPr>
      <w:r>
        <w:t>16.3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16.4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16.5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16.6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16.7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16.8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16.9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16.10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17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17.1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17.2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17.3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17.4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17.5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17.6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14.6 bis 14.8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17.7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arbeitskopie.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arbeitskopie.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Chemie Arbeitskopie des schulinternen Curriculums</dc:title>
  <dc:subject>Neuordnung der Jahrgangsfolge auf Grundlage der Kernlehrpläne 2019 und 2022</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