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Gemeinsames Produkt und individuelle Beiträge werden getrennt bewertet. Kapitel 16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17.</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14 behandelt.</w:t>
      </w:r>
    </w:p>
    <w:p>
      <w:pPr>
        <w:jc w:val="both"/>
      </w:pPr>
      <w:r>
        <w:rPr>
          <w:b/>
        </w:rPr>
        <w:t xml:space="preserve">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Für GKL im Fach Chemie stehen vier Formate zur Verfügung. Das gewählte Format, die fachlichen Anforderungen und die individuellen Nachweise werden vor Arbeitsbeginn vereinbart.</w:t>
      </w:r>
    </w:p>
    <w:p>
      <w:pPr>
        <w:suppressAutoHyphens w:val="0"/>
        <w:jc w:val="both"/>
      </w:pPr>
      <w:r>
        <w:t>Präsentation: Eine chemische Fragestellung anhand überprüfbarer Quellen, Daten und Modelle bearbeiten, Ergebnisse adressatengerecht präsentieren und im Fachgespräch begründen.</w:t>
      </w:r>
    </w:p>
    <w:p>
      <w:pPr>
        <w:suppressAutoHyphens w:val="0"/>
        <w:jc w:val="both"/>
      </w:pPr>
      <w:r>
        <w:t>Experimentelle Aufgabe: Eine eigene Untersuchung planen, nach Freigabe durchführen, Messwerte auswerten und die Aussagekraft der Ergebnisse beurteilen. Eine Anleitung des gesamten Kurses ist dabei nicht erforderlich.</w:t>
      </w:r>
    </w:p>
    <w:p>
      <w:pPr>
        <w:suppressAutoHyphens w:val="0"/>
        <w:jc w:val="both"/>
      </w:pPr>
      <w:r>
        <w:t>Anleitung des Kurses zum Experimentieren: Ein freigegebenes Verfahren erproben, den Kurs fachlich anleiten, bei Schwierigkeiten unterstützen und die Ergebnisse gemeinsam auswerten.</w:t>
      </w:r>
    </w:p>
    <w:p>
      <w:pPr>
        <w:suppressAutoHyphens w:val="0"/>
        <w:jc w:val="both"/>
      </w:pPr>
      <w:r>
        <w:t>Erarbeitung eines stationsbetriebenen Lernzirkels: Inhaltlich zusammenhängende Stationen mit Aufgaben, Experimenten oder Modellen, abgestuften Hilfen und einer gemeinsamen Ergebnissicherung entwickeln, erproben und mit dem Kurs durchführen.</w:t>
      </w:r>
    </w:p>
    <w:p>
      <w:pPr>
        <w:suppressAutoHyphens w:val="0"/>
        <w:jc w:val="both"/>
      </w:pPr>
      <w:r>
        <w:t>Die Beispiele in 14.2 bis 14.4 und das EF-Beispiel zu Stoffkreisläufen in 14.11 konkretisieren diese Formate. Kombinationen sind möglich, wenn Umfang, Zuständigkeiten und Bewertung vorab feststehen. Bei allen experimentellen Formaten verbleiben Freigabe und Aufsicht bei der Lehrkraft.</w:t>
      </w:r>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(14.6) oder Experimentierbogen (14.7) auswählen und jeder Person genau ein passendes Rollenmodul aus 14.8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14.2 bis 14.4 und 14.11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Beispielaufgaben</w:t>
      </w:r>
    </w:p>
    <w:p>
      <w:pPr>
        <w:suppressAutoHyphens w:val="0"/>
        <w:jc w:val="both"/>
      </w:pPr>
      <w:r>
        <w:rPr>
          <w:lang w:val="de-DE"/>
        </w:rPr>
        <w:t>Präsentation (14.2):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(14.4):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2"/>
        <w:pageBreakBefore/>
        <w:suppressAutoHyphens w:val="1"/>
      </w:pPr>
      <w:r>
        <w:t>14.11 EF Beispiel zu Stoffkreisläufen</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pStyle w:val="Heading2"/>
        <w:pageBreakBefore/>
        <w:suppressAutoHyphens w:val="1"/>
      </w:pPr>
      <w:r>
        <w:t>14.11 EF Beispiel zu Stoffkreisläufen Fortsetzung</w:t>
      </w:r>
    </w:p>
    <w:p>
      <w:pPr>
        <w:suppressAutoHyphens w:val="0"/>
        <w:jc w:val="both"/>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Bewertung und vier K: Für die experimentelle Aufgabe wird der Bogen aus 14.7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1"/>
        <w:jc w:val="left"/>
        <w:pageBreakBefore/>
      </w:pPr>
      <w:r>
        <w:rPr/>
        <w:t xml:space="preserve">15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9910" w:name="abitur_schriftlich"/>
      <w:bookmarkEnd w:id="9910"/>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9911" w:name="abitur_muendlich"/>
      <w:bookmarkEnd w:id="9911"/>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9912" w:name="abitur_bewertung"/>
      <w:bookmarkEnd w:id="9912"/>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 xml:space="preserve">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 xml:space="preserve">.</w:t>
      </w:r>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 xml:space="preserve">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xml:space="preserve">.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 xml:space="preserve">).</w:t>
      </w:r>
    </w:p>
    <w:p>
      <w:pPr>
        <w:jc w:val="both"/>
        <w:keepLines/>
      </w:pPr>
      <w:r>
        <w:rPr/>
        <w:t xml:space="preserve">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 xml:space="preserve">Beispiel 1 · Batterien und Brennstoffzellen</w:t>
      </w:r>
    </w:p>
    <w:p>
      <w:pPr>
        <w:jc w:val="both"/>
        <w:keepLines/>
        <w:keepNext/>
      </w:pPr>
      <w:r>
        <w:rPr>
          <w:b/>
        </w:rPr>
        <w:t xml:space="preserve">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 xml:space="preserve">Übergreifende Fragestellung.</w:t>
      </w:r>
      <w:r>
        <w:rPr/>
        <w:t xml:space="preserve"> Wie bestimmen die elektrochemischen Reaktionen die Möglichkeiten und Grenzen beider Systeme zur Energieversorgung?</w:t>
      </w:r>
    </w:p>
    <w:p>
      <w:pPr>
        <w:jc w:val="both"/>
        <w:keepLines/>
      </w:pPr>
      <w:r>
        <w:rPr>
          <w:b/>
        </w:rPr>
        <w:t xml:space="preserve">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 xml:space="preserve">Beispiel 2 · Wie zuverlässig ist eine chemische Analyse</w:t>
      </w:r>
    </w:p>
    <w:p>
      <w:pPr>
        <w:jc w:val="both"/>
        <w:keepLines/>
        <w:keepNext/>
      </w:pPr>
      <w:r>
        <w:rPr>
          <w:b/>
        </w:rPr>
        <w:t xml:space="preserve">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 xml:space="preserve">Übergreifende Fragestellung.</w:t>
      </w:r>
      <w:r>
        <w:rPr/>
        <w:t xml:space="preserve"> Wie beeinflussen chemische Grundlagen, Verfahrenswahl und Messunsicherheiten die Aussagekraft einer Analyse?</w:t>
      </w:r>
    </w:p>
    <w:p>
      <w:pPr>
        <w:jc w:val="both"/>
        <w:keepLines/>
      </w:pPr>
      <w:r>
        <w:rPr>
          <w:b/>
        </w:rPr>
        <w:t xml:space="preserve">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 xml:space="preserve">Beispiel 3 · Kunststoffe gezielt gestalten</w:t>
      </w:r>
    </w:p>
    <w:p>
      <w:pPr>
        <w:jc w:val="both"/>
        <w:keepLines/>
        <w:keepNext/>
      </w:pPr>
      <w:r>
        <w:rPr>
          <w:b/>
        </w:rPr>
        <w:t xml:space="preserve">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 xml:space="preserve">Übergreifende Fragestellung.</w:t>
      </w:r>
      <w:r>
        <w:rPr/>
        <w:t xml:space="preserve"> Wie hängen molekulare Struktur, Verarbeitung und Materialeigenschaften zusammen, und weshalb bedeutet „biobasiert“ nicht automatisch „biologisch abbaubar“?</w:t>
      </w:r>
    </w:p>
    <w:p>
      <w:pPr>
        <w:jc w:val="both"/>
        <w:keepLines/>
      </w:pPr>
      <w:r>
        <w:rPr>
          <w:b/>
        </w:rPr>
        <w:t xml:space="preserve">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 xml:space="preserve">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