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25. September 2026</w:t>
      </w:r>
    </w:p>
    <w:p>
      <w:hyperlink r:id="rId11">
        <w:r>
          <w:rPr>
            <w:color w:val="17594E"/>
          </w:rPr>
          <w:t>Onlinefassung des Curriculums</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profil">
        <w:r>
          <w:rPr>
            <w:color w:val="17594E"/>
          </w:rPr>
          <w:t>1 Profil und Bildungsauftrag</w:t>
        </w:r>
      </w:hyperlink>
    </w:p>
    <w:p>
      <w:pPr>
        <w:spacing w:after="220"/>
      </w:pPr>
      <w:hyperlink w:anchor="rahmen">
        <w:r>
          <w:rPr>
            <w:color w:val="17594E"/>
          </w:rPr>
          <w:t>2 Rahmen und Lernprogression</w:t>
        </w:r>
      </w:hyperlink>
    </w:p>
    <w:p>
      <w:pPr>
        <w:spacing w:after="220"/>
      </w:pPr>
      <w:hyperlink w:anchor="kompetenzen">
        <w:r>
          <w:rPr>
            <w:color w:val="17594E"/>
          </w:rPr>
          <w:t>3 Kompetenzorientierung</w:t>
        </w:r>
      </w:hyperlink>
    </w:p>
    <w:p>
      <w:pPr>
        <w:spacing w:after="220"/>
      </w:pPr>
      <w:hyperlink w:anchor="jahresplanung">
        <w:r>
          <w:rPr>
            <w:color w:val="17594E"/>
          </w:rPr>
          <w:t>4 Jahresplanung</w:t>
        </w:r>
      </w:hyperlink>
    </w:p>
    <w:p>
      <w:pPr>
        <w:spacing w:after="220"/>
      </w:pPr>
      <w:hyperlink w:anchor="uv09_1">
        <w:r>
          <w:rPr>
            <w:color w:val="17594E"/>
          </w:rPr>
          <w:t>5 Unterrichtsvorhaben</w:t>
        </w:r>
      </w:hyperlink>
    </w:p>
    <w:p>
      <w:pPr>
        <w:spacing w:after="220"/>
      </w:pPr>
      <w:hyperlink w:anchor="abdeckung">
        <w:r>
          <w:rPr>
            <w:color w:val="17594E"/>
          </w:rPr>
          <w:t>6 Kompetenzabdeckung</w:t>
        </w:r>
      </w:hyperlink>
    </w:p>
    <w:p>
      <w:pPr>
        <w:spacing w:after="220"/>
      </w:pPr>
      <w:hyperlink w:anchor="unterricht">
        <w:r>
          <w:rPr>
            <w:color w:val="17594E"/>
          </w:rPr>
          <w:t>7 Unterricht und Förderung</w:t>
        </w:r>
      </w:hyperlink>
    </w:p>
    <w:p>
      <w:pPr>
        <w:spacing w:after="220"/>
      </w:pPr>
      <w:hyperlink w:anchor="medien">
        <w:r>
          <w:rPr>
            <w:color w:val="17594E"/>
          </w:rPr>
          <w:t>8 Medien und KI</w:t>
        </w:r>
      </w:hyperlink>
    </w:p>
    <w:p>
      <w:pPr>
        <w:spacing w:after="220"/>
      </w:pPr>
      <w:hyperlink w:anchor="bewertung">
        <w:r>
          <w:rPr>
            <w:color w:val="17594E"/>
          </w:rPr>
          <w:t>9 Leistungsbewertung</w:t>
        </w:r>
      </w:hyperlink>
    </w:p>
    <w:p>
      <w:pPr>
        <w:spacing w:after="220"/>
      </w:pPr>
      <w:hyperlink w:anchor="qualitaet">
        <w:r>
          <w:rPr>
            <w:color w:val="17594E"/>
          </w:rPr>
          <w:t>10 Dokumentation und Qualität</w:t>
        </w:r>
      </w:hyperlink>
    </w:p>
    <w:p>
      <w:pPr>
        <w:spacing w:after="220"/>
      </w:pPr>
      <w:hyperlink w:anchor="quellen">
        <w:r>
          <w:rPr>
            <w:color w:val="17594E"/>
          </w:rPr>
          <w:t>11 Grundlagen und Quellen</w:t>
        </w:r>
      </w:hyperlink>
    </w:p>
    <w:p>
      <w:r>
        <w:t>Die Kapitel sind in Word und in der Onlinefassung direkt anwählbar. Die Kompetenzkennungen verbinden Lernziele, Unterrichtsvorhaben und Nachweise.</w:t>
      </w:r>
    </w:p>
    <w:p>
      <w:bookmarkStart w:id="1" w:name="profil"/>
      <w:pPr>
        <w:pStyle w:val="Heading1"/>
        <w:pageBreakBefore/>
      </w:pPr>
      <w:r>
        <w:t>1 Profil und Bildungsauftrag</w:t>
      </w:r>
      <w:bookmarkEnd w:id="1"/>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3"/>
      </w:pPr>
      <w:r>
        <w:t>Die vier K im naturwissenschaftlichen Lernen</w:t>
      </w:r>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p>
      <w:pPr/>
      <w:r>
        <w:t>Die vier K bezeichnen genuin menschliche Fähigkeiten des Verstehens, Gestaltens und verantwortlichen Handelns. Sie ergänzen das klassische Bildungsideal, statt es zu ersetzen. Kenntnisse aus Biologie, Chemie und Physik sowie eigene Untersuchungserfahrungen bilden ihre Grundlage: Ohne Wissen über Ursachen und bisherige Lösungsansätze bleibt Kreativität beliebig; ohne sichere allgemeine und fachsprachliche Mittel gelingt keine lösungsgerichtete Kommunikation. Kritisches Denken setzt Sachkenntnis und Kriterien für belastbare Belege voraus. Kollaboration verlangt eigene Beiträge, Zuhören und gemeinsame Verantwortung. Generative KI kann Vorschläge und Darstellungen erzeugen, übernimmt aber nicht die menschliche Verantwortung für deren Prüfung und Anwendung auf konkrete Umwelt- und Gesundheitsfragen. Deshalb werden die vier K im Unterricht und in Leistungsnachweisen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0" w:before="0" w:line="240" w:lineRule="auto"/>
      </w:pPr>
      <w:r>
        <w:rPr>
          <w:sz w:val="6"/>
        </w:rPr>
      </w: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bookmarkStart w:id="2" w:name="rahmen"/>
      <w:pPr>
        <w:pStyle w:val="Heading1"/>
        <w:pageBreakBefore/>
      </w:pPr>
      <w:r>
        <w:t>2 Rahmen und Lernprogression</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3.</w:t>
            </w:r>
          </w:p>
        </w:tc>
      </w:tr>
    </w:tbl>
    <w:p>
      <w:pPr>
        <w:spacing w:after="0" w:before="0" w:line="240" w:lineRule="auto"/>
      </w:pPr>
      <w:r>
        <w:rPr>
          <w:sz w:val="6"/>
        </w:rPr>
      </w:r>
    </w:p>
    <w:p>
      <w:pPr>
        <w:pStyle w:val="Heading3"/>
      </w:pPr>
      <w:r>
        <w:t>Anschluss an den Fachunterricht</w:t>
      </w:r>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3"/>
      </w:pPr>
      <w:r>
        <w:t>Vom angeleiteten Arbeiten zur begründeten Selbstständigkeit</w:t>
      </w:r>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bookmarkStart w:id="3" w:name="kompetenzen"/>
      <w:pPr>
        <w:pStyle w:val="Heading1"/>
        <w:pageBreakBefore/>
      </w:pPr>
      <w:r>
        <w:t>3 Fachwissen und Erkenntnisgewinnung</w:t>
      </w:r>
      <w:bookmarkEnd w:id="3"/>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0" w:before="0" w:line="240" w:lineRule="auto"/>
      </w:pPr>
      <w:r>
        <w:rPr>
          <w:sz w:val="6"/>
        </w:rPr>
      </w:r>
    </w:p>
    <w:p>
      <w:pPr>
        <w:pStyle w:val="Heading3"/>
      </w:pPr>
      <w:r>
        <w:t>Erkenntnisgewinnung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0" w:before="0" w:line="240" w:lineRule="auto"/>
      </w:pPr>
      <w:r>
        <w:rPr>
          <w:sz w:val="6"/>
        </w:rPr>
      </w: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bookmarkStart w:id="4" w:name="kommunikation"/>
      <w:pPr>
        <w:pStyle w:val="Heading2"/>
        <w:pageBreakBefore/>
      </w:pPr>
      <w:r>
        <w:t>Kommunikation und Bewertung</w:t>
      </w:r>
      <w:bookmarkEnd w:id="4"/>
    </w:p>
    <w:p>
      <w:pPr>
        <w:pStyle w:val="Heading3"/>
      </w:pPr>
      <w:r>
        <w:t>Kommunikation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0" w:before="0" w:line="240" w:lineRule="auto"/>
      </w:pPr>
      <w:r>
        <w:rPr>
          <w:sz w:val="6"/>
        </w:rPr>
      </w:r>
    </w:p>
    <w:p>
      <w:pPr>
        <w:pStyle w:val="Heading3"/>
      </w:pPr>
      <w:r>
        <w:t>Bewertung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0" w:before="0" w:line="240" w:lineRule="auto"/>
      </w:pPr>
      <w:r>
        <w:rPr>
          <w:sz w:val="6"/>
        </w:rPr>
      </w:r>
    </w:p>
    <w:p>
      <w:pPr>
        <w:pStyle w:val="Heading3"/>
      </w:pPr>
      <w:r>
        <w:t>Fachliche Vernetzung</w:t>
      </w:r>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bookmarkStart w:id="5" w:name="jahresplanung"/>
      <w:pPr>
        <w:pStyle w:val="Heading1"/>
        <w:pageBreakBefore/>
      </w:pPr>
      <w:r>
        <w:t>4 Jahresplanung der Klasse 9</w:t>
      </w:r>
      <w:bookmarkEnd w:id="5"/>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0" w:before="0" w:line="240" w:lineRule="auto"/>
      </w:pPr>
      <w:r>
        <w:rPr>
          <w:sz w:val="6"/>
        </w:rPr>
      </w:r>
    </w:p>
    <w:p>
      <w:pPr>
        <w:pStyle w:val="Heading3"/>
      </w:pPr>
      <w:r>
        <w:t>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bookmarkStart w:id="6" w:name="jahrgang10"/>
      <w:pPr>
        <w:pStyle w:val="Heading2"/>
        <w:pageBreakBefore/>
      </w:pPr>
      <w:r>
        <w:t>Jahresplanung der Klasse 10</w:t>
      </w:r>
      <w:bookmarkEnd w:id="6"/>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0" w:before="0" w:line="240" w:lineRule="auto"/>
      </w:pPr>
      <w:r>
        <w:rPr>
          <w:sz w:val="6"/>
        </w:rPr>
      </w:r>
    </w:p>
    <w:p>
      <w:pPr>
        <w:pStyle w:val="Heading3"/>
      </w:pPr>
      <w:r>
        <w:t>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3"/>
      </w:pPr>
      <w:r>
        <w:t>Außerschulische Zusammenarbeit</w:t>
      </w:r>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bookmarkStart w:id="7" w:name="uv09_1"/>
      <w:pPr>
        <w:pStyle w:val="Heading1"/>
        <w:pageBreakBefore/>
      </w:pPr>
      <w:r>
        <w:t>09.1 Natürlicher und anthropogener Treibhauseffekt</w:t>
      </w:r>
      <w:bookmarkEnd w:id="7"/>
    </w:p>
    <w:p>
      <w:r>
        <w:t>Jahrgang 9 | 8 Unterrichtsstunden à 45 Minuten</w:t>
      </w:r>
    </w:p>
    <w:p>
      <w:pPr>
        <w:pStyle w:val="Heading3"/>
      </w:pPr>
      <w:r>
        <w:t>Leitfrage</w:t>
      </w:r>
    </w:p>
    <w:p>
      <w:r>
        <w:t>Warum ist die Erde bewohnbar und weshalb verändert der Mensch ihre Temperatur?</w:t>
      </w:r>
    </w:p>
    <w:p>
      <w:pPr>
        <w:pStyle w:val="Heading3"/>
      </w:pPr>
      <w:r>
        <w:t>Inhaltliche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pPr>
      <w:r>
        <w:t>Die Schülerinnen und Schüler können</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pPr>
      <w:r>
        <w:t>Lernwege und fachliche Vereinbarungen</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pPr>
      <w:r>
        <w:t>Überprüfbare Lernleistung</w:t>
      </w:r>
    </w:p>
    <w:p>
      <w:r>
        <w:t>Kommentiertes eigenes Schema und kurze individuelle Erklärung: Was ändert sich bei mehr CO₂, was bleibt im Modell unberücksichtigt?</w:t>
      </w:r>
    </w:p>
    <w:p>
      <w:pPr>
        <w:pStyle w:val="Heading3"/>
      </w:pPr>
      <w:r>
        <w:t>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bookmarkStart w:id="8" w:name="uv09_2"/>
      <w:pPr>
        <w:pStyle w:val="Heading2"/>
        <w:pageBreakBefore/>
      </w:pPr>
      <w:r>
        <w:t>09.2 Klimawandel und globale Auswirkungen</w:t>
      </w:r>
      <w:bookmarkEnd w:id="8"/>
    </w:p>
    <w:p>
      <w:r>
        <w:t>Jahrgang 9 | 18 Unterrichtsstunden à 45 Minuten</w:t>
      </w:r>
    </w:p>
    <w:p>
      <w:pPr>
        <w:pStyle w:val="Heading3"/>
      </w:pPr>
      <w:r>
        <w:t>Leitfrage</w:t>
      </w:r>
    </w:p>
    <w:p>
      <w:r>
        <w:t>Wie verändern sich Lebensbedingungen in verschiedenen Regionen der Erde?</w:t>
      </w:r>
    </w:p>
    <w:p>
      <w:pPr>
        <w:pStyle w:val="Heading3"/>
      </w:pPr>
      <w:r>
        <w:t>Inhaltliche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pPr>
      <w:r>
        <w:t>Die Schülerinnen und Schüler können</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pPr>
      <w:r>
        <w:t>Lernwege und fachliche Vereinbarungen</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pPr>
      <w:r>
        <w:t>Überprüfbare Lernleistung</w:t>
      </w:r>
    </w:p>
    <w:p>
      <w:r>
        <w:t>Fallstudienposter mit Datenbelegen und individueller Szenariobegründung; Rückfragen prüfen die Unterscheidung von Beobachtung, Erklärung und Zukunftsannahme.</w:t>
      </w:r>
    </w:p>
    <w:p>
      <w:pPr>
        <w:pStyle w:val="Heading3"/>
      </w:pPr>
      <w:r>
        <w:t>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bookmarkStart w:id="9" w:name="uv09_3"/>
      <w:pPr>
        <w:pStyle w:val="Heading2"/>
        <w:pageBreakBefore/>
      </w:pPr>
      <w:r>
        <w:t>09.3 Klimaschutz und begründete Entscheidungen</w:t>
      </w:r>
      <w:bookmarkEnd w:id="9"/>
    </w:p>
    <w:p>
      <w:r>
        <w:t>Jahrgang 9 | 16 Unterrichtsstunden à 45 Minuten</w:t>
      </w:r>
    </w:p>
    <w:p>
      <w:pPr>
        <w:pStyle w:val="Heading3"/>
      </w:pPr>
      <w:r>
        <w:t>Leitfrage</w:t>
      </w:r>
    </w:p>
    <w:p>
      <w:r>
        <w:t>Welche Maßnahmen sind für Schule und Alltag wirksam und umsetzbar?</w:t>
      </w:r>
    </w:p>
    <w:p>
      <w:pPr>
        <w:pStyle w:val="Heading3"/>
      </w:pPr>
      <w:r>
        <w:t>Inhaltliche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pPr>
      <w:r>
        <w:t>Die Schülerinnen und Schüler können</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pPr>
      <w:r>
        <w:t>Lernwege und fachliche Vereinbarungen</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pPr>
      <w:r>
        <w:t>Überprüfbare Lernleistung</w:t>
      </w:r>
    </w:p>
    <w:p>
      <w:r>
        <w:t>Maßnahmenkatalog mit Quellen, Kriteriengewichtung und Begründung; individuelle Stellungnahme zu einem Zielkonflikt und Reflexion einer veränderten Entscheidung.</w:t>
      </w:r>
    </w:p>
    <w:p>
      <w:pPr>
        <w:pStyle w:val="Heading3"/>
      </w:pPr>
      <w:r>
        <w:t>Differenzierung und Vernetzung</w:t>
      </w:r>
    </w:p>
    <w:p>
      <w:r>
        <w:t>Hilfen: Quellenpaket und Matrixvorlage. Vertiefung: untersuchen, ob eine andere Gewichtung zu einer anderen Rangfolge führt. Der Katalog wird in UV 09.8 durch konkrete Energieverbrauchsrechnungen ergänzt.</w:t>
      </w:r>
    </w:p>
    <w:p>
      <w:bookmarkStart w:id="10" w:name="uv09_4"/>
      <w:pPr>
        <w:pStyle w:val="Heading2"/>
        <w:pageBreakBefore/>
      </w:pPr>
      <w:r>
        <w:t>09.4 Klimadaten verstehen</w:t>
      </w:r>
      <w:bookmarkEnd w:id="10"/>
    </w:p>
    <w:p>
      <w:r>
        <w:t>Jahrgang 9 | 10 Unterrichtsstunden à 45 Minuten</w:t>
      </w:r>
    </w:p>
    <w:p>
      <w:pPr>
        <w:pStyle w:val="Heading3"/>
      </w:pPr>
      <w:r>
        <w:t>Leitfrage</w:t>
      </w:r>
    </w:p>
    <w:p>
      <w:r>
        <w:t>Was zeigen Klimadiagramme und welche Aussagen erlauben sie?</w:t>
      </w:r>
    </w:p>
    <w:p>
      <w:pPr>
        <w:pStyle w:val="Heading3"/>
      </w:pPr>
      <w:r>
        <w:t>Inhaltliche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pPr>
      <w:r>
        <w:t>Die Schülerinnen und Schüler können</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pPr>
      <w:r>
        <w:t>Lernwege und fachliche Vereinbarungen</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pPr>
      <w:r>
        <w:t>Überprüfbare Lernleistung</w:t>
      </w:r>
    </w:p>
    <w:p>
      <w:r>
        <w:t>Datenblatt mit Rohdatenquelle, Diagramm und schriftlicher Auswertung; kurzer Faktencheck einer behaupteten Schlussfolgerung. Unsicherheiten und unzulässige Verallgemeinerungen werden benannt.</w:t>
      </w:r>
    </w:p>
    <w:p>
      <w:pPr>
        <w:pStyle w:val="Heading3"/>
      </w:pPr>
      <w:r>
        <w:t>Differenzierung und Vernetzung</w:t>
      </w:r>
    </w:p>
    <w:p>
      <w:r>
        <w:t>Hilfen: Diagrammcheckliste und teilweise ausgefüllte Tabellen. Vertiefung: Mittelungszeiträume variieren und Unterschiede erklären. Verbindung zu Mathematik und digitaler Datenverarbeitung.</w:t>
      </w:r>
    </w:p>
    <w:p>
      <w:bookmarkStart w:id="11" w:name="uv09_5"/>
      <w:pPr>
        <w:pStyle w:val="Heading2"/>
        <w:pageBreakBefore/>
      </w:pPr>
      <w:r>
        <w:t>09.5 Energieformen und Energieträger</w:t>
      </w:r>
      <w:bookmarkEnd w:id="11"/>
    </w:p>
    <w:p>
      <w:r>
        <w:t>Jahrgang 9 | 8 Unterrichtsstunden à 45 Minuten</w:t>
      </w:r>
    </w:p>
    <w:p>
      <w:pPr>
        <w:pStyle w:val="Heading3"/>
      </w:pPr>
      <w:r>
        <w:t>Leitfrage</w:t>
      </w:r>
    </w:p>
    <w:p>
      <w:r>
        <w:t>Wie wird Energie bereitgestellt, umgewandelt und genutzt?</w:t>
      </w:r>
    </w:p>
    <w:p>
      <w:pPr>
        <w:pStyle w:val="Heading3"/>
      </w:pPr>
      <w:r>
        <w:t>Inhaltliche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pPr>
      <w:r>
        <w:t>Die Schülerinnen und Schüler können</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pPr>
      <w:r>
        <w:t>Lernwege und fachliche Vereinbarungen</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pPr>
      <w:r>
        <w:t>Überprüfbare Lernleistung</w:t>
      </w:r>
    </w:p>
    <w:p>
      <w:r>
        <w:t>Individuelles Energielexikon und Erklärung eines unbekannten Alltagsgeräts mit Energieflussbild; fachliche Rückmeldung in Partnerarbeit.</w:t>
      </w:r>
    </w:p>
    <w:p>
      <w:pPr>
        <w:pStyle w:val="Heading3"/>
      </w:pPr>
      <w:r>
        <w:t>Differenzierung und Vernetzung</w:t>
      </w:r>
    </w:p>
    <w:p>
      <w:r>
        <w:t>Hilfen: Bild- und Begriffskarten. Vertiefung: unterschiedliche Wege zur Bereitstellung von Wasserstoff vergleichen. Verbindung zu Physik und chemischen Reaktionen; Grundlage für UV 09.6 bis 09.8.</w:t>
      </w:r>
    </w:p>
    <w:p>
      <w:bookmarkStart w:id="12" w:name="uv09_6"/>
      <w:pPr>
        <w:pStyle w:val="Heading2"/>
        <w:pageBreakBefore/>
      </w:pPr>
      <w:r>
        <w:t>09.6 Energieträger und Technologien im Vergleich</w:t>
      </w:r>
      <w:bookmarkEnd w:id="12"/>
    </w:p>
    <w:p>
      <w:r>
        <w:t>Jahrgang 9 | 14 Unterrichtsstunden à 45 Minuten</w:t>
      </w:r>
    </w:p>
    <w:p>
      <w:pPr>
        <w:pStyle w:val="Heading3"/>
      </w:pPr>
      <w:r>
        <w:t>Leitfrage</w:t>
      </w:r>
    </w:p>
    <w:p>
      <w:r>
        <w:t>Wie lässt sich eine verlässliche und umweltverträgliche Energieversorgung gestalten?</w:t>
      </w:r>
    </w:p>
    <w:p>
      <w:pPr>
        <w:pStyle w:val="Heading3"/>
      </w:pPr>
      <w:r>
        <w:t>Inhaltliche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pPr>
      <w:r>
        <w:t>Die Schülerinnen und Schüler können</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pPr>
      <w:r>
        <w:t>Lernwege und fachliche Vereinbarungen</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pPr>
      <w:r>
        <w:t>Überprüfbare Lernleistung</w:t>
      </w:r>
    </w:p>
    <w:p>
      <w:r>
        <w:t>Vergleichstabelle mit Quellen und individuellen Fachanteilen; begründetes abschließendes Einzelurteil zu einem Energiemix statt bloßer Rangliste einzelner Technologien.</w:t>
      </w:r>
    </w:p>
    <w:p>
      <w:pPr>
        <w:pStyle w:val="Heading3"/>
      </w:pPr>
      <w:r>
        <w:t>Differenzierung und Vernetzung</w:t>
      </w:r>
    </w:p>
    <w:p>
      <w:r>
        <w:t>Hilfen: gemeinsame Kriterien und geprüfte Grunddaten. Vertiefung: Systemgrenzen oder Kriteriengewichtungen verändern. Verbindung von Chemie, Physik, Ökologie und gesellschaftlicher Bewertung.</w:t>
      </w:r>
    </w:p>
    <w:p>
      <w:bookmarkStart w:id="13" w:name="uv09_7"/>
      <w:pPr>
        <w:pStyle w:val="Heading2"/>
        <w:pageBreakBefore/>
      </w:pPr>
      <w:r>
        <w:t>09.7 Bauprojekt zur Energienutzung</w:t>
      </w:r>
      <w:bookmarkEnd w:id="13"/>
    </w:p>
    <w:p>
      <w:r>
        <w:t>Jahrgang 9 | 20 Unterrichtsstunden à 45 Minuten</w:t>
      </w:r>
    </w:p>
    <w:p>
      <w:pPr>
        <w:pStyle w:val="Heading3"/>
      </w:pPr>
      <w:r>
        <w:t>Leitfrage</w:t>
      </w:r>
    </w:p>
    <w:p>
      <w:r>
        <w:t>Wie entwickeln und prüfen wir ein funktionsfähiges technisches Modell?</w:t>
      </w:r>
    </w:p>
    <w:p>
      <w:pPr>
        <w:pStyle w:val="Heading3"/>
      </w:pPr>
      <w:r>
        <w:t>Inhaltliche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pPr>
      <w:r>
        <w:t>Die Schülerinnen und Schüler können</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pPr>
      <w:r>
        <w:t>Lernwege und fachliche Vereinbarungen</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pPr>
      <w:r>
        <w:t>Überprüfbare Lernleistung</w:t>
      </w:r>
    </w:p>
    <w:p>
      <w:r>
        <w:t>Bautagebuch, Bauplan, Messdiagramm, Modellvorstellung und individuelle Reflexion. Bewertbar ist auch ein nicht optimal funktionierendes Modell, wenn Fehler fachlich untersucht und Verbesserungen begründet werden.</w:t>
      </w:r>
    </w:p>
    <w:p>
      <w:pPr>
        <w:pStyle w:val="Heading3"/>
      </w:pPr>
      <w:r>
        <w:t>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bookmarkStart w:id="14" w:name="uv09_8"/>
      <w:pPr>
        <w:pStyle w:val="Heading2"/>
        <w:pageBreakBefore/>
      </w:pPr>
      <w:r>
        <w:t>09.8 Energieverbrauch im Alltag</w:t>
      </w:r>
      <w:bookmarkEnd w:id="14"/>
    </w:p>
    <w:p>
      <w:r>
        <w:t>Jahrgang 9 | 6 Unterrichtsstunden à 45 Minuten</w:t>
      </w:r>
    </w:p>
    <w:p>
      <w:pPr>
        <w:pStyle w:val="Heading3"/>
      </w:pPr>
      <w:r>
        <w:t>Leitfrage</w:t>
      </w:r>
    </w:p>
    <w:p>
      <w:r>
        <w:t>Welche Einsparung ist rechnerisch plausibel und praktisch sinnvoll?</w:t>
      </w:r>
    </w:p>
    <w:p>
      <w:pPr>
        <w:pStyle w:val="Heading3"/>
      </w:pPr>
      <w:r>
        <w:t>Inhaltliche Schwerpunkte</w:t>
      </w:r>
    </w:p>
    <w:p>
      <w:r>
        <w:t>Elektrische Leistung und Energiebedarf; kWh; Verbrauch von Kühlschrank, Laptop und Fernseher; Energieeffizienzkennzeichnung; Warmwasser, Heizung und Beleuchtung; Kosten und Vergleich vor und nach einer Maßnahme.</w:t>
      </w:r>
    </w:p>
    <w:p>
      <w:pPr>
        <w:pStyle w:val="Heading3"/>
      </w:pPr>
      <w:r>
        <w:t>Die Schülerinnen und Schüler können</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pPr>
      <w:r>
        <w:t>Lernwege und fachliche Vereinbarungen</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pPr>
      <w:r>
        <w:t>Überprüfbare Lernleistung</w:t>
      </w:r>
    </w:p>
    <w:p>
      <w:r>
        <w:t>Energiesparplan mit mindestens einer nachvollziehbaren Vorher-Nachher-Rechnung, offengelegten Annahmen und individueller Begründung; Rückbezug auf den Maßnahmenkatalog aus UV 09.3.</w:t>
      </w:r>
    </w:p>
    <w:p>
      <w:pPr>
        <w:pStyle w:val="Heading3"/>
      </w:pPr>
      <w:r>
        <w:t>Differenzierung und Vernetzung</w:t>
      </w:r>
    </w:p>
    <w:p>
      <w:r>
        <w:t>Hilfen: Einheitentabelle und Rechengerüst. Vertiefung: veränderte Nutzungszeiten und Anschaffungskosten vergleichen. Verbindung zu Mathematik, Verbraucherbildung und den Energieumwandlungen aus UV 09.5.</w:t>
      </w:r>
    </w:p>
    <w:p>
      <w:bookmarkStart w:id="15" w:name="uv10_1"/>
      <w:pPr>
        <w:pStyle w:val="Heading2"/>
        <w:pageBreakBefore/>
      </w:pPr>
      <w:r>
        <w:t>10.1 Ernährung und Verdauung</w:t>
      </w:r>
      <w:bookmarkEnd w:id="15"/>
    </w:p>
    <w:p>
      <w:r>
        <w:t>Jahrgang 10 | 32 Unterrichtsstunden à 45 Minuten</w:t>
      </w:r>
    </w:p>
    <w:p>
      <w:pPr>
        <w:pStyle w:val="Heading3"/>
      </w:pPr>
      <w:r>
        <w:t>Leitfrage</w:t>
      </w:r>
    </w:p>
    <w:p>
      <w:r>
        <w:t>Wie werden aus Nahrungsmitteln nutzbare Bausteine und wie prüfen wir Ernährungsaussagen?</w:t>
      </w:r>
    </w:p>
    <w:p>
      <w:pPr>
        <w:pStyle w:val="Heading3"/>
      </w:pPr>
      <w:r>
        <w:t>Inhaltliche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pPr>
      <w:r>
        <w:t>Die Schülerinnen und Schüler können</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pPr>
      <w:r>
        <w:t>Lernwege und fachliche Vereinbarungen</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pPr>
      <w:r>
        <w:t>Überprüfbare Lernleistung</w:t>
      </w:r>
    </w:p>
    <w:p>
      <w:r>
        <w:t>Individuelles Versuchsprotokoll mit Variablenkontrolle und Modellkritik; begründeter Vergleich zweier Lebensmittel- oder Ernährungsaussagen. Präsentationen verbinden Stoffebene und Organfunktion.</w:t>
      </w:r>
    </w:p>
    <w:p>
      <w:pPr>
        <w:pStyle w:val="Heading3"/>
      </w:pPr>
      <w:r>
        <w:t>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bookmarkStart w:id="16" w:name="uv10_2"/>
      <w:pPr>
        <w:pStyle w:val="Heading2"/>
        <w:pageBreakBefore/>
      </w:pPr>
      <w:r>
        <w:t>10.2 Blut und Blutkreislauf</w:t>
      </w:r>
      <w:bookmarkEnd w:id="16"/>
    </w:p>
    <w:p>
      <w:r>
        <w:t>Jahrgang 10 | 26 Unterrichtsstunden à 45 Minuten</w:t>
      </w:r>
    </w:p>
    <w:p>
      <w:pPr>
        <w:pStyle w:val="Heading3"/>
      </w:pPr>
      <w:r>
        <w:t>Leitfrage</w:t>
      </w:r>
    </w:p>
    <w:p>
      <w:r>
        <w:t>Wie versorgt ein Transportsystem den Körper und wie prüfen wir seine Modelle?</w:t>
      </w:r>
    </w:p>
    <w:p>
      <w:pPr>
        <w:pStyle w:val="Heading3"/>
      </w:pPr>
      <w:r>
        <w:t>Inhaltliche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pPr>
      <w:r>
        <w:t>Die Schülerinnen und Schüler können</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pPr>
      <w:r>
        <w:t>Lernwege und fachliche Vereinbarungen</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pPr>
      <w:r>
        <w:t>Überprüfbare Lernleistung</w:t>
      </w:r>
    </w:p>
    <w:p>
      <w:r>
        <w:t>Beschriftete Systemdarstellung, Datenauswertung und individuelle Modellkritik; fachlich begründete Erläuterung einer Präventionsmaßnahme. Die Qualität der Analyse wird bewertet, nicht ein körperlicher Messwert.</w:t>
      </w:r>
    </w:p>
    <w:p>
      <w:pPr>
        <w:pStyle w:val="Heading3"/>
      </w:pPr>
      <w:r>
        <w:t>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bookmarkStart w:id="17" w:name="uv10_3"/>
      <w:pPr>
        <w:pStyle w:val="Heading2"/>
        <w:pageBreakBefore/>
      </w:pPr>
      <w:r>
        <w:t>10.3 Haut und Hautschutz</w:t>
      </w:r>
      <w:bookmarkEnd w:id="17"/>
    </w:p>
    <w:p>
      <w:r>
        <w:t>Jahrgang 10 | 20 Unterrichtsstunden à 45 Minuten</w:t>
      </w:r>
    </w:p>
    <w:p>
      <w:pPr>
        <w:pStyle w:val="Heading3"/>
      </w:pPr>
      <w:r>
        <w:t>Leitfrage</w:t>
      </w:r>
    </w:p>
    <w:p>
      <w:r>
        <w:t>Wie schützt die Haut den Körper und wie lassen sich Schutzmaßnahmen begründen?</w:t>
      </w:r>
    </w:p>
    <w:p>
      <w:pPr>
        <w:pStyle w:val="Heading3"/>
      </w:pPr>
      <w:r>
        <w:t>Inhaltliche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pPr>
      <w:r>
        <w:t>Die Schülerinnen und Schüler können</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pPr>
      <w:r>
        <w:t>Lernwege und fachliche Vereinbarungen</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pPr>
      <w:r>
        <w:t>Überprüfbare Lernleistung</w:t>
      </w:r>
    </w:p>
    <w:p>
      <w:r>
        <w:t>Versuchs- oder Modellauswertung und adressatengerechte Informationskarte für einen Ausflug; individuelles Urteil zu einer Gesundheitswerbung mit benannten Prüfkriterien.</w:t>
      </w:r>
    </w:p>
    <w:p>
      <w:pPr>
        <w:pStyle w:val="Heading3"/>
      </w:pPr>
      <w:r>
        <w:t>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bookmarkStart w:id="18" w:name="uv10_4"/>
      <w:pPr>
        <w:pStyle w:val="Heading2"/>
        <w:pageBreakBefore/>
      </w:pPr>
      <w:r>
        <w:t>10.4 Skelett Muskeln und Bewegung</w:t>
      </w:r>
      <w:bookmarkEnd w:id="18"/>
    </w:p>
    <w:p>
      <w:r>
        <w:t>Jahrgang 10 | 22 Unterrichtsstunden à 45 Minuten</w:t>
      </w:r>
    </w:p>
    <w:p>
      <w:pPr>
        <w:pStyle w:val="Heading3"/>
      </w:pPr>
      <w:r>
        <w:t>Leitfrage</w:t>
      </w:r>
    </w:p>
    <w:p>
      <w:r>
        <w:t>Wie ermöglichen Strukturen Bewegung und wie unterstützen wir gesundes Handeln?</w:t>
      </w:r>
    </w:p>
    <w:p>
      <w:pPr>
        <w:pStyle w:val="Heading3"/>
      </w:pPr>
      <w:r>
        <w:t>Inhaltliche Schwerpunkte</w:t>
      </w:r>
    </w:p>
    <w:p>
      <w:r>
        <w:t>Aufbau des Skeletts, der Knochen und der Muskeln; Gelenke und Sehnen; Zusammenwirken von Knochen und Muskeln; Gegenspielerprinzip; Hebelwirkung; Belastung, Haltung und gesundheitsförderliche Bewegung.</w:t>
      </w:r>
    </w:p>
    <w:p>
      <w:pPr>
        <w:pStyle w:val="Heading3"/>
      </w:pPr>
      <w:r>
        <w:t>Die Schülerinnen und Schüler können</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pPr>
      <w:r>
        <w:t>Lernwege und fachliche Vereinbarungen</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pPr>
      <w:r>
        <w:t>Überprüfbare Lernleistung</w:t>
      </w:r>
    </w:p>
    <w:p>
      <w:r>
        <w:t>Modell mit Prüfprotokoll; angeleitete Lernstation und individuelles Fachgespräch. Abschließendes Kompetenzportfolio mit Beispielen aus Umwelt und Gesundheit zeigt Transfer und nächste Lernziele.</w:t>
      </w:r>
    </w:p>
    <w:p>
      <w:pPr>
        <w:pStyle w:val="Heading3"/>
      </w:pPr>
      <w:r>
        <w:t>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bookmarkStart w:id="19" w:name="abdeckung"/>
      <w:pPr>
        <w:pStyle w:val="Heading1"/>
        <w:pageBreakBefore/>
      </w:pPr>
      <w:r>
        <w:t>6 Nachweise der prozessbezogenen Kompetenzen</w:t>
      </w:r>
      <w:bookmarkEnd w:id="19"/>
    </w:p>
    <w:p>
      <w:r>
        <w:t>Die Übersicht weist für jeden prozessbezogenen Bereich mehrere Lerngelegenheiten und mindestens einen konkreten Nachweis aus. Die Kennungen beziehen sich auf die kursspezifischen Erwartungen in Kapitel 3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0" w:before="0" w:line="240" w:lineRule="auto"/>
      </w:pPr>
      <w:r>
        <w:rPr>
          <w:sz w:val="6"/>
        </w:rPr>
      </w:r>
    </w:p>
    <w:p>
      <w:bookmarkStart w:id="20" w:name="unterricht"/>
      <w:pPr>
        <w:pStyle w:val="Heading1"/>
        <w:pageBreakBefore/>
      </w:pPr>
      <w:r>
        <w:t>7 Unterrichtsgestaltung und individuelle Förderung</w:t>
      </w:r>
      <w:bookmarkEnd w:id="20"/>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3"/>
      </w:pPr>
      <w:r>
        <w:t>Diagnose und Rückmeldung</w:t>
      </w:r>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pPr>
      <w:r>
        <w:t>Unterschiedliche Lernvoraussetzungen</w:t>
      </w:r>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pPr>
      <w:r>
        <w:t>Zusammenarbeit und Eigenständigkeit</w:t>
      </w:r>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3"/>
      </w:pPr>
      <w:r>
        <w:t>Sicherheit und Verantwortung</w:t>
      </w:r>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bookmarkStart w:id="21" w:name="medien"/>
      <w:pPr>
        <w:pStyle w:val="Heading1"/>
        <w:pageBreakBefore/>
      </w:pPr>
      <w:r>
        <w:t>8 Digitale Medien und verantwortliche KI Nutzung</w:t>
      </w:r>
      <w:bookmarkEnd w:id="21"/>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pPr>
        <w:pStyle w:val="Heading3"/>
      </w:pPr>
      <w:r>
        <w:t>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pPr>
      <w:r>
        <w:t>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pPr>
      <w:r>
        <w:t>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pPr>
      <w:r>
        <w:t>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r>
        <w:t>Die Lehrkraft wählt passende Teilaufgaben aus. Weiterführende Rechnungen und molekulare Vertiefungen werden nur bei geeigneten Voraussetzungen genutzt. Eine schriftliche Erklärung oder ein Modellvergleich sichert den Lernertrag der digitalen Arbeit.</w:t>
      </w:r>
    </w:p>
    <w:p>
      <w:bookmarkStart w:id="22" w:name="bewertung"/>
      <w:pPr>
        <w:pStyle w:val="Heading1"/>
        <w:pageBreakBefore/>
      </w:pPr>
      <w:r>
        <w:t>9 Grundsätze der Leistungsbewertung</w:t>
      </w:r>
      <w:bookmarkEnd w:id="22"/>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3"/>
      </w:pPr>
      <w:r>
        <w:t>Schriftliche Arbeiten</w:t>
      </w:r>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3"/>
      </w:pPr>
      <w:r>
        <w:t>Sonstige Leistungen im Unterricht</w:t>
      </w:r>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3"/>
      </w:pPr>
      <w:r>
        <w:t>Rückmeldung und Transparenz</w:t>
      </w:r>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bookmarkStart w:id="23" w:name="raster"/>
      <w:pPr>
        <w:pStyle w:val="Heading2"/>
        <w:pageBreakBefore/>
      </w:pPr>
      <w:r>
        <w:t>Beispielraster für Untersuchungen und Bauprojekte</w:t>
      </w:r>
      <w:bookmarkEnd w:id="23"/>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0" w:before="0" w:line="240" w:lineRule="auto"/>
      </w:pPr>
      <w:r>
        <w:rPr>
          <w:sz w:val="6"/>
        </w:rPr>
      </w:r>
    </w:p>
    <w:p>
      <w:pPr>
        <w:pStyle w:val="Heading3"/>
      </w:pPr>
      <w:r>
        <w:t>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bookmarkStart w:id="24" w:name="qualitaet"/>
      <w:pPr>
        <w:pStyle w:val="Heading1"/>
        <w:pageBreakBefore/>
      </w:pPr>
      <w:r>
        <w:t>10 Dokumentation und Qualitätssicherung</w:t>
      </w:r>
      <w:bookmarkEnd w:id="24"/>
    </w:p>
    <w:p>
      <w:pPr>
        <w:pStyle w:val="Heading3"/>
      </w:pPr>
      <w:r>
        <w:t>Untersuchungsprotokoll und Portfolio</w:t>
      </w:r>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3"/>
      </w:pPr>
      <w:r>
        <w:t>Jährliche Auswertung des Curriculums</w:t>
      </w:r>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bookmarkStart w:id="25" w:name="quellen"/>
      <w:pPr>
        <w:pStyle w:val="Heading1"/>
        <w:pageBreakBefore/>
      </w:pPr>
      <w:r>
        <w:t>11 Grundlagen und Quellen</w:t>
      </w:r>
      <w:bookmarkEnd w:id="2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BF6BD8ED-FA06-484A-9B50-3DDFF6EF0553}" w:subsetted="0"/>
    <w:embedBold r:id="rIdEmbed1" w:fontKey="{BF6BD8ED-FA06-484A-9B50-3DDFF6EF0553}" w:subsetted="0"/>
    <w:embedItalic r:id="rIdEmbed2" w:fontKey="{BF14B21A-4614-449E-A55E-3540C324AB72}" w:subsetted="0"/>
    <w:embedBoldItalic r:id="rIdEmbed2" w:fontKey="{BF14B21A-4614-449E-A55E-3540C324AB72}" w:subsetted="0"/>
  </w:font>
  <w:font w:name="Poppins">
    <w:family w:val="swiss"/>
    <w:pitch w:val="variable"/>
    <w:embedRegular r:id="rIdEmbed3" w:fontKey="{0706D868-21FA-49DF-9D7C-CDEB6BD66AF8}" w:subsetted="0"/>
    <w:embedBold r:id="rIdEmbed4" w:fontKey="{65A6FDA7-1F22-489F-9595-5DF2B030AB7D}" w:subsetted="0"/>
    <w:embedItalic r:id="rIdEmbed5" w:fontKey="{DFB50C81-1E8A-46F5-8FD7-B9CAE8372AC8}" w:subsetted="0"/>
    <w:embedBoldItalic r:id="rIdEmbed6" w:fontKey="{55DBE283-2164-4188-B00B-C10FD94D23F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