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 2026</w:t>
      </w:r>
    </w:p>
    <w:p>
      <w:pPr>
        <w:pStyle w:val="Title"/>
        <w:spacing w:after="440"/>
        <w:suppressAutoHyphens w:val="1"/>
      </w:pPr>
      <w:r>
        <w:rPr>
          <w:b w:val="1"/>
          <w:sz w:val="96"/>
        </w:rPr>
        <w:t>Chemie</w:t>
      </w:r>
    </w:p>
    <w:p>
      <w:pPr>
        <w:pStyle w:val="Subtitle"/>
        <w:suppressAutoHyphens w:val="1"/>
      </w:pPr>
      <w:r>
        <w:t>Sekundarstufe I · Oberstufe nach Kernlehrplan 2026</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Entwurf · Stand 27.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47">
        <w:r>
          <w:rPr>
            <w:rFonts w:ascii="Inter" w:hAnsi="Inter" w:eastAsia="Inter" w:cs="Inter"/>
            <w:color w:val="174D72"/>
            <w:u w:val="single"/>
            <w:sz w:val="23"/>
          </w:rPr>
          <w:t>Notion · Chemie Sekundarstufe I  ↗</w:t>
        </w:r>
      </w:hyperlink>
    </w:p>
    <w:p>
      <w:pPr>
        <w:spacing w:before="0" w:after="180"/>
        <w:jc w:val="left"/>
        <w:keepLines/>
      </w:pPr>
      <w:hyperlink r:id="rId48">
        <w:r>
          <w:rPr>
            <w:rFonts w:ascii="Inter" w:hAnsi="Inter" w:eastAsia="Inter" w:cs="Inter"/>
            <w:color w:val="174D72"/>
            <w:u w:val="single"/>
            <w:sz w:val="23"/>
          </w:rPr>
          <w:t>Notion · Chemie Sekundarstufe II  ↗</w:t>
        </w:r>
      </w:hyperlink>
    </w:p>
    <w:p>
      <w:pPr>
        <w:spacing w:before="0" w:after="180"/>
        <w:jc w:val="left"/>
        <w:keepLines/>
      </w:pPr>
      <w:hyperlink r:id="rId49">
        <w:r>
          <w:rPr>
            <w:rFonts w:ascii="Inter" w:hAnsi="Inter" w:eastAsia="Inter" w:cs="Inter"/>
            <w:color w:val="174D72"/>
            <w:u w:val="single"/>
            <w:sz w:val="23"/>
          </w:rPr>
          <w:t>Onlinefassung des Curriculums  ↗</w:t>
        </w:r>
      </w:hyperlink>
    </w:p>
    <w:p>
      <w:pPr>
        <w:keepNext/>
        <w:jc w:val="left"/>
        <w:spacing w:before="300" w:after="180"/>
      </w:pPr>
      <w:r>
        <w:rPr>
          <w:b/>
          <w:rFonts w:ascii="Poppins" w:hAnsi="Poppins"/>
          <w:sz w:val="26"/>
        </w:rPr>
        <w:t>Externe Links · Offizielle NRW-Dokumente</w:t>
      </w:r>
    </w:p>
    <w:p>
      <w:pPr/>
      <w:hyperlink r:id="rId23">
        <w:r>
          <w:rPr>
            <w:color w:val="17594E"/>
          </w:rPr>
          <w:t>Kernlehrplan Chemie Sekundarstufe I · G9 2019 ↗</w:t>
        </w:r>
      </w:hyperlink>
    </w:p>
    <w:p>
      <w:pPr>
        <w:spacing w:before="0" w:after="180"/>
        <w:jc w:val="left"/>
        <w:keepLines/>
      </w:pPr>
      <w:hyperlink r:id="rIdOfficial50">
        <w:r>
          <w:rPr>
            <w:rFonts w:ascii="Inter" w:hAnsi="Inter" w:eastAsia="Inter" w:cs="Inter"/>
            <w:color w:val="174D72"/>
            <w:u w:val="single"/>
            <w:sz w:val="23"/>
          </w:rPr>
          <w:t>Kernlehrplan Chemie Sekundarstufe II · Fassung 2026  ↗</w:t>
        </w:r>
      </w:hyperlink>
    </w:p>
    <w:p>
      <w:pPr>
        <w:spacing w:before="0" w:after="180"/>
        <w:jc w:val="left"/>
        <w:keepLines/>
      </w:pPr>
      <w:hyperlink r:id="rIdOfficial51">
        <w:r>
          <w:rPr>
            <w:rFonts w:ascii="Inter" w:hAnsi="Inter" w:eastAsia="Inter" w:cs="Inter"/>
            <w:color w:val="174D72"/>
            <w:u w:val="single"/>
            <w:sz w:val="23"/>
          </w:rPr>
          <w:t>Operatorenliste Chemie · ab Abitur 2025  ↗</w:t>
        </w:r>
      </w:hyperlink>
    </w:p>
    <w:p>
      <w:pPr>
        <w:spacing w:before="0" w:after="180"/>
        <w:jc w:val="left"/>
        <w:keepLines/>
      </w:pPr>
      <w:hyperlink r:id="rIdOfficial52">
        <w:r>
          <w:rPr>
            <w:rFonts w:ascii="Inter" w:hAnsi="Inter" w:eastAsia="Inter" w:cs="Inter"/>
            <w:color w:val="174D72"/>
            <w:u w:val="single"/>
            <w:sz w:val="23"/>
          </w:rPr>
          <w:t>Ländergemeinsame mathematisch-naturwissenschaftliche Formelsammlung  ↗</w:t>
        </w:r>
      </w:hyperlink>
    </w:p>
    <w:p>
      <w:pPr>
        <w:spacing w:before="0" w:after="180"/>
        <w:jc w:val="left"/>
        <w:keepLines/>
      </w:pPr>
      <w:hyperlink r:id="rIdOfficial53">
        <w:r>
          <w:rPr>
            <w:rFonts w:ascii="Inter" w:hAnsi="Inter" w:eastAsia="Inter" w:cs="Inter"/>
            <w:color w:val="174D72"/>
            <w:u w:val="single"/>
            <w:sz w:val="23"/>
          </w:rPr>
          <w:t>Chemie · Formeln und relevante Werte (Fachauszug)  ↗</w:t>
        </w:r>
      </w:hyperlink>
    </w:p>
    <w:p>
      <w:pPr>
        <w:spacing w:before="0" w:after="180"/>
        <w:jc w:val="left"/>
        <w:keepLines/>
      </w:pPr>
      <w:hyperlink r:id="rIdOfficial55">
        <w:r>
          <w:rPr>
            <w:rFonts w:ascii="Inter" w:hAnsi="Inter" w:eastAsia="Inter" w:cs="Inter"/>
            <w:color w:val="174D72"/>
            <w:u w:val="single"/>
            <w:sz w:val="23"/>
          </w:rPr>
          <w:t>APO-GOSt · Bildungsgang ab EF 2027/28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klausurengestaltung">
        <w:r>
          <w:rPr>
            <w:color w:val="174D72"/>
          </w:rPr>
          <w:t>13 Klausuren gestalten und bewerten</w:t>
        </w:r>
      </w:hyperlink>
      <w:r>
        <w:tab/>
      </w:r>
      <w:fldSimple w:instr="PAGEREF klausurengestaltung \h"/>
    </w:p>
    <w:p>
      <w:pPr>
        <w:keepNext/>
        <w:tabs>
          <w:tab w:pos="9074" w:val="right" w:leader="dot"/>
        </w:tabs>
        <w:suppressAutoHyphens w:val="1"/>
      </w:pPr>
      <w:r/>
      <w:hyperlink w:anchor="gkl">
        <w:r>
          <w:rPr>
            <w:color w:val="174D72"/>
          </w:rPr>
          <w:t>14 Gleichwertige komplexe Leistungsnachweise: Aufgaben und Bewertungsraster</w:t>
        </w:r>
      </w:hyperlink>
      <w:r>
        <w:tab/>
      </w:r>
      <w:fldSimple w:instr="PAGEREF gkl \h"/>
    </w:p>
    <w:p>
      <w:pPr>
        <w:keepNext/>
        <w:tabs>
          <w:tab w:pos="9074" w:val="right" w:leader="dot"/>
        </w:tabs>
        <w:suppressAutoHyphens w:val="1"/>
      </w:pPr>
      <w:r/>
      <w:hyperlink w:anchor="abiturpruefung">
        <w:r>
          <w:rPr>
            <w:color w:val="174D72"/>
          </w:rPr>
          <w:t>15 Abiturprüfung</w:t>
        </w:r>
      </w:hyperlink>
      <w:r>
        <w:tab/>
      </w:r>
      <w:fldSimple w:instr="PAGEREF abiturpruefung \h"/>
    </w:p>
    <w:p>
      <w:pPr>
        <w:keepNext/>
        <w:tabs>
          <w:tab w:pos="9074" w:val="right" w:leader="dot"/>
        </w:tabs>
        <w:suppressAutoHyphens w:val="1"/>
      </w:pPr>
      <w:r/>
      <w:hyperlink w:anchor="fuenftes">
        <w:r>
          <w:rPr>
            <w:color w:val="174D72"/>
          </w:rPr>
          <w:t>16 Vorbereitung auf das fünfte Abiturfach</w:t>
        </w:r>
      </w:hyperlink>
      <w:r>
        <w:tab/>
      </w:r>
      <w:fldSimple w:instr="PAGEREF fuenftes \h"/>
    </w:p>
    <w:p>
      <w:pPr>
        <w:keepNext/>
        <w:tabs>
          <w:tab w:pos="9074" w:val="right" w:leader="dot"/>
        </w:tabs>
        <w:suppressAutoHyphens w:val="1"/>
      </w:pPr>
      <w:r/>
      <w:hyperlink w:anchor="ki">
        <w:r>
          <w:rPr>
            <w:color w:val="174D72"/>
          </w:rPr>
          <w:t>17 Mit KI lernen und Ergebnisse verantwortlich prüfen</w:t>
        </w:r>
      </w:hyperlink>
      <w:r>
        <w:tab/>
      </w:r>
      <w:fldSimple w:instr="PAGEREF ki \h"/>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Diese Fassung konkretisiert die fachlichen Anforderungen für die Oberstufe nach dem Kernlehrplan 2026; Geltungsbereich und Umsetzung sind in den Abschnitten 1.4 und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14.10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pPr>
      <w:r>
        <w:rPr>
          <w:b/>
        </w:rPr>
        <w:t>1.4 Fachliche Grundlagen und Geltung</w:t>
      </w:r>
    </w:p>
    <w:p>
      <w:pPr/>
      <w:r>
        <w:rPr>
          <w:b w:val="0"/>
        </w:rPr>
        <w:t>Dieses Curriculum verbindet den Kernlehrplan Chemie für das Gymnasium G9 von 2019 in der Sekundarstufe I mit dem Kernlehrplan Chemie für die gymnasiale Oberstufe von 2026. Die Kompetenzerwartungen der Sekundarstufe I werden weiterhin für die erste und die zweite Stufe getrennt nachgewiesen. Für die Oberstufe sind die Erwartungen der Einführungsphase sowie des Grundkurses und des Leistungskurses vollständig auf die Fassung 2026 bezogen. Die höhere fachliche Tiefe des Leistungskurses zeigt sich insbesondere bei quantitativen Gleichgewichten, Thermodynamik, Analytik, Reaktionsmechanismen und Werkstoffen.</w:t>
      </w:r>
    </w:p>
    <w:p>
      <w:pPr/>
      <w:r>
        <w:rPr>
          <w:b w:val="0"/>
        </w:rPr>
        <w:t xml:space="preserve">Die Oberstufenfassung gilt für die Einführungsphase ab 2027/28, für die Q1 ab 2028/29 und für die Q2 ab 2029/30; sie führt regulär zum Abitur 2030. Grundlage sind der </w:t>
      </w:r>
      <w:hyperlink r:id="rId50">
        <w:r>
          <w:rPr>
            <w:color w:val="17594E"/>
          </w:rPr>
          <w:t>Einführungserlass im Kernlehrplan</w:t>
        </w:r>
      </w:hyperlink>
      <w:r>
        <w:rPr>
          <w:b w:val="0"/>
        </w:rPr>
        <w:t xml:space="preserve"> und die </w:t>
      </w:r>
      <w:hyperlink r:id="rId31">
        <w:r>
          <w:rPr>
            <w:color w:val="17594E"/>
          </w:rPr>
          <w:t>APO-GOSt vom 16. Juli 2026 einschließlich Verwaltungsvorschriften</w:t>
        </w:r>
      </w:hyperlink>
      <w:r>
        <w:rPr>
          <w:b w:val="0"/>
        </w:rPr>
        <w:t>. Die Fachkonferenz berät und beschließt diesen eigenständigen Entwurf. Für bereits vorher eingetretene Oberstufenjahrgänge bleibt die gesonderte bestehende Curriculumfassung maßgeblich. Die jahrgangsbezogenen Abiturvorgaben werden ergänzend berücksichtigt.</w:t>
      </w:r>
    </w:p>
    <w:p>
      <w:pPr>
        <w:pStyle w:val="Heading2"/>
      </w:pPr>
      <w:r>
        <w:rPr>
          <w:b/>
        </w:rPr>
        <w:t>1.5 Umsetzung des Kernlehrplans 2026</w:t>
      </w:r>
    </w:p>
    <w:p>
      <w:pPr/>
      <w:r>
        <w:rPr>
          <w:b w:val="0"/>
        </w:rPr>
        <w:t>Die vier K werden auf der Grundlage gesicherter fachlicher Bildung entwickelt (Abschnitt 1.1). Experimentelles Arbeiten, das Prüfen von Modellen und Hypothesen sowie die begründete Bewertung chemischer Anwendungen verbinden die fachlichen Inhalte mit selbstständigem und kooperativem Handeln. Bei der Estersynthese und bei Hypothesen zum Reaktionsverhalten werden Vorhersagen ausdrücklich überprüft und mit den Befunden verglichen.</w:t>
      </w:r>
    </w:p>
    <w:p>
      <w:pPr/>
      <w:r>
        <w:rPr>
          <w:b w:val="0"/>
        </w:rPr>
        <w:t>In jeder Jahrgangsstufe der Oberstufe werden generative KI-Systeme in angemessenem Umfang genutzt und kritisch reflektiert. Die übergeordneten Kompetenzen E6, K1 und B2 beziehen KI-gestützte Auswertung, Recherche und Inhaltsprüfung ausdrücklich ein. Die Unterrichtsvorhaben eröffnen dazu verbindliche Lerngelegenheiten; Kapitel 10 weist die vollständigen Formulierungen und ihre Unterrichtsanker aus. Kapitel 2.5 und 17 unterscheiden die Unterrichtsvorbereitung durch Lehrkräfte vom Lernen mit KI durch Schülerinnen und Schüler.</w:t>
      </w:r>
    </w:p>
    <w:p>
      <w:pPr/>
      <w:r>
        <w:rPr>
          <w:b w:val="0"/>
        </w:rPr>
        <w:t>Die Leistungsbewertung berücksichtigt jährlich alle im Kernlehrplan beschriebenen Dimensionen in beiden Ausprägungen: individuelle und kooperative, werkzeugfreie und unterstützte, spontane und längerfristig vorbereitete, monologische und dialogische sowie inhaltlich und präsentativ geprägte Leistungen. Kapitel 3.7 konkretisiert die Planung und Dokumentation. Fachlichkeit bleibt die Grundlage sämtlicher Leistungsformen.</w:t>
      </w:r>
    </w:p>
    <w:p>
      <w:pPr/>
      <w:r>
        <w:rPr>
          <w:b w:val="0"/>
        </w:rPr>
        <w:t>Kapitel 14 beschreibt gleichwertige komplexe Leistungsnachweise als fachlichen Vortrag mit vertiefendem Fachgespräch oder als fachpraktische Aufgabe. Kapitel 16 bereitet die Präsentationsprüfung im fünften Abiturfach vor. Die Durchführung richtet sich nach der APO-GOSt, den schulischen Organisationsentscheidungen und den Wahlentscheidungen der Lernenden. Die Produkt- und Rollenraster unterstützen eine nachvollziehbare Bewertung individueller Leistungen.</w:t>
      </w:r>
    </w:p>
    <w:p>
      <w:pPr/>
      <w:r>
        <w:rPr>
          <w:b w:val="0"/>
        </w:rPr>
        <w:t xml:space="preserve">Die Kapitel 4 bis 11 sichern alle Kompetenzerwartungen der jeweiligen Stufe beziehungsweise Kursart. Die Angaben zur Sekundarstufe I beruhen auf dem </w:t>
      </w:r>
      <w:hyperlink r:id="rId23">
        <w:r>
          <w:rPr>
            <w:color w:val="17594E"/>
          </w:rPr>
          <w:t>Kernlehrplan 2019</w:t>
        </w:r>
      </w:hyperlink>
      <w:r>
        <w:rPr>
          <w:b w:val="0"/>
        </w:rPr>
        <w:t xml:space="preserve">, die Oberstufenangaben auf dem </w:t>
      </w:r>
      <w:hyperlink r:id="rId25">
        <w:r>
          <w:rPr>
            <w:color w:val="17594E"/>
          </w:rPr>
          <w:t>Kernlehrplan 2026</w:t>
        </w:r>
      </w:hyperlink>
      <w:r>
        <w:rPr>
          <w:b w:val="0"/>
        </w:rPr>
        <w:t>. Verbindliche Hinweise zur Leistungsbewertung und zu den Abiturformaten stehen dort in Kapitel 3 und 4, S. 53–62.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Die Nutzung generativer KI und die kritische Reflexion ihrer Ergebnisse sind in allen Jahrgangsstufen der Oberstufe in angemessenem Umfang verbindlich und werden in der Leistungsbewertung berücksichtigt (Kernlehrplan 2026, S. 54).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17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pPr>
      <w:r>
        <w:rPr>
          <w:b/>
        </w:rPr>
        <w:t>3.3 Klausurdauern und Leistungsnachweise</w:t>
      </w:r>
    </w:p>
    <w:p>
      <w:pPr/>
      <w:r>
        <w:rPr>
          <w:b w:val="0"/>
        </w:rPr>
        <w:t>Alle Zeitangaben sind Minuten und beziehen sich auf den Bildungsgang nach der APO-GOSt ab EF 2027/28. In der EF ist bei schriftlicher Belegung in Chemie je Halbjahr eine Klausur vorgesehen. In Q1.1, Q1.2 und Q2.1 werden je schriftlich belegtem Kurs zwei Leistungsnachweise im Halbjahr erbracht. Die Klausur in Q2.2 wird nur im ersten bis dritten Abiturfach geschrieben.</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Kursabschnitt</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Reguläre Dauer</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Erstmals für diese Fassung</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EF 1. und 2. Halbjahr</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2027/28</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Q1.1 und Q1.2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90</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Q1.1 und Q1.2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2028/29</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Q2.1 Grundkurs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je 135</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Q2.1 Leistungskurs</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je 180</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2029/30</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Q2.2 Vorabitur Grundkurs und Leistungskurs</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Voraussichtlich Grundkurs 255 Minuten, Leistungskurs 300 Minuten, jeweils einschließlich Auswahlzeit; endgültige Jahrgangsvorgaben maßgeblich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2030</w:t>
            </w:r>
          </w:p>
        </w:tc>
      </w:tr>
    </w:tbl>
    <w:p/>
    <w:p>
      <w:pPr/>
      <w:r>
        <w:rPr>
          <w:b w:val="0"/>
        </w:rPr>
        <w:t>Nach VV 14.3.2 kann die Fachkonferenz in der Qualifikationsphase für Schülerexperimente und praktische Arbeiten die Arbeitszeit um höchstens 45 Minuten verlängern. Diese Möglichkeit begründet keine pauschale Verlängerung sämtlicher Chemieklausuren. Für die Klausuren unter Abiturbedingungen in Q2.2 gelten die Aufgabenformate, das kriteriengeleitete Bewertungssystem, die Aufgabenauswahl und die zeitlichen Vorgaben des jeweiligen Abiturjahrgangs (VV 14.3.1). Die reguläre Dauer von 180 Minuten im Leistungskurs Q2.1 ist deshalb keine Zeitvorgabe für das Vorabitur.</w:t>
      </w:r>
    </w:p>
    <w:p>
      <w:pPr>
        <w:pStyle w:val="Heading3"/>
      </w:pPr>
      <w:r>
        <w:rPr>
          <w:b/>
        </w:rPr>
        <w:t>Schriftliche Arbeiten und gleichwertige komplexe Leistungsnachweise</w:t>
      </w:r>
    </w:p>
    <w:p>
      <w:pPr/>
      <w:r>
        <w:rPr>
          <w:b w:val="0"/>
        </w:rPr>
        <w:t>Der Beurteilungsbereich „Schriftliche Arbeiten“ umfasst Klausuren und gleichwertige komplexe Leistungsnachweise. In der EF ist in jedem Aufgabenfeld in einem schriftlich belegten Grundkursfach ein GKL zu erbringen. Wird hierfür Chemie gewählt, bleibt die in diesem Halbjahr vorgesehene Klausur bestehen; der GKL tritt als zweiter Leistungsnachweis hinzu. Er ersetzt nicht die einzige Klausur.</w:t>
      </w:r>
    </w:p>
    <w:p>
      <w:pPr/>
      <w:r>
        <w:rPr>
          <w:b w:val="0"/>
        </w:rPr>
        <w:t>In den ersten drei Halbjahren der Qualifikationsphase wird in jedem Aufgabenfeld in einem entsprechend belegten Grundkursfach insgesamt ein GKL erbracht; die besonderen Belegkonstellationen nach VV 14.3.3 bleiben berücksichtigt. Chemie kann hierfür im Grundkurs gewählt werden. Im Leistungskurs sind GKL nicht vorgesehen. Die Schulleitung legt nach Beratung in den Fachkonferenzen und der Lehrerkonferenz Grundsätze der zeitlichen Verortung fest; innerhalb dieses Rahmens wählen die Lernenden das Grundkursfach.</w:t>
      </w:r>
    </w:p>
    <w:p>
      <w:pPr/>
      <w:r>
        <w:rPr>
          <w:b w:val="0"/>
        </w:rPr>
        <w:t xml:space="preserve">Rechtsgrundlagen: </w:t>
      </w:r>
      <w:hyperlink r:id="rId31">
        <w:r>
          <w:rPr>
            <w:color w:val="17594E"/>
          </w:rPr>
          <w:t>APO-GOSt §§ 13–15, 45 und 46 sowie VV 14.2.1 bis 14.3.3</w:t>
        </w:r>
      </w:hyperlink>
      <w:r>
        <w:rPr>
          <w:b w:val="0"/>
        </w:rPr>
        <w:t>. Ausgearbeitete GKL-Aufgaben und rollenbezogene Bewertungsraster enthält Kapitel 14. Die Präsentationsprüfung im fünften Abiturfach ist in Kapitel 16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14 und 15).</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pPr>
        <w:pStyle w:val="Heading2"/>
      </w:pPr>
      <w:r>
        <w:rPr>
          <w:b/>
        </w:rPr>
        <w:t>3.7 Verbindliche Vielfalt der Leistungsnachweise</w:t>
      </w:r>
    </w:p>
    <w:p>
      <w:pPr/>
      <w:r>
        <w:rPr>
          <w:b w:val="0"/>
        </w:rPr>
        <w:t>In jedem Schuljahr der Oberstufe werden alle fünf Dimensionen der Leistungserbringung in beiden Ausprägungen berücksichtigt (Kernlehrplan 2026, S. 53). Die Lehrkraft plant sie über beide Beurteilungsbereiche hinweg und dokumentiert passende Lern- und Überprüfungssituationen. Mehrere Dimensionen können in einer Aufgabe verbunden werden; für jede Leistung gelten transparente fachliche Kriterien und ein erkennbarer individueller Anteil.</w:t>
      </w:r>
    </w:p>
    <w:tbl>
      <w:tblPr>
        <w:tblW w:type="dxa" w:w="9074"/>
        <w:tblLayout w:type="fixed"/>
        <w:tblLook w:firstColumn="1" w:firstRow="1" w:lastColumn="0" w:lastRow="0" w:noHBand="0" w:noVBand="1" w:val="04A0"/>
      </w:tblPr>
      <w:tblGrid>
        <w:gridCol w:w="2324"/>
        <w:gridCol w:w="2665"/>
        <w:gridCol w:w="4082"/>
      </w:tblGrid>
      <w:tr>
        <w:trPr>
          <w:cantSplit/>
          <w:tblHeader/>
        </w:trPr>
        <w:tc>
          <w:tcPr>
            <w:tcW w:type="dxa" w:w="2324"/>
            <w:shd w:fill="DDE9EC"/>
            <w:tcMar>
              <w:top w:w="85" w:type="dxa"/>
              <w:bottom w:w="85" w:type="dxa"/>
              <w:left w:w="90" w:type="dxa"/>
              <w:right w:w="90" w:type="dxa"/>
            </w:tcMar>
          </w:tcPr>
          <w:p>
            <w:pPr>
              <w:keepNext/>
              <w:spacing w:after="0" w:line="264" w:lineRule="auto"/>
              <w:jc w:val="left"/>
            </w:pPr>
            <w:r>
              <w:rPr>
                <w:rFonts w:ascii="Inter" w:hAnsi="Inter"/>
                <w:b/>
                <w:sz w:val="18"/>
              </w:rPr>
              <w:t>Dimension</w:t>
            </w:r>
          </w:p>
        </w:tc>
        <w:tc>
          <w:tcPr>
            <w:tcW w:type="dxa" w:w="2665"/>
            <w:shd w:fill="DDE9EC"/>
            <w:tcMar>
              <w:top w:w="85" w:type="dxa"/>
              <w:bottom w:w="85" w:type="dxa"/>
              <w:left w:w="90" w:type="dxa"/>
              <w:right w:w="90" w:type="dxa"/>
            </w:tcMar>
          </w:tcPr>
          <w:p>
            <w:pPr>
              <w:keepNext/>
              <w:spacing w:after="0" w:line="264" w:lineRule="auto"/>
              <w:jc w:val="left"/>
            </w:pPr>
            <w:r>
              <w:rPr>
                <w:rFonts w:ascii="Inter" w:hAnsi="Inter"/>
                <w:b/>
                <w:sz w:val="18"/>
              </w:rPr>
              <w:t>Ausprägungen</w:t>
            </w:r>
          </w:p>
        </w:tc>
        <w:tc>
          <w:tcPr>
            <w:tcW w:type="dxa" w:w="4082"/>
            <w:shd w:fill="DDE9EC"/>
            <w:tcMar>
              <w:top w:w="85" w:type="dxa"/>
              <w:bottom w:w="85" w:type="dxa"/>
              <w:left w:w="90" w:type="dxa"/>
              <w:right w:w="90" w:type="dxa"/>
            </w:tcMar>
          </w:tcPr>
          <w:p>
            <w:pPr>
              <w:keepNext/>
              <w:spacing w:after="0" w:line="264" w:lineRule="auto"/>
              <w:jc w:val="left"/>
            </w:pPr>
            <w:r>
              <w:rPr>
                <w:rFonts w:ascii="Inter" w:hAnsi="Inter"/>
                <w:b/>
                <w:sz w:val="18"/>
              </w:rPr>
              <w:t>Umsetzung im Chemieunterricht</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Zusammenarbeit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Individuell und kooperativ beziehungsweise kollaborativ</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Eigenständige Erklärung sowie arbeitsteilige Untersuchung mit dokumentierten Einzelbeiträgen.</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Werkzeuge</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Ohne und mit Hilfsmitteln beziehungsweise Werkzeugen</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Eigenständige Reaktionsdeutung sowie fachlich geprüfte Modellierung mit digitalen und KI-gestützten Werkzeugen.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Vorbereitung</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Spontan und auf Grundlage längerfristig vorbereiteter Produkte</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Unvorbereiteter Transferimpuls sowie reflektierte Präsentation eines Versuchs- oder Modelldossiers.</w:t>
            </w:r>
          </w:p>
        </w:tc>
      </w:tr>
      <w:tr>
        <w:trPr>
          <w:cantSplit/>
        </w:trPr>
        <w:tc>
          <w:tcPr>
            <w:tcW w:type="dxa" w:w="2324"/>
            <w:shd w:fill="F5F8F9"/>
            <w:tcMar>
              <w:top w:w="85" w:type="dxa"/>
              <w:bottom w:w="85" w:type="dxa"/>
              <w:left w:w="90" w:type="dxa"/>
              <w:right w:w="90" w:type="dxa"/>
            </w:tcMar>
          </w:tcPr>
          <w:p>
            <w:pPr>
              <w:keepNext w:val="0"/>
              <w:spacing w:after="0" w:line="264" w:lineRule="auto"/>
              <w:jc w:val="left"/>
            </w:pPr>
            <w:r>
              <w:rPr>
                <w:rFonts w:ascii="Inter" w:hAnsi="Inter"/>
                <w:b w:val="0"/>
                <w:sz w:val="18"/>
              </w:rPr>
              <w:t>Kommunikation</w:t>
            </w:r>
          </w:p>
        </w:tc>
        <w:tc>
          <w:tcPr>
            <w:tcW w:type="dxa" w:w="2665"/>
            <w:shd w:fill="F5F8F9"/>
            <w:tcMar>
              <w:top w:w="85" w:type="dxa"/>
              <w:bottom w:w="85" w:type="dxa"/>
              <w:left w:w="90" w:type="dxa"/>
              <w:right w:w="90" w:type="dxa"/>
            </w:tcMar>
          </w:tcPr>
          <w:p>
            <w:pPr>
              <w:keepNext w:val="0"/>
              <w:spacing w:after="0" w:line="264" w:lineRule="auto"/>
              <w:jc w:val="left"/>
            </w:pPr>
            <w:r>
              <w:rPr>
                <w:rFonts w:ascii="Inter" w:hAnsi="Inter"/>
                <w:b w:val="0"/>
                <w:sz w:val="18"/>
              </w:rPr>
              <w:t>Monologisch und dialogisch</w:t>
            </w:r>
          </w:p>
        </w:tc>
        <w:tc>
          <w:tcPr>
            <w:tcW w:type="dxa" w:w="4082"/>
            <w:shd w:fill="F5F8F9"/>
            <w:tcMar>
              <w:top w:w="85" w:type="dxa"/>
              <w:bottom w:w="85" w:type="dxa"/>
              <w:left w:w="90" w:type="dxa"/>
              <w:right w:w="90" w:type="dxa"/>
            </w:tcMar>
          </w:tcPr>
          <w:p>
            <w:pPr>
              <w:keepNext w:val="0"/>
              <w:spacing w:after="0" w:line="264" w:lineRule="auto"/>
              <w:jc w:val="left"/>
            </w:pPr>
            <w:r>
              <w:rPr>
                <w:rFonts w:ascii="Inter" w:hAnsi="Inter"/>
                <w:b w:val="0"/>
                <w:sz w:val="18"/>
              </w:rPr>
              <w:t>Zusammenhängender Vortrag sowie vertiefendes Fachgespräch mit begründeten Reaktionen auf Rückfragen.</w:t>
            </w:r>
          </w:p>
        </w:tc>
      </w:tr>
      <w:tr>
        <w:trPr>
          <w:cantSplit/>
        </w:trPr>
        <w:tc>
          <w:tcPr>
            <w:tcW w:type="dxa" w:w="2324"/>
            <w:shd w:fill="FFFFFF"/>
            <w:tcMar>
              <w:top w:w="85" w:type="dxa"/>
              <w:bottom w:w="85" w:type="dxa"/>
              <w:left w:w="90" w:type="dxa"/>
              <w:right w:w="90" w:type="dxa"/>
            </w:tcMar>
          </w:tcPr>
          <w:p>
            <w:pPr>
              <w:keepNext w:val="0"/>
              <w:spacing w:after="0" w:line="264" w:lineRule="auto"/>
              <w:jc w:val="left"/>
            </w:pPr>
            <w:r>
              <w:rPr>
                <w:rFonts w:ascii="Inter" w:hAnsi="Inter"/>
                <w:b w:val="0"/>
                <w:sz w:val="18"/>
              </w:rPr>
              <w:t>Schwerpunkt</w:t>
            </w:r>
          </w:p>
        </w:tc>
        <w:tc>
          <w:tcPr>
            <w:tcW w:type="dxa" w:w="2665"/>
            <w:shd w:fill="FFFFFF"/>
            <w:tcMar>
              <w:top w:w="85" w:type="dxa"/>
              <w:bottom w:w="85" w:type="dxa"/>
              <w:left w:w="90" w:type="dxa"/>
              <w:right w:w="90" w:type="dxa"/>
            </w:tcMar>
          </w:tcPr>
          <w:p>
            <w:pPr>
              <w:keepNext w:val="0"/>
              <w:spacing w:after="0" w:line="264" w:lineRule="auto"/>
              <w:jc w:val="left"/>
            </w:pPr>
            <w:r>
              <w:rPr>
                <w:rFonts w:ascii="Inter" w:hAnsi="Inter"/>
                <w:b w:val="0"/>
                <w:sz w:val="18"/>
              </w:rPr>
              <w:t>Inhaltlich und präsentativ geprägt</w:t>
            </w:r>
          </w:p>
        </w:tc>
        <w:tc>
          <w:tcPr>
            <w:tcW w:type="dxa" w:w="4082"/>
            <w:shd w:fill="FFFFFF"/>
            <w:tcMar>
              <w:top w:w="85" w:type="dxa"/>
              <w:bottom w:w="85" w:type="dxa"/>
              <w:left w:w="90" w:type="dxa"/>
              <w:right w:w="90" w:type="dxa"/>
            </w:tcMar>
          </w:tcPr>
          <w:p>
            <w:pPr>
              <w:keepNext w:val="0"/>
              <w:spacing w:after="0" w:line="264" w:lineRule="auto"/>
              <w:jc w:val="left"/>
            </w:pPr>
            <w:r>
              <w:rPr>
                <w:rFonts w:ascii="Inter" w:hAnsi="Inter"/>
                <w:b w:val="0"/>
                <w:sz w:val="18"/>
              </w:rPr>
              <w:t>Chemische Analyse sowie adressatengerechte Vermittlung fachlicher Ergebnisse.</w:t>
            </w:r>
          </w:p>
        </w:tc>
      </w:tr>
    </w:tbl>
    <w:p/>
    <w:p>
      <w:pPr/>
      <w:r>
        <w:rPr>
          <w:b w:val="0"/>
        </w:rPr>
        <w:t>Experimentelle und fachpraktische Aufgaben, Präsentationsaufgaben, Darstellungsaufgaben sowie Bewertungs- und Beurteilungsaufgaben werden verbindlich eingesetzt (Kernlehrplan 2026, S. 56–57). Die Schülerinnen und Schüler üben die jeweilige Form vor einer Bewertung. Beispiele sind eine quantitative Untersuchung, ein Vortrag mit Fachgespräch, die Überführung von Messwerten in ein erläutertes Diagramm und eine kriteriengeleitete Entscheidung über ein Produkt.</w:t>
      </w:r>
    </w:p>
    <w:p>
      <w:pPr/>
      <w:r>
        <w:rPr>
          <w:b w:val="0"/>
        </w:rPr>
        <w:t>Die Nutzung generativer KI und die kritisch-reflektierte Prüfung ihrer Ergebnisse werden in EF, Q1 und Q2 in angemessenem Umfang berücksichtigt (S. 54). Bewertet werden sowohl die fachlich zielgerichtete Bedienung als auch die Kontrolle und begründete Verwendung der Ergebnisse. Verbindliche Unterrichtsanker für E6, K1 und B2 stehen in Kapitel 10; die Vereinbarungen aus Abschnitt 3.6 sichern Transparenz, Eigenleistung und zulässige Hilfsmittel.</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erläutern das Donator-Akzeptor-Prinzip unter Verwendung der Oxidationszahlen am Beispiel der Oxidationsreihe der Alkanole (S4, S12, S14, S16).</w:t>
      </w:r>
      <w:r>
        <w:rPr>
          <w:sz w:val="16"/>
        </w:rPr>
        <w:t xml:space="preserve"> [EF-OS-03; KLP S. 25]</w:t>
      </w:r>
    </w:p>
    <w:p>
      <w:pPr>
        <w:pStyle w:val="ListBullet"/>
        <w:suppressAutoHyphens w:val="1"/>
      </w:pPr>
      <w:r/>
      <w:r>
        <w:t>stellen Isomere von Alkanolen dar und erklären die Konstitutionsisomerie (S11, E7).</w:t>
      </w:r>
      <w:r>
        <w:rPr>
          <w:sz w:val="16"/>
        </w:rPr>
        <w:t xml:space="preserve"> [EF-OS-04; KLP S. 25]</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25]</w:t>
      </w:r>
    </w:p>
    <w:p>
      <w:pPr>
        <w:pStyle w:val="ListBullet"/>
        <w:suppressAutoHyphens w:val="1"/>
      </w:pPr>
      <w:r/>
      <w:r>
        <w:t>deuten die Beobachtungen von Experimenten zur Oxidationsreihe der Alkanole und weisen die jeweiligen Produkte nach (E2, E5, S14).</w:t>
      </w:r>
      <w:r>
        <w:rPr>
          <w:sz w:val="16"/>
        </w:rPr>
        <w:t xml:space="preserve"> [EF-OS-06; KLP S. 25]</w:t>
      </w:r>
    </w:p>
    <w:p>
      <w:pPr>
        <w:pStyle w:val="ListBullet"/>
        <w:suppressAutoHyphens w:val="1"/>
      </w:pPr>
      <w:r/>
      <w:r>
        <w:t>stellen Hypothesen zu Struktureigenschaftsbeziehungen einer ausgewählten Stoffklasse auf und untersuchen diese experimentell (E3, E4).</w:t>
      </w:r>
      <w:r>
        <w:rPr>
          <w:sz w:val="16"/>
        </w:rPr>
        <w:t xml:space="preserve"> [EF-OS-08; KLP S. 25]</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26]</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26]</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formulieren eigene Vorhersagen zum Einfluss von Konzentration und Temperatur auf die Reaktionsgeschwindigkeit und werten ihre Versuchsdaten eigenständig aus. Anschließend nutzen sie ein von der Lehrkraft ausgewähltes, KI-gestützt entwickeltes Teilchenmodell, um unterschiedliche Modellannahmen zu untersuchen. Sie vergleichen dessen Vorhersagen mit ihren Befunden und erklären Grenzen, etwa die Unterscheidung zwischen Teilchenzusammenstößen und wirksamen Zusammenstößen. Ein kommentierter Modellvergleich macht ihre chemische Begründung und die notwendigen Korrekturen sichtbar.</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definieren die Durchschnittsgeschwindigkeit chemischer Reaktionen und ermitteln diese grafisch aus experimentellen Daten (E5, K7, K9).</w:t>
      </w:r>
      <w:r>
        <w:rPr>
          <w:sz w:val="16"/>
        </w:rPr>
        <w:t xml:space="preserve"> [EF-RG-05; KLP S. 27]</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27]</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r>
        <w:rPr>
          <w:b w:val="0"/>
        </w:rPr>
        <w:t>Die Lernenden formulieren aus den beobachteten Stoffeigenschaften begründete Hypothesen zur Estergruppe und überprüfen diese durch den Vergleich geeigneter Strukturmodelle sowie unabhängiger Stoffdaten. Ein bloßer Geruchseindruck gilt nicht als Strukturbeweis; Vorhersage, Prüfmethode, Befund und Schlussfolgerung werden getrennt dokumentiert.</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25]</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25]</w:t>
      </w:r>
    </w:p>
    <w:p>
      <w:pPr>
        <w:pStyle w:val="ListBullet"/>
        <w:suppressAutoHyphens w:val="1"/>
      </w:pPr>
      <w:r/>
      <w:r>
        <w:t>führen Estersynthesen durch, leiten aus Stoffeigenschaften der erhaltenen Produkte Hypothesen zum strukturellen Aufbau der Estergruppe ab und überprüfen diese (E3, E5).</w:t>
      </w:r>
      <w:r>
        <w:rPr>
          <w:sz w:val="16"/>
        </w:rPr>
        <w:t xml:space="preserve"> [EF-OS-07; KLP S. 25]</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26]</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27]</w:t>
      </w:r>
    </w:p>
    <w:p>
      <w:pPr>
        <w:pStyle w:val="ListBullet"/>
        <w:suppressAutoHyphens w:val="1"/>
      </w:pPr>
      <w:r/>
      <w:r>
        <w:t>simulieren den chemischen Gleichgewichtszustand als dynamisches Gleichgewicht auch unter Nutzung digitaler Werkzeuge (E6, E9, S15, K10).</w:t>
      </w:r>
      <w:r>
        <w:rPr>
          <w:sz w:val="16"/>
        </w:rPr>
        <w:t xml:space="preserve"> [EF-RG-08; KLP S. 27]</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r>
        <w:rPr>
          <w:b w:val="0"/>
        </w:rPr>
        <w:t>Die Lernenden nutzen generative KI angeleitet zur Recherche über den Kohlenstoffkreislauf. Sie prüfen die Existenz und Aussagekraft der genannten Originalquellen, vergleichen die Erklärung mit dem Gleichgewichtsmodell und bewerten strittige Aussagen anhand belegter Daten. Ein kommentiertes Rechercheprotokoll und eine eigenständige Erklärung sichern die individuelle Leistung.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27]</w:t>
      </w:r>
    </w:p>
    <w:p>
      <w:pPr>
        <w:pStyle w:val="ListBullet"/>
        <w:suppressAutoHyphens w:val="1"/>
      </w:pPr>
      <w:r/>
      <w:r>
        <w:t>beschreiben die Merkmale eines chemischen Gleichgewichtes anhand ausgewählter Reaktionen (S7, S15, K10).</w:t>
      </w:r>
      <w:r>
        <w:rPr>
          <w:sz w:val="16"/>
        </w:rPr>
        <w:t xml:space="preserve"> [EF-RG-02; KLP S. 27]</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27]</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28]</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28]</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28]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34]</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34]</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34]</w:t>
      </w:r>
    </w:p>
    <w:p>
      <w:pPr>
        <w:pStyle w:val="ListBullet"/>
        <w:suppressAutoHyphens w:val="1"/>
      </w:pPr>
      <w:r/>
      <w:r>
        <w:t>berechnen pH-Werte wässriger Lösungen von Säuren und Basen bei vollständiger Protolyse (S17).</w:t>
      </w:r>
      <w:r>
        <w:rPr>
          <w:sz w:val="16"/>
        </w:rPr>
        <w:t xml:space="preserve"> [GK-SB-04; KLP S. 34]</w:t>
      </w:r>
    </w:p>
    <w:p>
      <w:pPr>
        <w:pStyle w:val="ListBullet"/>
        <w:suppressAutoHyphens w:val="1"/>
      </w:pPr>
      <w:r/>
      <w:r>
        <w:t>definieren den Begriff der Reaktionsenthalpie und grenzen diesen von der inneren Energie ab (S3).</w:t>
      </w:r>
      <w:r>
        <w:rPr>
          <w:sz w:val="16"/>
        </w:rPr>
        <w:t xml:space="preserve"> [GK-SB-05; KLP S. 35]</w:t>
      </w:r>
    </w:p>
    <w:p>
      <w:pPr>
        <w:pStyle w:val="ListBullet"/>
        <w:suppressAutoHyphens w:val="1"/>
      </w:pPr>
      <w:r/>
      <w:r>
        <w:t>erklären im Zusammenhang mit der Neutralisationsreaktion den ersten Hauptsatz der Thermodynamik (Prinzip der Energieerhaltung) (S3, S10).</w:t>
      </w:r>
      <w:r>
        <w:rPr>
          <w:sz w:val="16"/>
        </w:rPr>
        <w:t xml:space="preserve"> [GK-SB-06; KLP S. 35]</w:t>
      </w:r>
    </w:p>
    <w:p>
      <w:pPr>
        <w:pStyle w:val="ListBullet"/>
        <w:suppressAutoHyphens w:val="1"/>
      </w:pPr>
      <w:r/>
      <w:r>
        <w:t>erläutern die Neutralisationsreaktion unter Berücksichtigung der Neutralisationsenthalpie (S3, S12).</w:t>
      </w:r>
      <w:r>
        <w:rPr>
          <w:sz w:val="16"/>
        </w:rPr>
        <w:t xml:space="preserve"> [GK-SB-07; KLP S. 35]</w:t>
      </w:r>
    </w:p>
    <w:p>
      <w:pPr>
        <w:pStyle w:val="ListBullet"/>
        <w:suppressAutoHyphens w:val="1"/>
      </w:pPr>
      <w:r/>
      <w:r>
        <w:t>planen hypothesengeleitet Experimente zur Konzentrationsbestimmung von Säuren und Basen auch in Alltagsprodukten (E1, E2, E3, E4).</w:t>
      </w:r>
      <w:r>
        <w:rPr>
          <w:sz w:val="16"/>
        </w:rPr>
        <w:t xml:space="preserve"> [GK-SB-10; KLP S. 35]</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35]</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35]</w:t>
      </w:r>
    </w:p>
    <w:p>
      <w:pPr>
        <w:pStyle w:val="ListBullet"/>
        <w:suppressAutoHyphens w:val="1"/>
      </w:pPr>
      <w:r/>
      <w:r>
        <w:t>weisen ausgewählte Ionensorten (Halogenid-Ionen, Ammonium-Ionen, Carbonat-Ionen) salzartiger Verbindungen qualitativ nach (E5).</w:t>
      </w:r>
      <w:r>
        <w:rPr>
          <w:sz w:val="16"/>
        </w:rPr>
        <w:t xml:space="preserve"> [GK-SB-09; KLP S. 35]</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35]</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35]</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entwickeln zunächst eine eigene Erklärung für die Funktion einer galvanischen Zelle und sagen die Wirkung einer Unterbrechung der leitenden Verbindungen voraus. Anschließend verwenden und prüfen sie ein KI-gestützt entwickeltes Modell: Unterscheidet es Elektronenfluss im äußeren Leiter und Ionenbewegung im Elektrolyten? Erklärt es die Funktion der Salzbrücke und die Ladungsbilanz? Eigene Versuchsbeobachtungen dienen als Prüfkriterium. Die Lernenden überarbeiten die Darstellung fachlich begründet und erläutern, welche Modellannahmen den Befund erklären. Messwerte und Berechnungen werten sie eigenständig aus.</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37]</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37]</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37]</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37]</w:t>
      </w:r>
    </w:p>
    <w:p>
      <w:pPr>
        <w:pStyle w:val="ListBullet"/>
        <w:suppressAutoHyphens w:val="1"/>
      </w:pPr>
      <w:r/>
      <w:r>
        <w:t>ermitteln Messdaten ausgewählter galvanischer Zellen zur Einordnung in die elektrochemische Spannungsreihe (E6, E8).</w:t>
      </w:r>
      <w:r>
        <w:rPr>
          <w:sz w:val="16"/>
        </w:rPr>
        <w:t xml:space="preserve"> [GK-EC-11; KLP S. 37]</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37]</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37]</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37]</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37]</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37]</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37]</w:t>
      </w:r>
    </w:p>
    <w:p>
      <w:pPr>
        <w:pStyle w:val="ListBullet"/>
        <w:suppressAutoHyphens w:val="1"/>
      </w:pPr>
      <w:r/>
      <w:r>
        <w:t>erläutern die Bildung eines Lokalelements bei Korrosionsvorgängen auch mithilfe von Reaktionsgleichungen (S3, S16, E1).</w:t>
      </w:r>
      <w:r>
        <w:rPr>
          <w:sz w:val="16"/>
        </w:rPr>
        <w:t xml:space="preserve"> [GK-EC-07; KLP S. 37]</w:t>
      </w:r>
    </w:p>
    <w:p>
      <w:pPr>
        <w:pStyle w:val="ListBullet"/>
        <w:suppressAutoHyphens w:val="1"/>
      </w:pPr>
      <w:r/>
      <w:r>
        <w:t>entwickeln eigenständig ausgewählte Experimente zum Korrosionsschutz (Galvanik, Opferanode) und führen sie durch (E1, E4, E5).</w:t>
      </w:r>
      <w:r>
        <w:rPr>
          <w:sz w:val="16"/>
        </w:rPr>
        <w:t xml:space="preserve"> [GK-EC-10; KLP S. 37]</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38]</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39]</w:t>
      </w:r>
    </w:p>
    <w:p>
      <w:pPr>
        <w:pStyle w:val="ListBullet"/>
        <w:suppressAutoHyphens w:val="1"/>
      </w:pPr>
      <w:r/>
      <w:r>
        <w:t>erläutern die Verknüpfung von Monomermolekülen zu Makromolekülen mithilfe von Reaktionsgleichungen an einem Beispiel (S4, S12, S16).</w:t>
      </w:r>
      <w:r>
        <w:rPr>
          <w:sz w:val="16"/>
        </w:rPr>
        <w:t xml:space="preserve"> [GK-MW-03; KLP S. 40]</w:t>
      </w:r>
    </w:p>
    <w:p>
      <w:pPr>
        <w:pStyle w:val="ListBullet"/>
        <w:suppressAutoHyphens w:val="1"/>
      </w:pPr>
      <w:r/>
      <w:r>
        <w:t>beschreiben den Weg eines Anwendungsproduktes von der Rohstoffgewinnung über die Produktion bis zur Verwertung (S5, S10, K1, K2).</w:t>
      </w:r>
      <w:r>
        <w:rPr>
          <w:sz w:val="16"/>
        </w:rPr>
        <w:t xml:space="preserve"> [GK-MW-04; KLP S. 40]</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41]</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38]</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39]</w:t>
      </w:r>
    </w:p>
    <w:p>
      <w:pPr>
        <w:pStyle w:val="ListBullet"/>
        <w:suppressAutoHyphens w:val="1"/>
      </w:pPr>
      <w:r/>
      <w:r>
        <w:t>erklären die Eigenschaften von Kunststoffen aufgrund ihrer molekularen Strukturen (Kettenlänge, Vernetzungsgrad) (S11, S13).</w:t>
      </w:r>
      <w:r>
        <w:rPr>
          <w:sz w:val="16"/>
        </w:rPr>
        <w:t xml:space="preserve"> [GK-MW-01; KLP S. 40]</w:t>
      </w:r>
    </w:p>
    <w:p>
      <w:pPr>
        <w:pStyle w:val="ListBullet"/>
        <w:suppressAutoHyphens w:val="1"/>
      </w:pPr>
      <w:r/>
      <w:r>
        <w:t>klassifizieren Kunststoffe anhand ihrer Eigenschaften begründet nach Thermoplasten, Duroplasten und Elastomeren (S1, S2).</w:t>
      </w:r>
      <w:r>
        <w:rPr>
          <w:sz w:val="16"/>
        </w:rPr>
        <w:t xml:space="preserve"> [GK-MW-02; KLP S. 40]</w:t>
      </w:r>
    </w:p>
    <w:p>
      <w:pPr>
        <w:pStyle w:val="ListBullet"/>
        <w:suppressAutoHyphens w:val="1"/>
      </w:pPr>
      <w:r/>
      <w:r>
        <w:t>führen eigenständig geplante Experimente zur Untersuchung von Eigenschaften organischer Werkstoffe durch und werten diese aus (E4, E5).</w:t>
      </w:r>
      <w:r>
        <w:rPr>
          <w:sz w:val="16"/>
        </w:rPr>
        <w:t xml:space="preserve"> [GK-MW-05; KLP S. 41]</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41]</w:t>
      </w:r>
    </w:p>
    <w:p>
      <w:pPr>
        <w:pStyle w:val="ListBullet"/>
        <w:suppressAutoHyphens w:val="1"/>
      </w:pPr>
      <w:r/>
      <w:r>
        <w:t>erklären ermittelte Stoffeigenschaften am Beispiel eines Funktionspolymers mit geeigneten Modellen (E1, E5, E7, S2).</w:t>
      </w:r>
      <w:r>
        <w:rPr>
          <w:sz w:val="16"/>
        </w:rPr>
        <w:t xml:space="preserve"> [GK-MW-07; KLP S. 41]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39]</w:t>
      </w:r>
    </w:p>
    <w:p>
      <w:pPr>
        <w:pStyle w:val="ListBullet"/>
        <w:suppressAutoHyphens w:val="1"/>
      </w:pPr>
      <w:r/>
      <w:r>
        <w:t>erklären Redoxreaktionen in organischen Synthesewegen unter Berücksichtigung der Oxidationszahlen (S3, S11, S16).</w:t>
      </w:r>
      <w:r>
        <w:rPr>
          <w:sz w:val="16"/>
        </w:rPr>
        <w:t xml:space="preserve"> [GK-OC-04; KLP S. 39]</w:t>
      </w:r>
    </w:p>
    <w:p>
      <w:pPr>
        <w:pStyle w:val="ListBullet"/>
        <w:suppressAutoHyphens w:val="1"/>
      </w:pPr>
      <w:r/>
      <w:r>
        <w:t>erklären die Estersynthese aus Alkanolen und Carbonsäuren unter Berücksichtigung der Katalyse (S4, S8, S9, K7).</w:t>
      </w:r>
      <w:r>
        <w:rPr>
          <w:sz w:val="16"/>
        </w:rPr>
        <w:t xml:space="preserve"> [GK-OC-05; KLP S. 39]</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39]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39]</w:t>
      </w:r>
    </w:p>
    <w:p>
      <w:pPr>
        <w:pStyle w:val="ListBullet"/>
        <w:suppressAutoHyphens w:val="1"/>
      </w:pPr>
      <w:r/>
      <w:r>
        <w:t>unterscheiden experimentell zwischen gesättigten und ungesättigten Fettsäuren (E5, E11).</w:t>
      </w:r>
      <w:r>
        <w:rPr>
          <w:sz w:val="16"/>
        </w:rPr>
        <w:t xml:space="preserve"> [GK-OC-09; KLP S. 39]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39]</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42]</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42]</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42]</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43]</w:t>
      </w:r>
    </w:p>
    <w:p>
      <w:pPr>
        <w:pStyle w:val="ListBullet"/>
        <w:suppressAutoHyphens w:val="1"/>
      </w:pPr>
      <w:r/>
      <w:r>
        <w:t>berechnen pH-Werte wässriger Lösungen von Säuren und Basen auch bei nicht vollständiger Protolyse (S17).</w:t>
      </w:r>
      <w:r>
        <w:rPr>
          <w:sz w:val="16"/>
        </w:rPr>
        <w:t xml:space="preserve"> [LK-SB-05; KLP S. 43]</w:t>
      </w:r>
    </w:p>
    <w:p>
      <w:pPr>
        <w:pStyle w:val="ListBullet"/>
        <w:suppressAutoHyphens w:val="1"/>
      </w:pPr>
      <w:r/>
      <w:r>
        <w:t>definieren den Begriff der Reaktionsenthalpie und grenzen diesen von der inneren Energie ab (S3).</w:t>
      </w:r>
      <w:r>
        <w:rPr>
          <w:sz w:val="16"/>
        </w:rPr>
        <w:t xml:space="preserve"> [LK-SB-09; KLP S. 43]</w:t>
      </w:r>
    </w:p>
    <w:p>
      <w:pPr>
        <w:pStyle w:val="ListBullet"/>
        <w:suppressAutoHyphens w:val="1"/>
      </w:pPr>
      <w:r/>
      <w:r>
        <w:t>erklären im Zusammenhang mit der Neutralisationsreaktion den ersten Hauptsatz der Thermodynamik (Prinzip der Energieerhaltung) (S3, S10).</w:t>
      </w:r>
      <w:r>
        <w:rPr>
          <w:sz w:val="16"/>
        </w:rPr>
        <w:t xml:space="preserve"> [LK-SB-10; KLP S. 43]</w:t>
      </w:r>
    </w:p>
    <w:p>
      <w:pPr>
        <w:pStyle w:val="ListBullet"/>
        <w:suppressAutoHyphens w:val="1"/>
      </w:pPr>
      <w:r/>
      <w:r>
        <w:t>erläutern die Neutralisationsreaktion unter Berücksichtigung der Neutralisationsenthalpie (S3, S12).</w:t>
      </w:r>
      <w:r>
        <w:rPr>
          <w:sz w:val="16"/>
        </w:rPr>
        <w:t xml:space="preserve"> [LK-SB-11;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43]</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43]</w:t>
      </w:r>
    </w:p>
    <w:p>
      <w:pPr>
        <w:pStyle w:val="ListBullet"/>
        <w:suppressAutoHyphens w:val="1"/>
      </w:pPr>
      <w:r/>
      <w:r>
        <w:t>berechnen den pH-Wert von Puffersystemen anhand der Henderson-Hasselbalch-Gleichung (S17).</w:t>
      </w:r>
      <w:r>
        <w:rPr>
          <w:sz w:val="16"/>
        </w:rPr>
        <w:t xml:space="preserve"> [LK-SB-08; KLP S. 43]</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43]</w:t>
      </w:r>
    </w:p>
    <w:p>
      <w:pPr>
        <w:pStyle w:val="ListBullet"/>
        <w:suppressAutoHyphens w:val="1"/>
      </w:pPr>
      <w:r/>
      <w:r>
        <w:t>erklären Fällungsreaktionen auf der Grundlage von Löslichkeitsgleichgewichten (S2, S7).</w:t>
      </w:r>
      <w:r>
        <w:rPr>
          <w:sz w:val="16"/>
        </w:rPr>
        <w:t xml:space="preserve"> [LK-SB-13; KLP S. 43]</w:t>
      </w:r>
    </w:p>
    <w:p>
      <w:pPr>
        <w:pStyle w:val="ListBullet"/>
        <w:suppressAutoHyphens w:val="1"/>
      </w:pPr>
      <w:r/>
      <w:r>
        <w:t>weisen ausgewählte Ionensorten (Halogenid-Ionen, Ammonium-Ionen, Carbonat-Ionen) salzartiger Verbindungen qualitativ nach (E5).</w:t>
      </w:r>
      <w:r>
        <w:rPr>
          <w:sz w:val="16"/>
        </w:rPr>
        <w:t xml:space="preserve"> [LK-SB-14; KLP S. 43]</w:t>
      </w:r>
    </w:p>
    <w:p>
      <w:pPr>
        <w:pStyle w:val="ListBullet"/>
        <w:suppressAutoHyphens w:val="1"/>
      </w:pPr>
      <w:r/>
      <w:r>
        <w:t>interpretieren die Messdaten von Lösungsenthalpien verschiedener Salze unter Berücksichtigung der Entropie (S12, E8).</w:t>
      </w:r>
      <w:r>
        <w:rPr>
          <w:sz w:val="16"/>
        </w:rPr>
        <w:t xml:space="preserve"> [LK-SB-19; KLP S. 43]</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44]</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formulieren eigene Modellvorstellungen zu Elektronenfluss, Ionenbewegung und Ladungsausgleich in einer galvanischen Zelle. Sie verwenden anschließend ein KI-gestützt entwickeltes Modell und prüfen dessen Vorhersagen für veränderte Versuchsbedingungen anhand eigener Beobachtungen. Sie unterscheiden Modellannahmen, experimentellen Befund und fachliche Erklärung; unzutreffende Darstellungen werden begründet korrigiert. Ein kommentiertes Modelldossier und ein Fachgespräch sichern die individuelle Leistung. Die Auswertung der Messwerte und die zugehörigen Rechnungen erfolgen eigenständig.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45]</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45]</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45]</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45]</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46]</w:t>
      </w:r>
    </w:p>
    <w:p>
      <w:pPr>
        <w:pStyle w:val="ListBullet"/>
        <w:suppressAutoHyphens w:val="1"/>
      </w:pPr>
      <w:r/>
      <w:r>
        <w:t>ermitteln Messdaten ausgewählter galvanischer Zellen zur Einordnung in die elektrochemische Spannungsreihe (E6, E8).</w:t>
      </w:r>
      <w:r>
        <w:rPr>
          <w:sz w:val="16"/>
        </w:rPr>
        <w:t xml:space="preserve"> [LK-EC-13; KLP S. 46]</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r>
        <w:rPr>
          <w:b w:val="0"/>
        </w:rPr>
        <w:t>Die Lernenden recherchieren zur Wasserstoffwirtschaft auch unter Einbezug generativer KI. Sie öffnen und bewerten Originalquellen und prüfen einen KI-generierten Vergleich von Energiespeichern anhand belegter thermodynamischer Daten, Wirkungsgrade und Systemgrenzen. Die fachlich begründete Überarbeitung und ein Nutzungsprotokoll machen Quellenprüfung und Eigenleistung sichtbar.</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45]</w:t>
      </w:r>
    </w:p>
    <w:p>
      <w:pPr>
        <w:pStyle w:val="ListBullet"/>
        <w:suppressAutoHyphens w:val="1"/>
      </w:pPr>
      <w:r/>
      <w:r>
        <w:t>erklären am Beispiel einer Brennstoffzelle die Funktion der heterogenen Katalyse unter Verwendung geeigneter Medien (S8, S12, K11).</w:t>
      </w:r>
      <w:r>
        <w:rPr>
          <w:sz w:val="16"/>
        </w:rPr>
        <w:t xml:space="preserve"> [LK-EC-05; KLP S. 45]</w:t>
      </w:r>
    </w:p>
    <w:p>
      <w:pPr>
        <w:pStyle w:val="ListBullet"/>
        <w:suppressAutoHyphens w:val="1"/>
      </w:pPr>
      <w:r/>
      <w:r>
        <w:t>erklären die für die Elektrolyse benötigte Zersetzungsspannung unter Berücksichtigung des Phänomens der Überspannung (S12, K8).</w:t>
      </w:r>
      <w:r>
        <w:rPr>
          <w:sz w:val="16"/>
        </w:rPr>
        <w:t xml:space="preserve"> [LK-EC-07; KLP S. 45]</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45]</w:t>
      </w:r>
    </w:p>
    <w:p>
      <w:pPr>
        <w:pStyle w:val="ListBullet"/>
        <w:suppressAutoHyphens w:val="1"/>
      </w:pPr>
      <w:r/>
      <w:r>
        <w:t>berechnen die freie Enthalpie bei Redoxreaktionen (S3, S17, K8).</w:t>
      </w:r>
      <w:r>
        <w:rPr>
          <w:sz w:val="16"/>
        </w:rPr>
        <w:t xml:space="preserve"> [LK-EC-10;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ermitteln die Leistung einer elektrochemischen Spannungsquelle an einem Beispiel (E5, E10, S17).</w:t>
      </w:r>
      <w:r>
        <w:rPr>
          <w:sz w:val="16"/>
        </w:rPr>
        <w:t xml:space="preserve"> [LK-EC-16; KLP S. 46]</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46]</w:t>
      </w:r>
    </w:p>
    <w:p>
      <w:pPr>
        <w:pStyle w:val="ListBullet"/>
        <w:suppressAutoHyphens w:val="1"/>
      </w:pPr>
      <w:r/>
      <w:r>
        <w:t>bewerten auch unter Berücksichtigung des energetischen Wirkungsgrads fossile und elektrochemische Energiequellen (B2, B4, K3, K12).</w:t>
      </w:r>
      <w:r>
        <w:rPr>
          <w:sz w:val="16"/>
        </w:rPr>
        <w:t xml:space="preserve"> [LK-EC-20;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45]</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46]</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46]</w:t>
      </w:r>
    </w:p>
    <w:p>
      <w:pPr>
        <w:pStyle w:val="ListBullet"/>
        <w:suppressAutoHyphens w:val="1"/>
      </w:pPr>
      <w:r/>
      <w:r>
        <w:t>entwickeln ausgewählte Verfahren zum Korrosionsschutz (Galvanik, Opferanode) und führen diese durch (E1, E4, E5, K13).</w:t>
      </w:r>
      <w:r>
        <w:rPr>
          <w:sz w:val="16"/>
        </w:rPr>
        <w:t xml:space="preserve"> [LK-EC-18; KLP S. 46]</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46]</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43]</w:t>
      </w:r>
    </w:p>
    <w:p>
      <w:pPr>
        <w:pStyle w:val="ListBullet"/>
        <w:suppressAutoHyphens w:val="1"/>
      </w:pPr>
      <w:r/>
      <w:r>
        <w:t>planen hypothesengeleitet Experimente zur Konzentrationsbestimmung von Säuren und Basen auch in Alltagsprodukten (E1, E2, E3, E4).</w:t>
      </w:r>
      <w:r>
        <w:rPr>
          <w:sz w:val="16"/>
        </w:rPr>
        <w:t xml:space="preserve"> [LK-SB-15; KLP S. 43]</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43]</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44]</w:t>
      </w:r>
    </w:p>
    <w:p>
      <w:pPr>
        <w:pStyle w:val="ListBullet"/>
        <w:suppressAutoHyphens w:val="1"/>
      </w:pPr>
      <w:r/>
      <w:r>
        <w:t>beurteilen verschiedene Säure-Base-Titrationsverfahren hinsichtlich ihrer Angemessenheit und Grenzen (B3, K8, K9).</w:t>
      </w:r>
      <w:r>
        <w:rPr>
          <w:sz w:val="16"/>
        </w:rPr>
        <w:t xml:space="preserve"> [LK-SB-22; KLP S. 44]</w:t>
      </w:r>
    </w:p>
    <w:p>
      <w:pPr>
        <w:pStyle w:val="ListBullet"/>
        <w:suppressAutoHyphens w:val="1"/>
      </w:pPr>
      <w:r/>
      <w:r>
        <w:t>wenden das Verfahren der Redoxtitration zur Ermittlung der Konzentration eines Stoffes begründet an (E5, S3, K10).</w:t>
      </w:r>
      <w:r>
        <w:rPr>
          <w:sz w:val="16"/>
        </w:rPr>
        <w:t xml:space="preserve"> [LK-EC-12; KLP S. 46]</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46]</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Aus Molekülstrukturen abgeleitete Hypothesen zum Reaktionsverhalten werden anhand freigegebener Experimente oder belastbarer experimenteller Daten überprüft. Vorhersage, beobachteter Befund und mechanistische Erklärung werden gegenübergestellt; widersprechende Befunde führen zur begründeten Revision der Hypothese.</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entwickeln Hypothesen zum Reaktionsverhalten aus der Molekülstruktur und überprüfen diese (E3, E12, K2).</w:t>
      </w:r>
      <w:r>
        <w:rPr>
          <w:sz w:val="16"/>
        </w:rPr>
        <w:t xml:space="preserve"> [LK-OC-12; KLP S. 49]</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49]</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klassifizieren Kunststoffe anhand ihrer Eigenschaften begründet nach Thermoplasten, Duroplasten und Elastomeren (S1, S2).</w:t>
      </w:r>
      <w:r>
        <w:rPr>
          <w:sz w:val="16"/>
        </w:rPr>
        <w:t xml:space="preserve"> [LK-MW-02; KLP S. 50]</w:t>
      </w:r>
    </w:p>
    <w:p>
      <w:pPr>
        <w:pStyle w:val="ListBullet"/>
        <w:suppressAutoHyphens w:val="1"/>
      </w:pPr>
      <w:r/>
      <w:r>
        <w:t>erläutern die Verknüpfung von Monomermolekülen zu Makromolekülen mithilfe von Reaktionsgleichungen an einem Beispiel (S4, S12, S16).</w:t>
      </w:r>
      <w:r>
        <w:rPr>
          <w:sz w:val="16"/>
        </w:rPr>
        <w:t xml:space="preserve"> [LK-MW-03; KLP S. 51]</w:t>
      </w:r>
    </w:p>
    <w:p>
      <w:pPr>
        <w:pStyle w:val="ListBullet"/>
        <w:suppressAutoHyphens w:val="1"/>
      </w:pPr>
      <w:r/>
      <w:r>
        <w:t>erläutern die Reaktionsschritte einer radikalischen Polymerisation (S4, S14, S16).</w:t>
      </w:r>
      <w:r>
        <w:rPr>
          <w:sz w:val="16"/>
        </w:rPr>
        <w:t xml:space="preserve"> [LK-MW-04; KLP S. 51]</w:t>
      </w:r>
    </w:p>
    <w:p>
      <w:pPr>
        <w:pStyle w:val="ListBullet"/>
        <w:suppressAutoHyphens w:val="1"/>
      </w:pPr>
      <w:r/>
      <w:r>
        <w:t>beschreiben den Weg eines Anwendungsproduktes von der Rohstoffgewinnung über die Produktion bis zur Verwertung (S5, S10, K1, K2).</w:t>
      </w:r>
      <w:r>
        <w:rPr>
          <w:sz w:val="16"/>
        </w:rPr>
        <w:t xml:space="preserve"> [LK-MW-05; KLP S. 51]</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r>
        <w:rPr>
          <w:b w:val="0"/>
        </w:rPr>
        <w:t>In Q2 nutzen die Lernenden generative KI zur Recherche und Aufbereitung einer Aussage über nachhaltige Kunststoffe. Sie prüfen Quellen, chemische Strukturangaben und Umweltbehauptungen unabhängig, begründen Korrekturen und reflektieren den Werkzeugnutzen. Das kommentierte Ergebnis und ein Fachgespräch erfassen zielgerichtete Nutzung, fachliche Prüfung und Eigenleistung.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50]</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ListBullet"/>
        <w:suppressAutoHyphens w:val="1"/>
      </w:pPr>
      <w:r/>
      <w:r>
        <w:t>beschreiben Merkmale von Nanomaterialien am Beispiel von Alltagsprodukten (S1, S9).</w:t>
      </w:r>
      <w:r>
        <w:rPr>
          <w:sz w:val="16"/>
        </w:rPr>
        <w:t xml:space="preserve"> [LK-MW-07; KLP S. 51]</w:t>
      </w:r>
    </w:p>
    <w:p>
      <w:pPr>
        <w:pStyle w:val="ListBullet"/>
        <w:suppressAutoHyphens w:val="1"/>
      </w:pPr>
      <w:r/>
      <w:r>
        <w:t>führen eigenständig geplante Experimente zur Untersuchung von Eigenschaften organischer Werkstoffe durch und werten diese aus (E4, E5).</w:t>
      </w:r>
      <w:r>
        <w:rPr>
          <w:sz w:val="16"/>
        </w:rPr>
        <w:t xml:space="preserve"> [LK-MW-08; KLP S. 51]</w:t>
      </w:r>
    </w:p>
    <w:p>
      <w:pPr>
        <w:pStyle w:val="ListBullet"/>
        <w:suppressAutoHyphens w:val="1"/>
      </w:pPr>
      <w:r/>
      <w:r>
        <w:t>erläutern ermittelte Stoffeigenschaften am Beispiel eines Funktionspolymers mit geeigneten Modellen (E1, E5, E7, S13).</w:t>
      </w:r>
      <w:r>
        <w:rPr>
          <w:sz w:val="16"/>
        </w:rPr>
        <w:t xml:space="preserve"> [LK-MW-10; KLP S. 51]</w:t>
      </w:r>
    </w:p>
    <w:p>
      <w:pPr>
        <w:pStyle w:val="ListBullet"/>
        <w:suppressAutoHyphens w:val="1"/>
      </w:pPr>
      <w:r/>
      <w:r>
        <w:t>veranschaulichen die Größenordnung und Reaktivität von Nanopartikeln (E7, E8).</w:t>
      </w:r>
      <w:r>
        <w:rPr>
          <w:sz w:val="16"/>
        </w:rPr>
        <w:t xml:space="preserve"> [LK-MW-11; KLP S. 51]</w:t>
      </w:r>
    </w:p>
    <w:p>
      <w:pPr>
        <w:pStyle w:val="ListBullet"/>
        <w:suppressAutoHyphens w:val="1"/>
      </w:pPr>
      <w:r/>
      <w:r>
        <w:t>erklären eine experimentell ermittelte Oberflächeneigenschaft eines ausgewählten Nanoprodukts anhand der Nanostruktur (E5, S11).</w:t>
      </w:r>
      <w:r>
        <w:rPr>
          <w:sz w:val="16"/>
        </w:rPr>
        <w:t xml:space="preserve"> [LK-MW-12; KLP S. 51]</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51]</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51]</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51]</w:t>
      </w:r>
    </w:p>
    <w:p>
      <w:pPr>
        <w:pStyle w:val="ListBullet"/>
        <w:suppressAutoHyphens w:val="1"/>
      </w:pPr>
      <w:r/>
      <w:r>
        <w:t>recherchieren in verschiedenen Quellen die Chancen und Risiken von Nanomaterialien am Beispiel eines Alltagsproduktes und bewerten diese unter Berücksichtigung der Intention der Autorin/des Autors (B2, B4, B13, K2, K4).</w:t>
      </w:r>
      <w:r>
        <w:rPr>
          <w:sz w:val="16"/>
        </w:rPr>
        <w:t xml:space="preserve"> [LK-MW-17; KLP S. 51]</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48]</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48]</w:t>
      </w:r>
    </w:p>
    <w:p>
      <w:pPr>
        <w:pStyle w:val="ListBullet"/>
        <w:suppressAutoHyphens w:val="1"/>
      </w:pPr>
      <w:r/>
      <w:r>
        <w:t>erklären Redoxreaktionen in organischen Synthesewegen unter Berücksichtigung der Oxidationszahlen (S3, S11, S16).</w:t>
      </w:r>
      <w:r>
        <w:rPr>
          <w:sz w:val="16"/>
        </w:rPr>
        <w:t xml:space="preserve"> [LK-OC-04; KLP S. 48]</w:t>
      </w:r>
    </w:p>
    <w:p>
      <w:pPr>
        <w:pStyle w:val="ListBullet"/>
        <w:suppressAutoHyphens w:val="1"/>
      </w:pPr>
      <w:r/>
      <w:r>
        <w:t>erklären die Estersynthese aus Alkanolen und Carbonsäuren unter Berücksichtigung der Katalyse (S4, S8, S9, K7).</w:t>
      </w:r>
      <w:r>
        <w:rPr>
          <w:sz w:val="16"/>
        </w:rPr>
        <w:t xml:space="preserve"> [LK-OC-05; KLP S. 48]</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49]</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49]</w:t>
      </w:r>
    </w:p>
    <w:p>
      <w:pPr>
        <w:pStyle w:val="ListBullet"/>
        <w:suppressAutoHyphens w:val="1"/>
      </w:pPr>
      <w:r/>
      <w:r>
        <w:t>unterscheiden experimentell zwischen gesättigten und ungesättigten Fettsäuren (E5, E11).</w:t>
      </w:r>
      <w:r>
        <w:rPr>
          <w:sz w:val="16"/>
        </w:rPr>
        <w:t xml:space="preserve"> [LK-OC-14; KLP S. 49]</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49]</w:t>
      </w:r>
    </w:p>
    <w:p>
      <w:pPr>
        <w:pStyle w:val="ListBullet"/>
        <w:suppressAutoHyphens w:val="1"/>
      </w:pPr>
      <w:r/>
      <w:r>
        <w:t>erläutern ein technisches Syntheseverfahren auch unter Berücksichtigung der eingesetzten Katalysatoren (S8, S9).</w:t>
      </w:r>
      <w:r>
        <w:rPr>
          <w:sz w:val="16"/>
        </w:rPr>
        <w:t xml:space="preserve"> [LK-MW-06; KLP S. 51]</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48]</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48]</w:t>
      </w:r>
    </w:p>
    <w:p>
      <w:pPr>
        <w:pStyle w:val="ListBullet"/>
        <w:suppressAutoHyphens w:val="1"/>
      </w:pPr>
      <w:r/>
      <w:r>
        <w:t>klassifizieren Farbstoffe sowohl auf Grundlage struktureller Merkmale als auch nach ihrer Verwendung (S10, S11, K8).</w:t>
      </w:r>
      <w:r>
        <w:rPr>
          <w:sz w:val="16"/>
        </w:rPr>
        <w:t xml:space="preserve"> [LK-OC-09; KLP S. 49]</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49]</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49]</w:t>
      </w:r>
    </w:p>
    <w:p>
      <w:pPr>
        <w:pStyle w:val="ListBullet"/>
        <w:suppressAutoHyphens w:val="1"/>
      </w:pPr>
      <w:r/>
      <w:r>
        <w:t>interpretieren Absorptionsspektren ausgewählter Farbstofflösungen (E8, K2, B1).</w:t>
      </w:r>
      <w:r>
        <w:rPr>
          <w:sz w:val="16"/>
        </w:rPr>
        <w:t xml:space="preserve"> [LK-OC-16; KLP S. 49]</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49]</w:t>
      </w:r>
    </w:p>
    <w:p>
      <w:pPr>
        <w:pStyle w:val="ListBullet"/>
        <w:suppressAutoHyphens w:val="1"/>
      </w:pPr>
      <w:r/>
      <w:r>
        <w:t>bewerten den Einsatz verschiedener Farbstoffe in Alltagsprodukten aus chemischer, ökologischer und ökonomischer Sicht (B9, B13, S13).</w:t>
      </w:r>
      <w:r>
        <w:rPr>
          <w:sz w:val="16"/>
        </w:rPr>
        <w:t xml:space="preserve"> [LK-OC-20; KLP S. 49]</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20</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20</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20</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20</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20</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20</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20</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20</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20</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20</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21</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21</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21</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21</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21</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21</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21</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21</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21</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21</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21</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21</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21</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 · Eigene Vorhersagen zur Reaktionsgeschwindigkeit formulieren und ein KI-gestützt entwickeltes Teilchenmodell nutzen; Modellannahmen und Ergebnisse an selbst ausgewerteten Versuchsdaten prüfen.</w:t>
              <w:br/>
              <w:t/>
            </w:r>
          </w:p>
        </w:tc>
      </w:tr>
      <w:tr>
        <w:trPr>
          <w:cantSplit/>
        </w:trPr>
        <w:tc>
          <w:tcPr>
            <w:tcW w:type="dxa" w:w="810"/>
            <w:vAlign w:val="center"/>
            <w:shd w:fill="F5F8F9"/>
          </w:tcPr>
          <w:p>
            <w:pPr>
              <w:pStyle w:val="Compact"/>
              <w:spacing w:after="20" w:before="20"/>
              <w:jc w:val="center"/>
              <w:suppressAutoHyphens w:val="1"/>
            </w:pPr>
            <w:r>
              <w:rPr>
                <w:b w:val="0"/>
              </w:rPr>
              <w:t>E7</w:t>
              <w:br/>
              <w:t>S. 22</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22</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22</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22</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22</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22</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22</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EF.04 · Eine KI-gestützte Recherche zum Kohlenstoffkreislauf planen; angegebene Quellen öffnen, geeignete Fachquellen auswählen und den Rechercheweg dokumentieren.</w:t>
              <w:br/>
              <w:t/>
            </w:r>
          </w:p>
        </w:tc>
      </w:tr>
      <w:tr>
        <w:trPr>
          <w:cantSplit/>
        </w:trPr>
        <w:tc>
          <w:tcPr>
            <w:tcW w:type="dxa" w:w="810"/>
            <w:vAlign w:val="center"/>
            <w:shd w:fill="FFFFFF"/>
          </w:tcPr>
          <w:p>
            <w:pPr>
              <w:pStyle w:val="Compact"/>
              <w:spacing w:after="20" w:before="20"/>
              <w:jc w:val="center"/>
              <w:suppressAutoHyphens w:val="1"/>
            </w:pPr>
            <w:r>
              <w:rPr>
                <w:b w:val="0"/>
              </w:rPr>
              <w:t>K2</w:t>
              <w:br/>
              <w:t>S. 22</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22</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22</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23</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23</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23</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23</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23</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23</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23</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23</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23</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23</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23</w:t>
            </w:r>
          </w:p>
        </w:tc>
        <w:tc>
          <w:tcPr>
            <w:tcW w:type="dxa" w:w="4635"/>
            <w:vAlign w:val="center"/>
            <w:shd w:fill="F5F8F9"/>
          </w:tcPr>
          <w:p>
            <w:pPr>
              <w:pStyle w:val="Compact"/>
              <w:spacing w:after="20" w:before="20"/>
              <w:suppressAutoHyphens w:val="1"/>
            </w:pPr>
            <w:r>
              <w:rPr>
                <w:b w:val="0"/>
              </w:rPr>
              <w:t>beurteilen nach vorgegebenen Kriterien die Inhalte verwendeter Quellen und Medien, einschließlich von generativer KI erzeugte Inhalte.</w:t>
            </w:r>
          </w:p>
        </w:tc>
        <w:tc>
          <w:tcPr>
            <w:tcW w:type="dxa" w:w="3630"/>
            <w:vAlign w:val="center"/>
            <w:shd w:fill="F5F8F9"/>
          </w:tcPr>
          <w:p>
            <w:pPr>
              <w:pStyle w:val="Compact"/>
              <w:spacing w:after="20" w:before="20"/>
              <w:suppressAutoHyphens w:val="1"/>
            </w:pPr>
            <w:r>
              <w:rPr>
                <w:b w:val="0"/>
              </w:rPr>
              <w:t>EF.04 · KI-Aussagen zum Kohlenstoffkreislauf auf fachliche Richtigkeit, Belege und Grenzen prüfen und eine begründete Überarbeitung verfassen.</w:t>
              <w:br/>
              <w:t/>
            </w:r>
          </w:p>
        </w:tc>
      </w:tr>
      <w:tr>
        <w:trPr>
          <w:cantSplit/>
        </w:trPr>
        <w:tc>
          <w:tcPr>
            <w:tcW w:type="dxa" w:w="810"/>
            <w:vAlign w:val="center"/>
            <w:shd w:fill="FFFFFF"/>
          </w:tcPr>
          <w:p>
            <w:pPr>
              <w:pStyle w:val="Compact"/>
              <w:spacing w:after="20" w:before="20"/>
              <w:jc w:val="center"/>
              <w:suppressAutoHyphens w:val="1"/>
            </w:pPr>
            <w:r>
              <w:rPr>
                <w:b w:val="0"/>
              </w:rPr>
              <w:t>B3</w:t>
              <w:br/>
              <w:t>S. 23</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23</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24</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gesellschafts-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24</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24</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24</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24</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24</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24</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24</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24</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24</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29</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29</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29</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29</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29</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29</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29</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29</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29</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29</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30</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30</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30</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30</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30</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30</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30</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30</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30</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30</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30</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30</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30</w:t>
            </w:r>
          </w:p>
        </w:tc>
        <w:tc>
          <w:tcPr>
            <w:tcW w:type="dxa" w:w="4635"/>
            <w:vAlign w:val="center"/>
            <w:shd w:fill="FFFFFF"/>
          </w:tcPr>
          <w:p>
            <w:pPr>
              <w:pStyle w:val="Compact"/>
              <w:spacing w:after="20" w:before="20"/>
              <w:suppressAutoHyphens w:val="1"/>
            </w:pPr>
            <w:r>
              <w:rPr>
                <w:b w:val="0"/>
              </w:rPr>
              <w:t>nutzen digitale Werkzeuge, Medien und KI-gestützte Verfahren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GK.03 · LK.03 · Ein KI-gestützt entwickeltes Modell einer galvanischen Zelle verwenden und fachlich prüfen; Elektronenfluss und Ionenbewegung erklären und Modellvorhersagen mit eigenen Versuchsbeobachtungen vergleichen.</w:t>
              <w:br/>
              <w:t/>
              <w:br/>
              <w:t/>
            </w:r>
          </w:p>
        </w:tc>
      </w:tr>
      <w:tr>
        <w:trPr>
          <w:cantSplit/>
        </w:trPr>
        <w:tc>
          <w:tcPr>
            <w:tcW w:type="dxa" w:w="810"/>
            <w:vAlign w:val="center"/>
            <w:shd w:fill="F5F8F9"/>
          </w:tcPr>
          <w:p>
            <w:pPr>
              <w:pStyle w:val="Compact"/>
              <w:spacing w:after="20" w:before="20"/>
              <w:jc w:val="center"/>
              <w:suppressAutoHyphens w:val="1"/>
            </w:pPr>
            <w:r>
              <w:rPr>
                <w:b w:val="0"/>
              </w:rPr>
              <w:t>E7</w:t>
              <w:br/>
              <w:t>S. 31</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31</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31</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31</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31</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31</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31</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auch unter Einbezug generativer KI, und wählen für ihre Zwecke passende Quellen aus.</w:t>
            </w:r>
          </w:p>
        </w:tc>
        <w:tc>
          <w:tcPr>
            <w:tcW w:type="dxa" w:w="3630"/>
            <w:vAlign w:val="center"/>
            <w:shd w:fill="F5F8F9"/>
          </w:tcPr>
          <w:p>
            <w:pPr>
              <w:pStyle w:val="Compact"/>
              <w:spacing w:after="20" w:before="20"/>
              <w:suppressAutoHyphens w:val="1"/>
            </w:pPr>
            <w:r>
              <w:rPr>
                <w:b w:val="0"/>
              </w:rPr>
              <w:t>GK.04 · LK.04 · Zur Wasserstoffwirtschaft zielgerichtet auch mit generativer KI recherchieren; Originalquellen prüfen und die Auswahl begründen.</w:t>
              <w:br/>
              <w:t/>
              <w:br/>
              <w:t/>
            </w:r>
          </w:p>
        </w:tc>
      </w:tr>
      <w:tr>
        <w:trPr>
          <w:cantSplit/>
        </w:trPr>
        <w:tc>
          <w:tcPr>
            <w:tcW w:type="dxa" w:w="810"/>
            <w:vAlign w:val="center"/>
            <w:shd w:fill="FFFFFF"/>
          </w:tcPr>
          <w:p>
            <w:pPr>
              <w:pStyle w:val="Compact"/>
              <w:spacing w:after="20" w:before="20"/>
              <w:jc w:val="center"/>
              <w:suppressAutoHyphens w:val="1"/>
            </w:pPr>
            <w:r>
              <w:rPr>
                <w:b w:val="0"/>
              </w:rPr>
              <w:t>K2</w:t>
              <w:br/>
              <w:t>S. 31</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31</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31</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32</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32</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32</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32</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32</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32</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32</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32</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32</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32</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32</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 einschließlich von generativer KI erzeugte Inhalte.</w:t>
            </w:r>
          </w:p>
        </w:tc>
        <w:tc>
          <w:tcPr>
            <w:tcW w:type="dxa" w:w="3630"/>
            <w:vAlign w:val="center"/>
            <w:shd w:fill="F5F8F9"/>
          </w:tcPr>
          <w:p>
            <w:pPr>
              <w:pStyle w:val="Compact"/>
              <w:spacing w:after="20" w:before="20"/>
              <w:suppressAutoHyphens w:val="1"/>
            </w:pPr>
            <w:r>
              <w:rPr>
                <w:b w:val="0"/>
              </w:rPr>
              <w:t>GK.04 · LK.04 · KI-generierte Vergleiche von Energiespeichern an thermodynamischen Daten, Wirkungsgraden und Systemgrenzen prüfen und korrigieren.</w:t>
              <w:br/>
              <w:t/>
              <w:br/>
              <w:t/>
            </w:r>
          </w:p>
        </w:tc>
      </w:tr>
      <w:tr>
        <w:trPr>
          <w:cantSplit/>
        </w:trPr>
        <w:tc>
          <w:tcPr>
            <w:tcW w:type="dxa" w:w="810"/>
            <w:vAlign w:val="center"/>
            <w:shd w:fill="FFFFFF"/>
          </w:tcPr>
          <w:p>
            <w:pPr>
              <w:pStyle w:val="Compact"/>
              <w:spacing w:after="20" w:before="20"/>
              <w:jc w:val="center"/>
              <w:suppressAutoHyphens w:val="1"/>
            </w:pPr>
            <w:r>
              <w:rPr>
                <w:b w:val="0"/>
              </w:rPr>
              <w:t>B3</w:t>
              <w:br/>
              <w:t>S. 32</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32</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33</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33</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33</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33</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33</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33</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33</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33</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33</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33</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25</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25</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26</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26</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27</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27</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28</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37</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37</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40</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40</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41</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46</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46</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49</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51</w:t>
            </w:r>
          </w:p>
        </w:tc>
      </w:tr>
    </w:tbl>
    <w:p>
      <w:pPr>
        <w:pStyle w:val="Heading1"/>
        <w:pageBreakBefore/>
      </w:pPr>
      <w:r>
        <w:rPr>
          <w:b/>
        </w:rPr>
        <w:t>12 Quellen und Geltungsstand</w:t>
      </w:r>
      <w:bookmarkStart w:id="48" w:name="quellen"/>
      <w:bookmarkEnd w:id="48"/>
    </w:p>
    <w:p>
      <w:pPr/>
      <w:r>
        <w:rPr>
          <w:b w:val="0"/>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r>
        <w:rPr>
          <w:b w:val="0"/>
        </w:rPr>
        <w:t>Ministerium für Schule und Bildung NRW 2019</w:t>
      </w:r>
    </w:p>
    <w:p>
      <w:pPr/>
      <w:hyperlink r:id="rId23">
        <w:r>
          <w:rPr>
            <w:color w:val="17594E"/>
          </w:rPr>
          <w:t>Kernlehrplan Chemie für das Gymnasium Sekundarstufe I G9, Heft 3415.</w:t>
        </w:r>
      </w:hyperlink>
    </w:p>
    <w:p>
      <w:pPr/>
      <w:hyperlink r:id="rId23">
        <w:r>
          <w:rPr>
            <w:color w:val="17594E"/>
          </w:rPr>
          <w:t>Quelle öffnen</w:t>
        </w:r>
      </w:hyperlink>
    </w:p>
    <w:p>
      <w:pPr/>
      <w:r>
        <w:rPr>
          <w:b w:val="0"/>
        </w:rPr>
        <w:t>Ministerium für Schule und Bildung NRW 2026</w:t>
      </w:r>
    </w:p>
    <w:p>
      <w:pPr/>
      <w:hyperlink r:id="rId25">
        <w:r>
          <w:rPr>
            <w:color w:val="17594E"/>
          </w:rPr>
          <w:t>Kernlehrplan Chemie für die gymnasiale Oberstufe. Geltung ab 1. August 2027 beginnend mit der EF aufsteigend.</w:t>
        </w:r>
      </w:hyperlink>
    </w:p>
    <w:p>
      <w:pPr/>
      <w:hyperlink r:id="rId25">
        <w:r>
          <w:rPr>
            <w:color w:val="17594E"/>
          </w:rPr>
          <w:t>Quelle öffnen</w:t>
        </w:r>
      </w:hyperlink>
    </w:p>
    <w:p>
      <w:pPr/>
      <w:r>
        <w:rPr>
          <w:b w:val="0"/>
        </w:rPr>
        <w:t xml:space="preserve">Ministerium für Schule und Bildung NRW: Einführungserlass vom 7. August 2026, Inkrafttreten der neuen Oberstufenlehrpläne ab 1. August 2027. </w:t>
      </w:r>
      <w:hyperlink r:id="rId43">
        <w:r>
          <w:rPr>
            <w:color w:val="17594E"/>
          </w:rPr>
          <w:t>Amtliche Veröffentlichung</w:t>
        </w:r>
      </w:hyperlink>
    </w:p>
    <w:p>
      <w:pPr/>
      <w:r>
        <w:rPr>
          <w:b w:val="0"/>
        </w:rPr>
        <w:t>Ministerium für Schule und Bildung NRW</w:t>
      </w:r>
    </w:p>
    <w:p>
      <w:pPr/>
      <w:hyperlink r:id="rId26">
        <w:r>
          <w:rPr>
            <w:color w:val="17594E"/>
          </w:rPr>
          <w:t>Richtlinien zur Sicherheit im Unterricht RISU NRW 2024.</w:t>
        </w:r>
      </w:hyperlink>
    </w:p>
    <w:p>
      <w:pPr/>
      <w:hyperlink r:id="rId26">
        <w:r>
          <w:rPr>
            <w:color w:val="17594E"/>
          </w:rPr>
          <w:t>Quelle öffnen</w:t>
        </w:r>
      </w:hyperlink>
    </w:p>
    <w:p>
      <w:pPr/>
      <w:r>
        <w:rPr>
          <w:b w:val="0"/>
        </w:rPr>
        <w:t>Gymnasium Thomaeum</w:t>
      </w:r>
    </w:p>
    <w:p>
      <w:pPr/>
      <w:hyperlink r:id="rId28">
        <w:r>
          <w:rPr>
            <w:color w:val="17594E"/>
          </w:rPr>
          <w:t>Schulprogramm, Überarbeitung Mai 2024; insbesondere Lehren und Lernen, Nachhaltigkeit und Gesundheit.</w:t>
        </w:r>
      </w:hyperlink>
    </w:p>
    <w:p>
      <w:pPr/>
      <w:hyperlink r:id="rId28">
        <w:r>
          <w:rPr>
            <w:color w:val="17594E"/>
          </w:rPr>
          <w:t>Quelle öffnen</w:t>
        </w:r>
      </w:hyperlink>
    </w:p>
    <w:p>
      <w:pPr/>
      <w:r>
        <w:rPr>
          <w:b w:val="0"/>
        </w:rPr>
        <w:t>Gymnasium Thomaeum</w:t>
      </w:r>
    </w:p>
    <w:p>
      <w:pPr/>
      <w:hyperlink r:id="rId29">
        <w:r>
          <w:rPr>
            <w:color w:val="17594E"/>
          </w:rPr>
          <w:t>MINT-Profil der Schule.</w:t>
        </w:r>
      </w:hyperlink>
    </w:p>
    <w:p>
      <w:pPr/>
      <w:hyperlink r:id="rId29">
        <w:r>
          <w:rPr>
            <w:color w:val="17594E"/>
          </w:rPr>
          <w:t>Quelle öffnen</w:t>
        </w:r>
      </w:hyperlink>
    </w:p>
    <w:p>
      <w:pPr/>
      <w:r>
        <w:rPr>
          <w:b w:val="0"/>
        </w:rPr>
        <w:t>Ministerium für Schule und Bildung NRW</w:t>
      </w:r>
    </w:p>
    <w:p>
      <w:pPr/>
      <w:hyperlink r:id="rId30">
        <w:r>
          <w:rPr>
            <w:color w:val="17594E"/>
          </w:rPr>
          <w:t>Qualitätstableau NRW, insbesondere Analysekriterien 2.1.3.1 und 2.1.3.2 zu schuleigenen Unterrichtsvorgaben und ihrer Umsetzung.</w:t>
        </w:r>
      </w:hyperlink>
    </w:p>
    <w:p>
      <w:pPr/>
      <w:hyperlink r:id="rId30">
        <w:r>
          <w:rPr>
            <w:color w:val="17594E"/>
          </w:rPr>
          <w:t>Quelle öffnen</w:t>
        </w:r>
      </w:hyperlink>
    </w:p>
    <w:p>
      <w:pPr/>
      <w:r>
        <w:rPr>
          <w:b w:val="0"/>
        </w:rPr>
        <w:t>Gymnasium Thomaeum</w:t>
      </w:r>
    </w:p>
    <w:p>
      <w:pPr/>
      <w:r>
        <w:rPr>
          <w:b w:val="0"/>
        </w:rPr>
        <w:t>Klausurendauer – Übersicht, schulische Tabelle, Fach Chemie.</w:t>
      </w:r>
    </w:p>
    <w:p>
      <w:pPr/>
      <w:hyperlink r:id="rId31">
        <w:r>
          <w:rPr>
            <w:color w:val="17594E"/>
          </w:rPr>
          <w:t>Ministerium für Schule und Bildung NRW</w:t>
        </w:r>
      </w:hyperlink>
    </w:p>
    <w:p>
      <w:pPr/>
      <w:hyperlink r:id="rId31">
        <w:r>
          <w:rPr>
            <w:color w:val="17594E"/>
          </w:rPr>
          <w:t>APO-GOSt</w:t>
        </w:r>
      </w:hyperlink>
      <w:r>
        <w:rPr>
          <w:b w:val="0"/>
        </w:rPr>
        <w:t xml:space="preserve"> vom 16. Juli 2026 und Verwaltungsvorschriften vom 17. Juli 2026; insbesondere </w:t>
      </w:r>
      <w:hyperlink r:id="rId31">
        <w:r>
          <w:rPr>
            <w:color w:val="17594E"/>
          </w:rPr>
          <w:t>§§ 14, 45, 46</w:t>
        </w:r>
      </w:hyperlink>
      <w:r>
        <w:rPr>
          <w:b w:val="0"/>
        </w:rPr>
        <w:t xml:space="preserve"> und </w:t>
      </w:r>
      <w:hyperlink r:id="rId31">
        <w:r>
          <w:rPr>
            <w:color w:val="17594E"/>
          </w:rPr>
          <w:t>VV 14.2 bis 14.3</w:t>
        </w:r>
      </w:hyperlink>
      <w:r>
        <w:rPr>
          <w:b w:val="0"/>
        </w:rPr>
        <w:t>.</w:t>
      </w:r>
    </w:p>
    <w:p>
      <w:pPr/>
      <w:hyperlink r:id="rId31">
        <w:r>
          <w:rPr>
            <w:color w:val="17594E"/>
          </w:rPr>
          <w:t>Quelle öffnen</w:t>
        </w:r>
      </w:hyperlink>
    </w:p>
    <w:p>
      <w:pPr/>
      <w:hyperlink r:id="rId34">
        <w:r>
          <w:rPr>
            <w:color w:val="17594E"/>
          </w:rPr>
          <w:t>Institut zur Qualitätsentwicklung im Bildungswesen</w:t>
        </w:r>
      </w:hyperlink>
    </w:p>
    <w:p>
      <w:pPr/>
      <w:r>
        <w:rPr>
          <w:b w:val="0"/>
        </w:rPr>
        <w:t xml:space="preserve">Gemeinsame Abituraufgabenpools der Länder für Biologie, Chemie und Physik. Beschreibung der Struktur, Abschnitt </w:t>
      </w:r>
      <w:hyperlink r:id="rId34">
        <w:r>
          <w:rPr>
            <w:color w:val="17594E"/>
          </w:rPr>
          <w:t>2</w:t>
        </w:r>
      </w:hyperlink>
      <w:r>
        <w:rPr>
          <w:b w:val="0"/>
        </w:rPr>
        <w:t xml:space="preserve"> Bewertungsraster.</w:t>
      </w:r>
    </w:p>
    <w:p>
      <w:pPr/>
      <w:hyperlink r:id="rId34">
        <w:r>
          <w:rPr>
            <w:color w:val="17594E"/>
          </w:rPr>
          <w:t>Quelle öffnen</w:t>
        </w:r>
      </w:hyperlink>
    </w:p>
    <w:p>
      <w:pPr/>
      <w:r>
        <w:rPr>
          <w:b w:val="0"/>
        </w:rPr>
        <w:t>Ministerium für Schule und Bildung NRW</w:t>
      </w:r>
    </w:p>
    <w:p>
      <w:pPr/>
      <w:hyperlink r:id="rId35">
        <w:r>
          <w:rPr>
            <w:color w:val="17594E"/>
          </w:rPr>
          <w:t>Standardsicherung, Zentralabitur Chemie: fachliche Vorgaben und Materialien.</w:t>
        </w:r>
      </w:hyperlink>
    </w:p>
    <w:p>
      <w:pPr/>
      <w:hyperlink r:id="rId35">
        <w:r>
          <w:rPr>
            <w:color w:val="17594E"/>
          </w:rPr>
          <w:t>Quelle öffnen</w:t>
        </w:r>
      </w:hyperlink>
    </w:p>
    <w:p>
      <w:pPr/>
      <w:r>
        <w:rPr>
          <w:b w:val="0"/>
        </w:rPr>
        <w:t>Claus Unterberg</w:t>
      </w:r>
    </w:p>
    <w:p>
      <w:pPr/>
      <w:r>
        <w:rPr>
          <w:b w:val="0"/>
        </w:rPr>
        <w:t>Von der Wissensvermittlung zur Lernbegleitung – Methodenübersicht für Projektkurse. Schulische Dokumentation, insbesondere S. 8–9 und 34–37; bereitgestellt als Wissenschaftsdokumentation.pdf.</w:t>
      </w:r>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6">
        <w:r>
          <w:rPr>
            <w:color w:val="17594E"/>
          </w:rPr>
          <w:t>Anlage 21</w:t>
        </w:r>
      </w:hyperlink>
      <w:r>
        <w:rPr>
          <w:b w:val="0"/>
        </w:rPr>
        <w:t>: Festlegungen für die Präsentationsprüfung.</w:t>
      </w:r>
    </w:p>
    <w:p>
      <w:pPr/>
      <w:hyperlink r:id="rId36">
        <w:r>
          <w:rPr>
            <w:color w:val="17594E"/>
          </w:rPr>
          <w:t>Quelle öffnen</w:t>
        </w:r>
      </w:hyperlink>
    </w:p>
    <w:p>
      <w:pPr/>
      <w:hyperlink r:id="rId31">
        <w:r>
          <w:rPr>
            <w:color w:val="17594E"/>
          </w:rPr>
          <w:t>Ministerium für Schule und Bildung NRW</w:t>
        </w:r>
      </w:hyperlink>
    </w:p>
    <w:p>
      <w:pPr/>
      <w:hyperlink r:id="rId31">
        <w:r>
          <w:rPr>
            <w:color w:val="17594E"/>
          </w:rPr>
          <w:t>APO-GOSt 2027</w:t>
        </w:r>
      </w:hyperlink>
      <w:r>
        <w:rPr>
          <w:b w:val="0"/>
        </w:rPr>
        <w:t xml:space="preserve">, </w:t>
      </w:r>
      <w:hyperlink r:id="rId37">
        <w:r>
          <w:rPr>
            <w:color w:val="17594E"/>
          </w:rPr>
          <w:t>Anlage 22a</w:t>
        </w:r>
      </w:hyperlink>
      <w:r>
        <w:rPr>
          <w:b w:val="0"/>
        </w:rPr>
        <w:t>: Kriterielles Bewertungsraster für die Präsentationsprüfung.</w:t>
      </w:r>
    </w:p>
    <w:p>
      <w:pPr/>
      <w:hyperlink r:id="rId37">
        <w:r>
          <w:rPr>
            <w:color w:val="17594E"/>
          </w:rPr>
          <w:t>Quelle öffnen</w:t>
        </w:r>
      </w:hyperlink>
    </w:p>
    <w:p>
      <w:pPr/>
      <w:hyperlink r:id="rId51">
        <w:r>
          <w:rPr>
            <w:color w:val="17594E"/>
          </w:rPr>
          <w:t>Ministerium für Schule und Bildung NRW</w:t>
        </w:r>
      </w:hyperlink>
    </w:p>
    <w:p>
      <w:pPr/>
      <w:hyperlink r:id="rId51">
        <w:r>
          <w:rPr>
            <w:color w:val="17594E"/>
          </w:rPr>
          <w:t>Kernlehrplan Chemie 2026, S. 11</w:t>
        </w:r>
      </w:hyperlink>
      <w:r>
        <w:rPr>
          <w:b w:val="0"/>
        </w:rPr>
        <w:t>: vier K und reflektierte Auseinandersetzung mit generativen KI-Systemen. Siehe die oben aufgeführte Ausgabe.</w:t>
      </w:r>
    </w:p>
    <w:p>
      <w:pPr/>
      <w:r>
        <w:rPr>
          <w:b w:val="0"/>
        </w:rPr>
        <w:t>Medienberatung NRW</w:t>
      </w:r>
    </w:p>
    <w:p>
      <w:pPr/>
      <w:hyperlink r:id="rId38">
        <w:r>
          <w:rPr>
            <w:color w:val="17594E"/>
          </w:rPr>
          <w:t>Fragen zur KI-Nutzung im Bereich Schule. Hinweise zu Unterrichtsvorbereitung, Verantwortung, personenbezogenen Daten und schulischen Zugängen. Abruf 25. September 2026.</w:t>
        </w:r>
      </w:hyperlink>
    </w:p>
    <w:p>
      <w:pPr/>
      <w:hyperlink r:id="rId38">
        <w:r>
          <w:rPr>
            <w:color w:val="17594E"/>
          </w:rPr>
          <w:t>Quelle öffnen</w:t>
        </w:r>
      </w:hyperlink>
    </w:p>
    <w:p>
      <w:pPr/>
      <w:r>
        <w:rPr>
          <w:b w:val="0"/>
        </w:rPr>
        <w:t>Kultusministerkonferenz</w:t>
      </w:r>
    </w:p>
    <w:p>
      <w:pPr/>
      <w:hyperlink r:id="rId39">
        <w:r>
          <w:rPr>
            <w:color w:val="17594E"/>
          </w:rPr>
          <w:t>Handlungsempfehlung zum Umgang mit Künstlicher Intelligenz in schulischen Bildungsprozessen, Beschluss vom 10. Oktober 2024; insbesondere Lernen, Didaktik und Prüfungskultur.</w:t>
        </w:r>
      </w:hyperlink>
    </w:p>
    <w:p>
      <w:pPr/>
      <w:hyperlink r:id="rId39">
        <w:r>
          <w:rPr>
            <w:color w:val="17594E"/>
          </w:rPr>
          <w:t>Quelle öffnen</w:t>
        </w:r>
      </w:hyperlink>
    </w:p>
    <w:p>
      <w:pPr/>
      <w:r>
        <w:rPr>
          <w:b w:val="0"/>
        </w:rPr>
        <w:t>Dr. Claus Unterberg</w:t>
      </w:r>
    </w:p>
    <w:p>
      <w:pPr/>
      <w:hyperlink r:id="rId11">
        <w:r>
          <w:rPr>
            <w:color w:val="17594E"/>
          </w:rPr>
          <w:t>Chemie LearningApps am Gymnasium Thomaeum. Mit KI-Unterstützung entwickelte Lernanwendungen; Auswahl und Direktlinks in den Unterrichtsvorhaben. Abruf 25. September 2026.</w:t>
        </w:r>
      </w:hyperlink>
    </w:p>
    <w:p>
      <w:pPr/>
      <w:hyperlink r:id="rId11">
        <w:r>
          <w:rPr>
            <w:color w:val="17594E"/>
          </w:rPr>
          <w:t>Quelle öffnen</w:t>
        </w:r>
      </w:hyperlink>
    </w:p>
    <w:p>
      <w:pPr/>
      <w:hyperlink r:id="rId52">
        <w:r>
          <w:rPr>
            <w:color w:val="17594E"/>
          </w:rPr>
          <w:t>Gymnasium Thomaeum</w:t>
        </w:r>
      </w:hyperlink>
    </w:p>
    <w:p>
      <w:pPr/>
      <w:r>
        <w:rPr>
          <w:b w:val="0"/>
        </w:rPr>
        <w:t xml:space="preserve">Schulischer Beispielprompt zur Erzeugung von Chemie-Übungsklausuren mit Erwartungshorizont. Didaktisch gefasstes Anwendungsbeispiel in Kapitel </w:t>
      </w:r>
      <w:hyperlink r:id="rId52">
        <w:r>
          <w:rPr>
            <w:color w:val="17594E"/>
          </w:rPr>
          <w:t>17</w:t>
        </w:r>
      </w:hyperlink>
      <w:r>
        <w:rPr>
          <w:b w:val="0"/>
        </w:rPr>
        <w:t>.</w:t>
      </w:r>
    </w:p>
    <w:p>
      <w:pPr/>
      <w:r>
        <w:rPr>
          <w:b w:val="0"/>
        </w:rPr>
        <w:t xml:space="preserve">P21 / Battelle for Kids (2019): </w:t>
      </w:r>
      <w:hyperlink r:id="rId44">
        <w:r>
          <w:rPr>
            <w:color w:val="17594E"/>
          </w:rPr>
          <w:t>Framework for 21st Century Learning</w:t>
        </w:r>
      </w:hyperlink>
      <w:r>
        <w:rPr>
          <w:b w:val="0"/>
        </w:rPr>
        <w:t>. Herkunft und Einordnung der vier K.</w:t>
      </w:r>
      <w:hyperlink r:id="rId44">
        <w:r>
          <w:rPr>
            <w:color w:val="17594E"/>
          </w:rPr>
          <w:t> Quelle öffnen</w:t>
        </w:r>
      </w:hyperlink>
    </w:p>
    <w:p>
      <w:pPr/>
      <w:r>
        <w:rPr>
          <w:b w:val="0"/>
        </w:rPr>
        <w:t xml:space="preserve">P21 / Battelle for Kids (2019): </w:t>
      </w:r>
      <w:hyperlink r:id="rId45">
        <w:r>
          <w:rPr>
            <w:color w:val="17594E"/>
          </w:rPr>
          <w:t>Framework Definitions</w:t>
        </w:r>
      </w:hyperlink>
      <w:r>
        <w:rPr>
          <w:b w:val="0"/>
        </w:rPr>
        <w:t>. Fachwissen sowie Kreativität, kritisches Denken, Kommunikation und Kollaboration, insbesondere S. 2 und 4–5.</w:t>
      </w:r>
      <w:hyperlink r:id="rId45">
        <w:r>
          <w:rPr>
            <w:color w:val="17594E"/>
          </w:rPr>
          <w:t> Quelle öffnen</w:t>
        </w:r>
      </w:hyperlink>
    </w:p>
    <w:p>
      <w:pPr/>
      <w:r>
        <w:br/>
      </w:r>
    </w:p>
    <w:p>
      <w:pPr>
        <w:pStyle w:val="Heading2"/>
      </w:pPr>
      <w:r>
        <w:rPr>
          <w:b/>
        </w:rPr>
        <w:t>Schulinterne Materialien für Projektarbeit</w:t>
      </w:r>
    </w:p>
    <w:p>
      <w:pPr/>
      <w:hyperlink r:id="rId42">
        <w:r>
          <w:rPr>
            <w:color w:val="17594E"/>
          </w:rPr>
          <w:t>Interaktives Kanban Board</w:t>
        </w:r>
      </w:hyperlink>
      <w:r>
        <w:rPr>
          <w:b w:val="0"/>
        </w:rPr>
        <w:t xml:space="preserve"> – zur Planung und Dokumentation von Gruppenprojekten. Aufgaben, Zuständigkeiten und Arbeitsfortschritte werden sichtbar; individuelle Beiträge können auch bei GKL nachvollziehbar festgehalten werden.</w:t>
      </w:r>
    </w:p>
    <w:p>
      <w:pPr>
        <w:pStyle w:val="Heading2"/>
      </w:pPr>
      <w:r>
        <w:rPr>
          <w:b/>
        </w:rPr>
        <w:t>Externe Links zu Lehrplänen und Prüfungen</w:t>
      </w:r>
    </w:p>
    <w:p>
      <w:pPr/>
      <w:r>
        <w:rPr>
          <w:b w:val="0"/>
        </w:rPr>
        <w:t>Die folgenden Links führen zu offiziellen NRW-Veröffentlichungen. Schulinterne Verweise und die Dokumentfassungen stehen getrennt davon unter „Links und Onlinefassungen“.</w:t>
      </w:r>
    </w:p>
    <w:p>
      <w:pPr>
        <w:pStyle w:val="ListBullet"/>
      </w:pPr>
      <w:hyperlink r:id="rId23">
        <w:r>
          <w:rPr>
            <w:color w:val="17594E"/>
          </w:rPr>
          <w:t>Kernlehrplan Chemie Sekundarstufe I · G9 2019 ↗</w:t>
        </w:r>
      </w:hyperlink>
    </w:p>
    <w:p>
      <w:pPr>
        <w:pStyle w:val="ListBullet"/>
      </w:pPr>
      <w:hyperlink r:id="rId25">
        <w:r>
          <w:rPr>
            <w:color w:val="17594E"/>
          </w:rPr>
          <w:t>Kernlehrplan Chemie Sekundarstufe II · Fassung 2026 ↗</w:t>
        </w:r>
      </w:hyperlink>
    </w:p>
    <w:p>
      <w:pPr>
        <w:pStyle w:val="ListBullet"/>
      </w:pPr>
      <w:hyperlink r:id="rIdOfficial51">
        <w:r>
          <w:rPr>
            <w:color w:val="17594E"/>
          </w:rPr>
          <w:t>Operatorenliste Chemie · ab Abitur 2025 ↗</w:t>
        </w:r>
      </w:hyperlink>
    </w:p>
    <w:p>
      <w:pPr>
        <w:pStyle w:val="ListBullet"/>
      </w:pPr>
      <w:hyperlink r:id="rIdOfficial52">
        <w:r>
          <w:rPr>
            <w:color w:val="17594E"/>
          </w:rPr>
          <w:t>Ländergemeinsame mathematisch-naturwissenschaftliche Formelsammlung ↗</w:t>
        </w:r>
      </w:hyperlink>
    </w:p>
    <w:p>
      <w:pPr>
        <w:pStyle w:val="ListBullet"/>
      </w:pPr>
      <w:hyperlink r:id="rIdOfficial53">
        <w:r>
          <w:rPr>
            <w:color w:val="17594E"/>
          </w:rPr>
          <w:t>Chemie · Formeln und relevante Werte (Fachauszug) ↗</w:t>
        </w:r>
      </w:hyperlink>
    </w:p>
    <w:p>
      <w:pPr>
        <w:pStyle w:val="ListBullet"/>
      </w:pPr>
      <w:hyperlink r:id="rId31">
        <w:r>
          <w:rPr>
            <w:color w:val="17594E"/>
          </w:rPr>
          <w:t>APO-GOSt · Bildungsgang ab EF 2027/28 ↗</w:t>
        </w:r>
      </w:hyperlink>
    </w:p>
    <w:p>
      <w:pPr>
        <w:pStyle w:val="ListBullet"/>
      </w:pPr>
      <w:hyperlink r:id="rIdKlausur58">
        <w:r>
          <w:rPr>
            <w:color w:val="17594E"/>
          </w:rPr>
          <w:t>Konstruktionsvorgaben Chemie · schriftliches Abitur ↗</w:t>
        </w:r>
      </w:hyperlink>
    </w:p>
    <w:p>
      <w:pPr>
        <w:pStyle w:val="ListBullet"/>
      </w:pPr>
      <w:hyperlink r:id="rIdKlausur60">
        <w:r>
          <w:rPr>
            <w:color w:val="17594E"/>
          </w:rPr>
          <w:t>Schulgesetz NRW · § 48 ↗</w:t>
        </w:r>
      </w:hyperlink>
    </w:p>
    <w:p>
      <w:pPr>
        <w:pStyle w:val="Heading1"/>
        <w:jc w:val="left"/>
        <w:pageBreakBefore/>
      </w:pPr>
      <w:r>
        <w:rPr/>
        <w:t xml:space="preserve">13 Klausuren gestalten und bewerten</w:t>
      </w:r>
      <w:bookmarkStart w:id="9902" w:name="klausurengestaltung"/>
      <w:bookmarkEnd w:id="9902"/>
    </w:p>
    <w:p>
      <w:pPr>
        <w:pStyle w:val="Heading2"/>
        <w:jc w:val="left"/>
      </w:pPr>
      <w:r>
        <w:rPr/>
        <w:t xml:space="preserve">13.1 Zielsetzung und Kontextorientierung</w:t>
      </w:r>
      <w:bookmarkStart w:id="9903" w:name="klausuren_1"/>
      <w:bookmarkEnd w:id="9903"/>
    </w:p>
    <w:p>
      <w:pPr>
        <w:jc w:val="both"/>
      </w:pPr>
      <w:r>
        <w:rPr/>
        <w:t xml:space="preserve">Klausuren im Fach Chemie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Qualität eines Trinkwassers, die Auswahl eines Energiespeichers, die Wirksamkeit eines Korrosionsschutzes oder die Eigenschaften eines Werkstoffs. Messdaten, Strukturformeln, Reaktionsgleichungen und Produktinformationen werden miteinander verknüpft; auf dieser Grundlage werden Erklärungen entwickelt und Entscheidungen begründet.</w:t>
      </w:r>
    </w:p>
    <w:p>
      <w:pPr>
        <w:jc w:val="both"/>
      </w:pPr>
      <w:r>
        <w:rPr/>
        <w:t xml:space="preserve">Maßgeblich sind der Kernlehrplan Chemie 2026, die APO-GOSt für den Bildungsgang ab EF 2027/28 und die jahrgangsbezogenen Abiturvorgaben. Der Unterricht entwickelt die geforderten Kompetenzen durch schriftliche, praktische und dialogische Leistungen. Die GKL werden im anschließenden Kapitel 14 behandelt.</w:t>
      </w:r>
    </w:p>
    <w:p>
      <w:pPr/>
      <w:r>
        <w:rPr>
          <w:b w:val="0"/>
        </w:rPr>
        <w:t xml:space="preserve">Amtliche Grundlagen: </w:t>
      </w:r>
      <w:hyperlink r:id="rId53">
        <w:r>
          <w:rPr>
            <w:color w:val="17594E"/>
          </w:rPr>
          <w:t>Kernlehrplan Chemie 2026, Kapitel 3 und 4</w:t>
        </w:r>
      </w:hyperlink>
      <w:r>
        <w:rPr>
          <w:b w:val="0"/>
        </w:rPr>
        <w:t xml:space="preserve"> · </w:t>
      </w:r>
      <w:hyperlink r:id="rId31">
        <w:r>
          <w:rPr>
            <w:color w:val="17594E"/>
          </w:rPr>
          <w:t>APO-GOSt ab EF 2027/28</w:t>
        </w:r>
      </w:hyperlink>
      <w:r>
        <w:rPr>
          <w:b w:val="0"/>
        </w:rPr>
        <w:t xml:space="preserve"> · </w:t>
      </w:r>
      <w:hyperlink r:id="rId54">
        <w:r>
          <w:rPr>
            <w:color w:val="17594E"/>
          </w:rPr>
          <w:t>Operatoren und Konstruktionsvorgaben</w:t>
        </w:r>
      </w:hyperlink>
      <w:r>
        <w:rPr>
          <w:b w:val="0"/>
        </w:rPr>
        <w:t xml:space="preserve"> · </w:t>
      </w:r>
    </w:p>
    <w:p>
      <w:pPr>
        <w:pStyle w:val="Heading2"/>
        <w:jc w:val="left"/>
      </w:pPr>
      <w:r>
        <w:rPr/>
        <w:t xml:space="preserve">13.2 Anforderungsbereiche und ihre Gewichtung</w:t>
      </w:r>
      <w:bookmarkStart w:id="9904" w:name="klausuren_2"/>
      <w:bookmarkEnd w:id="9904"/>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 eingeübte Nachweisreaktion zum Material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Aus Messdaten eine Konzentration ermitteln und das Ergebnis chemisch erklären.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Analyseverfahren für eine neue Fragestellung entwickeln und seine Aussagekraft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9905" w:name="klausuren_3"/>
      <w:bookmarkEnd w:id="9905"/>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Für Chemie dienen höchstens sechs Teilaufgaben je abiturähnlicher Aufgabe als Orientierung. Diese Größen beziehen sich auf das Abiturformat. Kürzere Klausuren in EF und Q1 werden entsprechend ihrer Bearbeitungszeit und ihrem Lernstand angepasst.</w:t>
      </w:r>
    </w:p>
    <w:p>
      <w:pPr>
        <w:jc w:val="both"/>
      </w:pPr>
      <w:r>
        <w:rPr/>
        <w:t xml:space="preserve">Als schulische Vorbereitung auf das Auswahlformat können vier Aufgaben angeboten werden, aus denen drei bearbeitet werden. Die derzeitigen Konstruktionsvorgaben dienen dabei als Orientierung. Für das Abitur und die Klausur unter Abiturbedingungen sind die Auswahl, Gesamtpunktzahl und Bearbeitungszeit aus den Vorgaben des jeweiligen Prüfungsjahres verbindlich; daraus wird keine unveränderliche Festlegung für 2030 abgeleitet. Kürzere Klausuren in EF und Q1 werden dem Lernstand und der Bearbeitungszeit angepasst.</w:t>
      </w:r>
    </w:p>
    <w:p>
      <w:pPr>
        <w:pStyle w:val="Heading2"/>
        <w:jc w:val="left"/>
      </w:pPr>
      <w:r>
        <w:rPr/>
        <w:t xml:space="preserve">13.4 Erwartungshorizont und Rückmeldung</w:t>
      </w:r>
      <w:bookmarkStart w:id="9906" w:name="klausuren_4"/>
      <w:bookmarkEnd w:id="9906"/>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Chemie werden entsprechend den aktuellen Konstruktionsvorgaben keine gesonderten oder zusätzlichen Punkte für eine allgemeine Darstellungsleistung vergeben. Fachsprachliche Präzision und sachgerechte Darstellungen werden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9907" w:name="klausuren_5"/>
      <w:bookmarkEnd w:id="9907"/>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9908" w:name="klausuren_6"/>
      <w:bookmarkEnd w:id="9908"/>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49" w:name="gkl"/>
      <w:pPr>
        <w:pStyle w:val="Heading1"/>
        <w:pageBreakBefore/>
        <w:suppressAutoHyphens w:val="1"/>
      </w:pPr>
      <w:r>
        <w:t>14 Gleichwertige komplexe Leistungsnachweise: Aufgaben und Bewertungsraster</w:t>
      </w:r>
      <w:bookmarkEnd w:id="49"/>
    </w:p>
    <w:p>
      <w:pPr>
        <w:suppressAutoHyphens w:val="0"/>
        <w:jc w:val="both"/>
      </w:pPr>
      <w:r>
        <w:t>Für GKL im Fach Chemie stehen vier Formate zur Verfügung. Das gewählte Format, die fachlichen Anforderungen und die individuellen Nachweise werden vor Arbeitsbeginn vereinbart.</w:t>
      </w:r>
    </w:p>
    <w:p>
      <w:pPr>
        <w:suppressAutoHyphens w:val="0"/>
        <w:jc w:val="both"/>
      </w:pPr>
      <w:r>
        <w:t>Präsentation: Eine chemische Fragestellung anhand überprüfbarer Quellen, Daten und Modelle bearbeiten, Ergebnisse adressatengerecht präsentieren und im Fachgespräch begründen.</w:t>
      </w:r>
    </w:p>
    <w:p>
      <w:pPr>
        <w:suppressAutoHyphens w:val="0"/>
        <w:jc w:val="both"/>
      </w:pPr>
      <w:r>
        <w:t>Experimentelle Aufgabe: Eine eigene Untersuchung planen, nach Freigabe durchführen, Messwerte auswerten und die Aussagekraft der Ergebnisse beurteilen. Eine Anleitung des gesamten Kurses ist dabei nicht erforderlich.</w:t>
      </w:r>
    </w:p>
    <w:p>
      <w:pPr>
        <w:suppressAutoHyphens w:val="0"/>
        <w:jc w:val="both"/>
      </w:pPr>
      <w:r>
        <w:t>Anleitung des Kurses zum Experimentieren: Ein freigegebenes Verfahren erproben, den Kurs fachlich anleiten, bei Schwierigkeiten unterstützen und die Ergebnisse gemeinsam auswerten.</w:t>
      </w:r>
    </w:p>
    <w:p>
      <w:pPr>
        <w:suppressAutoHyphens w:val="0"/>
        <w:jc w:val="both"/>
      </w:pPr>
      <w:r>
        <w:t>Erarbeitung eines stationsbetriebenen Lernzirkels: Inhaltlich zusammenhängende Stationen mit Aufgaben, Experimenten oder Modellen, abgestuften Hilfen und einer gemeinsamen Ergebnissicherung entwickeln, erproben und mit dem Kurs durchführen.</w:t>
      </w:r>
    </w:p>
    <w:p>
      <w:pPr>
        <w:suppressAutoHyphens w:val="0"/>
        <w:jc w:val="both"/>
      </w:pPr>
      <w:r>
        <w:t>Die Beispiele in 14.2 bis 14.4, das EF-Beispiel zu Stoffkreisläufen in 14.11 und das Akkubeispiel in 14.12 konkretisieren diese Formate. Kombinationen sind möglich, wenn Umfang, Zuständigkeiten und Bewertung vorab feststehen. Bei allen experimentellen Formaten verbleiben Freigabe und Aufsicht bei der Lehrkraft.</w:t>
      </w:r>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14.1 Einordnung und transparente Vereinbarungen</w:t>
      </w:r>
    </w:p>
    <w:p>
      <w:pPr>
        <w:suppressAutoHyphens w:val="0"/>
        <w:jc w:val="both"/>
      </w:pPr>
      <w:r>
        <w:t>Der Arbeitsaufwand eines GKL soll für jede einzelne Schülerin und jeden einzelnen Schüler dem Aufwand für die Vorbereitung und Durchführung einer Klausur im jeweiligen Quartal entsprechen. Dazu zählen Recherche, Erprobung, Absprachen, Durchführung bzw. Präsentation, Auswertung und Reflexion. Die Lehrkraft begrenzt Aufgabenbreite und Abgabeumfang entsprechend und vereinbart den Zeitrahmen vor Beginn. Gruppenarbeit darf diesen individuellen Arbeitsrahmen nicht vergrößern.</w:t>
      </w:r>
    </w:p>
    <w:p>
      <w:pPr>
        <w:suppressAutoHyphens w:val="0"/>
        <w:jc w:val="both"/>
      </w:pPr>
      <w:r>
        <w:t>Vor diesem Hintergrund entwickeln die GKL-Aufgaben ausdrücklich Kreativität, Kollaboration, Kommunikation und kritisches Denken. Abschnitt 14.10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einzeln oder in Gruppen erarbeitet werden; die Bewertung erfolgt in allen Teilen individuell. § 14 Absatz 6 verlangt bei Gruppenarbeiten die Berücksichtigung von Gruppen- und Individualleistung. Im vorliegenden Raster wird deshalb der nachweisbare Beitrag jeder Person zum gemeinsamen Ergebnis und zur Zusammenarbeit beurteilt. Es gibt keine pauschalen Gruppenpunkte und keine Übernahme einer Gruppennote. Arbeitsjournal, gekennzeichnete Arbeitsergebnisse, Beobachtungen und individuelles Fachgespräch sichern die Zuordnung. Ist ein Beitrag nicht eindeutig zuzuordnen, wird er durch Rückfragen oder einen ergänzenden individuellen Nachweis geklärt. Rückmeldungen der Gruppe ersetzen keine eigene Bewertungsentscheidung der Lehrkraft.</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r>
        <w:rPr>
          <w:b w:val="0"/>
        </w:rPr>
        <w:t>Der Kernlehrplan Chemie 2026 nennt als fachspezifische GKL-Formate einen fachlichen Vortrag mit vertiefendem Fachgespräch, gegebenenfalls angebunden an ein Unterrichtsprodukt, sowie eine fachpraktische Aufgabe (S. 55). Die folgenden Präsentations- und Experimentierbeispiele konkretisieren diese Formate. Weitere Formate bedürfen eines Fachkonferenzbeschlusses nach vorheriger Vorstellung und Beratung in der Lehrerkonferenz, der Zustimmung der Schulleitung, der Aufnahme in den schulinternen Lehrplan und der Anzeige bei der zuständigen Fachaufsicht der oberen Schulaufsichtsbehörde.</w:t>
      </w:r>
    </w:p>
    <w:p>
      <w:pPr>
        <w:pStyle w:val="Heading2"/>
        <w:pageBreakBefore/>
        <w:suppressAutoHyphens w:val="1"/>
      </w:pPr>
      <w:r>
        <w:t>14.2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Umfang: Recherche, Präsentation und Fachgespräch werden zusammen im klausurvergleichbaren Arbeitsrahmen aus 14.1 geplant. Die Lehrkraft begrenzt Materialpaket und Präsentationsdauer vorab.</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14.3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Umfang: Eine Essigprobe, ein freigegebenes Verfahren und wenige Vergleichsmessungen; der individuelle Gesamtaufwand folgt 14.1.</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pageBreakBefore/>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die eigene Anleitung, fachliche Diagnose und Auswertung. Fremde Messdaten sind gekennzeichnet; Verhalten und Arbeitsgeschwindigkeit der übrigen Kursteilnehmenden werden nicht zugerechnet.</w:t>
      </w:r>
    </w:p>
    <w:p>
      <w:pPr>
        <w:pStyle w:val="Heading2"/>
        <w:pageBreakBefore/>
        <w:suppressAutoHyphens w:val="1"/>
      </w:pPr>
      <w:r>
        <w:t>14.4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Umfang: Ein Team aus drei Personen entwickelt ausgewählte Stationen; Erprobung, Kursarbeit und Auswertung bleiben zusammen im individuellen Arbeitsrahmen aus 14.1.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Für aussagekräftige Vergleiche werden Probenabmessungen, Trocknungszustand und Prüfbedingungen soweit möglich konstant gehalten.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14.5 So entsteht die individuelle GKL Bewertung</w:t>
      </w:r>
    </w:p>
    <w:p>
      <w:pPr>
        <w:suppressAutoHyphens w:val="0"/>
        <w:jc w:val="both"/>
      </w:pPr>
      <w:r>
        <w:rPr>
          <w:lang w:val="de-DE"/>
        </w:rPr>
        <w:t>Jede Person erhält einen eigenen Bewertungsbogen mit insgesamt 100 Bewertungseinheiten (BE). Alle drei Teile erfassen ausschließlich ihre nachgewiesene Einzelleistung. Teil A bewertet den eigenen Ergebnisbeitrag, Teil B das eigene chemische Verständnis und die Reflexion, Teil C die eigene Rollenleistung. Auch Teil A wird für jede Person gesondert begründet; ein Gruppenwert wird weder übernommen noch aufgeteilt.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20"/>
        <w:gridCol w:w="6746"/>
        <w:gridCol w:w="1417"/>
      </w:tblGrid>
      <w:tr>
        <w:trPr>
          <w:cantSplit/>
          <w:tblHeader/>
        </w:trPr>
        <w:tc>
          <w:tcPr>
            <w:tcW w:type="dxa" w:w="1020"/>
            <w:vAlign w:val="center"/>
            <w:shd w:fill="DDE9EC"/>
          </w:tcPr>
          <w:p>
            <w:pPr>
              <w:pStyle w:val="Compact"/>
              <w:spacing w:after="20" w:before="20"/>
              <w:jc w:val="center"/>
              <w:suppressAutoHyphens w:val="1"/>
            </w:pPr>
            <w:r>
              <w:rPr>
                <w:b/>
              </w:rPr>
              <w:t>Teil</w:t>
            </w:r>
          </w:p>
        </w:tc>
        <w:tc>
          <w:tcPr>
            <w:tcW w:type="dxa" w:w="6746"/>
            <w:vAlign w:val="center"/>
            <w:shd w:fill="DDE9EC"/>
          </w:tcPr>
          <w:p>
            <w:pPr>
              <w:pStyle w:val="Compact"/>
              <w:spacing w:after="20" w:before="20"/>
              <w:suppressAutoHyphens w:val="1"/>
            </w:pPr>
            <w:r>
              <w:rPr>
                <w:b/>
              </w:rPr>
              <w:t>Was wird bewertet</w:t>
            </w:r>
          </w:p>
        </w:tc>
        <w:tc>
          <w:tcPr>
            <w:tcW w:type="dxa" w:w="1417"/>
            <w:vAlign w:val="center"/>
            <w:shd w:fill="DDE9EC"/>
          </w:tcPr>
          <w:p>
            <w:pPr>
              <w:pStyle w:val="Compact"/>
              <w:spacing w:after="20" w:before="20"/>
              <w:suppressAutoHyphens w:val="1"/>
            </w:pPr>
            <w:r>
              <w:rPr>
                <w:b/>
              </w:rPr>
              <w:t>Höchstwert</w:t>
            </w:r>
          </w:p>
        </w:tc>
      </w:tr>
      <w:tr>
        <w:trPr>
          <w:cantSplit/>
        </w:trPr>
        <w:tc>
          <w:tcPr>
            <w:tcW w:type="dxa" w:w="1020"/>
            <w:vAlign w:val="center"/>
            <w:shd w:fill="FFFFFF"/>
          </w:tcPr>
          <w:p>
            <w:pPr>
              <w:pStyle w:val="Compact"/>
              <w:spacing w:after="20" w:before="20"/>
              <w:jc w:val="center"/>
              <w:suppressAutoHyphens w:val="1"/>
            </w:pPr>
            <w:r>
              <w:rPr>
                <w:b w:val="0"/>
              </w:rPr>
              <w:t>A</w:t>
            </w:r>
          </w:p>
        </w:tc>
        <w:tc>
          <w:tcPr>
            <w:tcW w:type="dxa" w:w="6746"/>
            <w:vAlign w:val="center"/>
            <w:shd w:fill="FFFFFF"/>
          </w:tcPr>
          <w:p>
            <w:pPr>
              <w:pStyle w:val="Compact"/>
              <w:spacing w:after="20" w:before="20"/>
              <w:suppressAutoHyphens w:val="1"/>
            </w:pPr>
            <w:r>
              <w:rPr>
                <w:b w:val="0"/>
              </w:rPr>
              <w:t>Individueller Ergebnisbeitrag</w:t>
            </w:r>
          </w:p>
        </w:tc>
        <w:tc>
          <w:tcPr>
            <w:tcW w:type="dxa" w:w="1417"/>
            <w:vAlign w:val="center"/>
            <w:shd w:fill="FFFFFF"/>
          </w:tcPr>
          <w:p>
            <w:pPr>
              <w:pStyle w:val="Compact"/>
              <w:spacing w:after="20" w:before="20"/>
              <w:suppressAutoHyphens w:val="1"/>
            </w:pPr>
            <w:r>
              <w:rPr>
                <w:b w:val="0"/>
              </w:rPr>
              <w:t>20 BE</w:t>
            </w:r>
          </w:p>
        </w:tc>
      </w:tr>
      <w:tr>
        <w:trPr>
          <w:cantSplit/>
        </w:trPr>
        <w:tc>
          <w:tcPr>
            <w:tcW w:type="dxa" w:w="1020"/>
            <w:vAlign w:val="center"/>
            <w:shd w:fill="F5F8F9"/>
          </w:tcPr>
          <w:p>
            <w:pPr>
              <w:pStyle w:val="Compact"/>
              <w:spacing w:after="20" w:before="20"/>
              <w:jc w:val="center"/>
              <w:suppressAutoHyphens w:val="1"/>
            </w:pPr>
            <w:r>
              <w:rPr>
                <w:b w:val="0"/>
              </w:rPr>
              <w:t>B</w:t>
            </w:r>
          </w:p>
        </w:tc>
        <w:tc>
          <w:tcPr>
            <w:tcW w:type="dxa" w:w="6746"/>
            <w:vAlign w:val="center"/>
            <w:shd w:fill="F5F8F9"/>
          </w:tcPr>
          <w:p>
            <w:pPr>
              <w:pStyle w:val="Compact"/>
              <w:spacing w:after="20" w:before="20"/>
              <w:suppressAutoHyphens w:val="1"/>
            </w:pPr>
            <w:r>
              <w:rPr>
                <w:b w:val="0"/>
              </w:rPr>
              <w:t>Eigenes chemisches Verständnis und Reflexion</w:t>
            </w:r>
          </w:p>
        </w:tc>
        <w:tc>
          <w:tcPr>
            <w:tcW w:type="dxa" w:w="1417"/>
            <w:vAlign w:val="center"/>
            <w:shd w:fill="F5F8F9"/>
          </w:tcPr>
          <w:p>
            <w:pPr>
              <w:pStyle w:val="Compact"/>
              <w:spacing w:after="20" w:before="20"/>
              <w:suppressAutoHyphens w:val="1"/>
            </w:pPr>
            <w:r>
              <w:rPr>
                <w:b w:val="0"/>
              </w:rPr>
              <w:t>40 BE</w:t>
            </w:r>
          </w:p>
        </w:tc>
      </w:tr>
      <w:tr>
        <w:trPr>
          <w:cantSplit/>
        </w:trPr>
        <w:tc>
          <w:tcPr>
            <w:tcW w:type="dxa" w:w="1020"/>
            <w:vAlign w:val="center"/>
            <w:shd w:fill="FFFFFF"/>
          </w:tcPr>
          <w:p>
            <w:pPr>
              <w:pStyle w:val="Compact"/>
              <w:spacing w:after="20" w:before="20"/>
              <w:jc w:val="center"/>
              <w:suppressAutoHyphens w:val="1"/>
            </w:pPr>
            <w:r>
              <w:rPr>
                <w:b w:val="0"/>
              </w:rPr>
              <w:t>C</w:t>
            </w:r>
          </w:p>
        </w:tc>
        <w:tc>
          <w:tcPr>
            <w:tcW w:type="dxa" w:w="6746"/>
            <w:vAlign w:val="center"/>
            <w:shd w:fill="FFFFFF"/>
          </w:tcPr>
          <w:p>
            <w:pPr>
              <w:pStyle w:val="Compact"/>
              <w:spacing w:after="20" w:before="20"/>
              <w:suppressAutoHyphens w:val="1"/>
            </w:pPr>
            <w:r>
              <w:rPr>
                <w:b w:val="0"/>
              </w:rPr>
              <w:t>Eigene Leistung in der vereinbarten Rolle</w:t>
            </w:r>
          </w:p>
        </w:tc>
        <w:tc>
          <w:tcPr>
            <w:tcW w:type="dxa" w:w="1417"/>
            <w:vAlign w:val="center"/>
            <w:shd w:fill="FFFFFF"/>
          </w:tcPr>
          <w:p>
            <w:pPr>
              <w:pStyle w:val="Compact"/>
              <w:spacing w:after="20" w:before="20"/>
              <w:suppressAutoHyphens w:val="1"/>
            </w:pPr>
            <w:r>
              <w:rPr>
                <w:b w:val="0"/>
              </w:rPr>
              <w:t>40 BE</w:t>
            </w:r>
          </w:p>
        </w:tc>
      </w:tr>
      <w:tr>
        <w:trPr>
          <w:cantSplit/>
        </w:trPr>
        <w:tc>
          <w:tcPr>
            <w:tcW w:type="dxa" w:w="1020"/>
            <w:vAlign w:val="center"/>
            <w:shd w:fill="F5F8F9"/>
          </w:tcPr>
          <w:p>
            <w:pPr>
              <w:pStyle w:val="Compact"/>
              <w:spacing w:after="20" w:before="20"/>
              <w:jc w:val="center"/>
              <w:suppressAutoHyphens w:val="1"/>
            </w:pPr>
            <w:r>
              <w:rPr>
                <w:b w:val="0"/>
              </w:rPr>
              <w:t>Summe</w:t>
            </w:r>
          </w:p>
        </w:tc>
        <w:tc>
          <w:tcPr>
            <w:tcW w:type="dxa" w:w="6746"/>
            <w:vAlign w:val="center"/>
            <w:shd w:fill="F5F8F9"/>
          </w:tcPr>
          <w:p>
            <w:pPr>
              <w:pStyle w:val="Compact"/>
              <w:spacing w:after="20" w:before="20"/>
              <w:suppressAutoHyphens w:val="1"/>
            </w:pPr>
            <w:r>
              <w:rPr>
                <w:b w:val="0"/>
              </w:rPr>
              <w:t>A + B + C für jede einzelne Person</w:t>
            </w:r>
          </w:p>
        </w:tc>
        <w:tc>
          <w:tcPr>
            <w:tcW w:type="dxa" w:w="1417"/>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(14.6) oder Experimentierbogen (14.7) auswählen und jeder Person genau ein passendes Rollenmodul aus 14.8 zuordnen.</w:t>
      </w:r>
    </w:p>
    <w:p>
      <w:pPr>
        <w:pStyle w:val="ListNumber"/>
        <w:suppressAutoHyphens w:val="1"/>
      </w:pPr>
      <w:r>
        <w:t>Während der Arbeit: Für jede Person gekennzeichnete Ergebnisbeiträge, Beobachtungen und fachliche Belege sammeln. Bei gemeinsamen Produkten müssen Urheberschaft, eigene Entscheidungen und die Verbindung zum Gesamtergebnis erkennbar sein.</w:t>
      </w:r>
    </w:p>
    <w:p>
      <w:pPr>
        <w:pStyle w:val="ListNumber"/>
        <w:suppressAutoHyphens w:val="1"/>
      </w:pPr>
      <w:r>
        <w:t>Bei der Bewertung: Für jedes Kriterium die individuell erreichten BE eintragen und mit einem persönlichen Nachweis begründen. Die eigenen Teilwerte A, B und C addieren. Keine Gruppenwerte übertragen, verteilen oder als Ausgangspunkt verwenden.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eine vorab offenzulegende Bewertungsvereinbarung, keine landesweit vorgeschriebene GKL-Gewichtung. Einzel- und Gruppenarbeit werden nach demselben individuellen Grundsatz bewertet. Ein Rollenwechsel oder eine Kombination von Modulen wird vorab vereinbart; Teil C umfasst insgesamt höchstens 40 BE. Gleiche Punktzahlen sind nur bei jeweils eigenständig belegter, gleichwertiger Leistung möglich, nicht allein aufgrund der Gruppenzugehörigkeit.</w:t>
      </w:r>
    </w:p>
    <w:p>
      <w:pPr>
        <w:pStyle w:val="Heading3"/>
        <w:pageBreakBefore/>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14.6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BE</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Fachliche Qualität des eigenen Beitrags: Die Person liefert einen richtigen, schlüssigen Beitrag zur Leitfrage und verknüpft ihn nachvollziehbar mit dem Gesamtergebnis.</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 Dokumentation: Quellen, Daten und Modelle des eigenen Beitrags sind nachprüfbar; fremde Anteile sind gekennzeichnet.</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BE</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hält fachliche Absprachen ein, dokumentiert ihren Beitrag und verarbeitet Feedback.</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Individueller Ergebnisbeitrag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BE</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Fachliche Qualität des eigenen Beitrags: Der selbst erarbeitete Untersuchungs- oder Auswertungsanteil ist richtig und trägt nachvollziehbar zur gemeinsamen Fragestellung bei.</w:t>
            </w:r>
          </w:p>
        </w:tc>
        <w:tc>
          <w:tcPr>
            <w:tcW w:type="dxa" w:w="624"/>
            <w:vAlign w:val="center"/>
            <w:shd w:fill="FFFFFF"/>
          </w:tcPr>
          <w:p>
            <w:pPr>
              <w:pStyle w:val="Compact"/>
              <w:spacing w:after="20" w:before="20"/>
              <w:jc w:val="center"/>
              <w:suppressAutoHyphens w:val="1"/>
            </w:pPr>
            <w:r>
              <w:rPr>
                <w:b w:val="0"/>
              </w:rPr>
              <w:t>12</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 Dokumentation: Der eigene Anteil an Anleitung, Daten, Auswertung und Schlussfolgerung ist zugeordnet und überprüfbar.</w:t>
            </w:r>
          </w:p>
        </w:tc>
        <w:tc>
          <w:tcPr>
            <w:tcW w:type="dxa" w:w="624"/>
            <w:vAlign w:val="center"/>
            <w:shd w:fill="F5F8F9"/>
          </w:tcPr>
          <w:p>
            <w:pPr>
              <w:pStyle w:val="Compact"/>
              <w:spacing w:after="20" w:before="20"/>
              <w:jc w:val="center"/>
              <w:suppressAutoHyphens w:val="1"/>
              <w:keepNext w:val="true"/>
            </w:pPr>
            <w:r>
              <w:rPr>
                <w:b w:val="0"/>
              </w:rPr>
              <w:t>8</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A</w:t>
            </w:r>
          </w:p>
        </w:tc>
        <w:tc>
          <w:tcPr>
            <w:tcW w:type="dxa" w:w="624"/>
            <w:vAlign w:val="center"/>
            <w:shd w:fill="FFFFFF"/>
          </w:tcPr>
          <w:p>
            <w:pPr>
              <w:pStyle w:val="Compact"/>
              <w:spacing w:after="20" w:before="20"/>
              <w:jc w:val="center"/>
              <w:suppressAutoHyphens w:val="1"/>
            </w:pPr>
            <w:r>
              <w:rPr>
                <w:b w:val="0"/>
              </w:rPr>
              <w:t>20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pPr>
            <w:r>
              <w:rPr>
                <w:b/>
              </w:rPr>
              <w:t>Kriterium und erwartete Leistung</w:t>
            </w:r>
          </w:p>
        </w:tc>
        <w:tc>
          <w:tcPr>
            <w:tcW w:type="dxa" w:w="624"/>
            <w:vAlign w:val="center"/>
            <w:shd w:fill="DDE9EC"/>
          </w:tcPr>
          <w:p>
            <w:pPr>
              <w:pStyle w:val="Compact"/>
              <w:spacing w:after="20" w:before="20"/>
              <w:jc w:val="center"/>
              <w:suppressAutoHyphens w:val="1"/>
            </w:pPr>
            <w:r>
              <w:rPr>
                <w:b/>
              </w:rPr>
              <w:t>Max.</w:t>
            </w:r>
          </w:p>
        </w:tc>
        <w:tc>
          <w:tcPr>
            <w:tcW w:type="dxa" w:w="907"/>
            <w:vAlign w:val="center"/>
            <w:shd w:fill="DDE9EC"/>
          </w:tcPr>
          <w:p>
            <w:pPr>
              <w:pStyle w:val="Compact"/>
              <w:spacing w:after="20" w:before="20"/>
              <w:jc w:val="center"/>
              <w:suppressAutoHyphens w:val="1"/>
            </w:pPr>
            <w:r>
              <w:rPr>
                <w:b/>
              </w:rPr>
              <w:t>BE</w:t>
            </w:r>
          </w:p>
        </w:tc>
        <w:tc>
          <w:tcPr>
            <w:tcW w:type="dxa" w:w="3005"/>
            <w:vAlign w:val="center"/>
            <w:shd w:fill="DDE9EC"/>
          </w:tcPr>
          <w:p>
            <w:pPr>
              <w:pStyle w:val="Compact"/>
              <w:spacing w:after="20" w:before="20"/>
              <w:suppressAutoHyphens w:val="1"/>
            </w:pPr>
            <w:r>
              <w:rPr>
                <w:b/>
              </w:rPr>
              <w:t>Beleg / kurze Begründung</w:t>
            </w:r>
          </w:p>
        </w:tc>
      </w:tr>
      <w:tr>
        <w:trPr>
          <w:cantSplit/>
        </w:trPr>
        <w:tc>
          <w:tcPr>
            <w:tcW w:type="dxa" w:w="453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624"/>
            <w:vAlign w:val="center"/>
            <w:shd w:fill="FFFFFF"/>
          </w:tcPr>
          <w:p>
            <w:pPr>
              <w:pStyle w:val="Compact"/>
              <w:spacing w:after="20" w:before="20"/>
              <w:jc w:val="center"/>
              <w:suppressAutoHyphens w:val="1"/>
            </w:pPr>
            <w:r>
              <w:rPr>
                <w:b w:val="0"/>
              </w:rPr>
              <w:t>15</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624"/>
            <w:vAlign w:val="center"/>
            <w:shd w:fill="F5F8F9"/>
          </w:tcPr>
          <w:p>
            <w:pPr>
              <w:pStyle w:val="Compact"/>
              <w:spacing w:after="20" w:before="20"/>
              <w:jc w:val="center"/>
              <w:suppressAutoHyphens w:val="1"/>
            </w:pPr>
            <w:r>
              <w:rPr>
                <w:b w:val="0"/>
              </w:rPr>
              <w:t>10</w:t>
            </w:r>
          </w:p>
        </w:tc>
        <w:tc>
          <w:tcPr>
            <w:tcW w:type="dxa" w:w="907"/>
            <w:vAlign w:val="center"/>
            <w:shd w:fill="F5F8F9"/>
          </w:tcPr>
          <w:p>
            <w:pPr>
              <w:pStyle w:val="Compact"/>
              <w:spacing w:after="20" w:before="20"/>
              <w:jc w:val="center"/>
              <w:suppressAutoHyphens w:val="1"/>
            </w:pPr>
            <w:r>
              <w:rPr>
                <w:b w:val="0"/>
              </w:rPr>
            </w:r>
          </w:p>
        </w:tc>
        <w:tc>
          <w:tcPr>
            <w:tcW w:type="dxa" w:w="3005"/>
            <w:vAlign w:val="center"/>
            <w:shd w:fill="F5F8F9"/>
          </w:tcPr>
          <w:p>
            <w:pPr>
              <w:pStyle w:val="Compact"/>
              <w:spacing w:after="20" w:before="20"/>
              <w:suppressAutoHyphens w:val="1"/>
            </w:pPr>
            <w:r>
              <w:rPr>
                <w:b w:val="0"/>
              </w:rPr>
            </w:r>
          </w:p>
        </w:tc>
      </w:tr>
      <w:tr>
        <w:trPr>
          <w:cantSplit/>
        </w:trPr>
        <w:tc>
          <w:tcPr>
            <w:tcW w:type="dxa" w:w="453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624"/>
            <w:vAlign w:val="center"/>
            <w:shd w:fill="FFFFFF"/>
          </w:tcPr>
          <w:p>
            <w:pPr>
              <w:pStyle w:val="Compact"/>
              <w:spacing w:after="20" w:before="20"/>
              <w:jc w:val="center"/>
              <w:suppressAutoHyphens w:val="1"/>
            </w:pPr>
            <w:r>
              <w:rPr>
                <w:b w:val="0"/>
              </w:rPr>
              <w:t>10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r>
        <w:trPr>
          <w:cantSplit/>
        </w:trPr>
        <w:tc>
          <w:tcPr>
            <w:tcW w:type="dxa" w:w="4535"/>
            <w:vAlign w:val="center"/>
            <w:shd w:fill="F5F8F9"/>
          </w:tcPr>
          <w:p>
            <w:pPr>
              <w:pStyle w:val="Compact"/>
              <w:spacing w:after="20" w:before="20"/>
              <w:suppressAutoHyphens w:val="1"/>
              <w:keepNext w:val="true"/>
            </w:pPr>
            <w:r>
              <w:rPr>
                <w:b w:val="0"/>
              </w:rPr>
              <w:t>Eigener Arbeitsbeitrag: Sie erfüllt ihren fachlichen Anteil und stimmt Hilfen sowie Übergaben mit der Gruppe ab.</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B</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14.8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NP</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14.8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Quellen und Vergleichbarkeit der Daten fachlich prüfen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Daten für die Präsentation sachgerecht auswerten und aufbereiten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Widersprüchliche Befunde in der Darstellung kenntlich machen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Rechercheweg und eigene Bearbeitung dokumentieren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Fachlich korrekte und zweckmäßige Modelle entwickeln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Darstellungen verständlich beschriften und erläutern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Modellgrenzen sichtbar machen und Fehlvorstellungen vermeiden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Medien funktional und zeitangemessen einsetzen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Befunde zu einer schlüssigen Argumentation verbinden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Gegenargumente und Zielkonflikte angemessen einbeziehen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Diskussion durch präzise Impulse und fachliche Antworten führen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Beiträge adressatengerecht und zeitangemessen strukturieren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Verfahren erproben und kritische Schritte fachlich begründet planen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 verständlich anleiten und Verständnis gezielt prüfen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Freigegebene Schutzmaßnahmen vermitteln und bei Problemen die Lehrkraft angemessen einbeziehen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Material, Zeit und Übergaben vorausschauend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Messkonzept und Qualitätskontrolle sachgerecht umsetzen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bei Messproblemen fachlich gezielt unterstützen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Kursdaten korrekt auswerten und Fehlerquellen berücksichtigen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Rohdaten mit ihrer Herkunft nachvollziehbar zusammenführen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35"/>
        <w:gridCol w:w="624"/>
        <w:gridCol w:w="907"/>
        <w:gridCol w:w="3005"/>
      </w:tblGrid>
      <w:tr>
        <w:trPr>
          <w:cantSplit/>
          <w:tblHeader/>
        </w:trPr>
        <w:tc>
          <w:tcPr>
            <w:tcW w:type="dxa" w:w="4535"/>
            <w:vAlign w:val="center"/>
            <w:shd w:fill="DDE9EC"/>
          </w:tcPr>
          <w:p>
            <w:pPr>
              <w:pStyle w:val="Compact"/>
              <w:spacing w:after="20" w:before="20"/>
              <w:suppressAutoHyphens w:val="1"/>
              <w:keepNext w:val="true"/>
            </w:pPr>
            <w:r>
              <w:rPr>
                <w:b/>
              </w:rPr>
              <w:t>Rollenbezogene Leistung</w:t>
            </w:r>
          </w:p>
        </w:tc>
        <w:tc>
          <w:tcPr>
            <w:tcW w:type="dxa" w:w="624"/>
            <w:vAlign w:val="center"/>
            <w:shd w:fill="DDE9EC"/>
          </w:tcPr>
          <w:p>
            <w:pPr>
              <w:pStyle w:val="Compact"/>
              <w:spacing w:after="20" w:before="20"/>
              <w:jc w:val="center"/>
              <w:suppressAutoHyphens w:val="1"/>
              <w:keepNext w:val="true"/>
            </w:pPr>
            <w:r>
              <w:rPr>
                <w:b/>
              </w:rPr>
              <w:t>Max.</w:t>
            </w:r>
          </w:p>
        </w:tc>
        <w:tc>
          <w:tcPr>
            <w:tcW w:type="dxa" w:w="907"/>
            <w:vAlign w:val="center"/>
            <w:shd w:fill="DDE9EC"/>
          </w:tcPr>
          <w:p>
            <w:pPr>
              <w:pStyle w:val="Compact"/>
              <w:spacing w:after="20" w:before="20"/>
              <w:jc w:val="center"/>
              <w:suppressAutoHyphens w:val="1"/>
              <w:keepNext w:val="true"/>
            </w:pPr>
            <w:r>
              <w:rPr>
                <w:b/>
              </w:rPr>
              <w:t>BE</w:t>
            </w:r>
          </w:p>
        </w:tc>
        <w:tc>
          <w:tcPr>
            <w:tcW w:type="dxa" w:w="3005"/>
            <w:vAlign w:val="center"/>
            <w:shd w:fill="DDE9EC"/>
          </w:tcPr>
          <w:p>
            <w:pPr>
              <w:pStyle w:val="Compact"/>
              <w:spacing w:after="20" w:before="20"/>
              <w:suppressAutoHyphens w:val="1"/>
              <w:keepNext w:val="true"/>
            </w:pPr>
            <w:r>
              <w:rPr>
                <w:b/>
              </w:rPr>
              <w:t>Beobachtungsbeleg</w:t>
            </w:r>
          </w:p>
        </w:tc>
      </w:tr>
      <w:tr>
        <w:trPr>
          <w:cantSplit/>
        </w:trPr>
        <w:tc>
          <w:tcPr>
            <w:tcW w:type="dxa" w:w="4535"/>
            <w:vAlign w:val="center"/>
            <w:shd w:fill="FFFFFF"/>
          </w:tcPr>
          <w:p>
            <w:pPr>
              <w:pStyle w:val="Compact"/>
              <w:spacing w:after="20" w:before="20"/>
              <w:suppressAutoHyphens w:val="1"/>
              <w:keepNext w:val="true"/>
            </w:pPr>
            <w:r>
              <w:rPr>
                <w:b w:val="0"/>
              </w:rPr>
              <w:t>Modell und Materialversuch fachlich passend verknüpfen</w:t>
            </w:r>
          </w:p>
        </w:tc>
        <w:tc>
          <w:tcPr>
            <w:tcW w:type="dxa" w:w="624"/>
            <w:vAlign w:val="center"/>
            <w:shd w:fill="FFFFFF"/>
          </w:tcPr>
          <w:p>
            <w:pPr>
              <w:pStyle w:val="Compact"/>
              <w:spacing w:after="20" w:before="20"/>
              <w:jc w:val="center"/>
              <w:suppressAutoHyphens w:val="1"/>
              <w:keepNext w:val="true"/>
            </w:pPr>
            <w:r>
              <w:rPr>
                <w:b w:val="0"/>
              </w:rPr>
              <w:t>15</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Kursgruppen durch passende Aufgaben und Hilfen anleiten</w:t>
            </w:r>
          </w:p>
        </w:tc>
        <w:tc>
          <w:tcPr>
            <w:tcW w:type="dxa" w:w="624"/>
            <w:vAlign w:val="center"/>
            <w:shd w:fill="F5F8F9"/>
          </w:tcPr>
          <w:p>
            <w:pPr>
              <w:pStyle w:val="Compact"/>
              <w:spacing w:after="20" w:before="20"/>
              <w:jc w:val="center"/>
              <w:suppressAutoHyphens w:val="1"/>
              <w:keepNext w:val="true"/>
            </w:pPr>
            <w:r>
              <w:rPr>
                <w:b w:val="0"/>
              </w:rPr>
              <w:t>10</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keepNext w:val="true"/>
            </w:pPr>
            <w:r>
              <w:rPr>
                <w:b w:val="0"/>
              </w:rPr>
              <w:t>Fehlvorstellungen aufgreifen und Modellgrenzen vermitteln</w:t>
            </w:r>
          </w:p>
        </w:tc>
        <w:tc>
          <w:tcPr>
            <w:tcW w:type="dxa" w:w="624"/>
            <w:vAlign w:val="center"/>
            <w:shd w:fill="FFFFFF"/>
          </w:tcPr>
          <w:p>
            <w:pPr>
              <w:pStyle w:val="Compact"/>
              <w:spacing w:after="20" w:before="20"/>
              <w:jc w:val="center"/>
              <w:suppressAutoHyphens w:val="1"/>
              <w:keepNext w:val="true"/>
            </w:pPr>
            <w:r>
              <w:rPr>
                <w:b w:val="0"/>
              </w:rPr>
              <w:t>10</w:t>
            </w:r>
          </w:p>
        </w:tc>
        <w:tc>
          <w:tcPr>
            <w:tcW w:type="dxa" w:w="907"/>
            <w:vAlign w:val="center"/>
            <w:shd w:fill="FFFFFF"/>
          </w:tcPr>
          <w:p>
            <w:pPr>
              <w:pStyle w:val="Compact"/>
              <w:spacing w:after="20" w:before="20"/>
              <w:jc w:val="center"/>
              <w:suppressAutoHyphens w:val="1"/>
              <w:keepNext w:val="true"/>
            </w:pPr>
            <w:r>
              <w:rPr>
                <w:b w:val="0"/>
              </w:rPr>
            </w:r>
          </w:p>
        </w:tc>
        <w:tc>
          <w:tcPr>
            <w:tcW w:type="dxa" w:w="3005"/>
            <w:vAlign w:val="center"/>
            <w:shd w:fill="FFFFFF"/>
          </w:tcPr>
          <w:p>
            <w:pPr>
              <w:pStyle w:val="Compact"/>
              <w:spacing w:after="20" w:before="20"/>
              <w:suppressAutoHyphens w:val="1"/>
              <w:keepNext w:val="true"/>
            </w:pPr>
            <w:r>
              <w:rPr>
                <w:b w:val="0"/>
              </w:rPr>
            </w:r>
          </w:p>
        </w:tc>
      </w:tr>
      <w:tr>
        <w:trPr>
          <w:cantSplit/>
        </w:trPr>
        <w:tc>
          <w:tcPr>
            <w:tcW w:type="dxa" w:w="4535"/>
            <w:vAlign w:val="center"/>
            <w:shd w:fill="F5F8F9"/>
          </w:tcPr>
          <w:p>
            <w:pPr>
              <w:pStyle w:val="Compact"/>
              <w:spacing w:after="20" w:before="20"/>
              <w:suppressAutoHyphens w:val="1"/>
              <w:keepNext w:val="true"/>
            </w:pPr>
            <w:r>
              <w:rPr>
                <w:b w:val="0"/>
              </w:rPr>
              <w:t>Station, Übergänge und Ergebnissicherung sinnvoll organisieren</w:t>
            </w:r>
          </w:p>
        </w:tc>
        <w:tc>
          <w:tcPr>
            <w:tcW w:type="dxa" w:w="624"/>
            <w:vAlign w:val="center"/>
            <w:shd w:fill="F5F8F9"/>
          </w:tcPr>
          <w:p>
            <w:pPr>
              <w:pStyle w:val="Compact"/>
              <w:spacing w:after="20" w:before="20"/>
              <w:jc w:val="center"/>
              <w:suppressAutoHyphens w:val="1"/>
              <w:keepNext w:val="true"/>
            </w:pPr>
            <w:r>
              <w:rPr>
                <w:b w:val="0"/>
              </w:rPr>
              <w:t>5</w:t>
            </w:r>
          </w:p>
        </w:tc>
        <w:tc>
          <w:tcPr>
            <w:tcW w:type="dxa" w:w="907"/>
            <w:vAlign w:val="center"/>
            <w:shd w:fill="F5F8F9"/>
          </w:tcPr>
          <w:p>
            <w:pPr>
              <w:pStyle w:val="Compact"/>
              <w:spacing w:after="20" w:before="20"/>
              <w:jc w:val="center"/>
              <w:suppressAutoHyphens w:val="1"/>
              <w:keepNext w:val="true"/>
            </w:pPr>
            <w:r>
              <w:rPr>
                <w:b w:val="0"/>
              </w:rPr>
            </w:r>
          </w:p>
        </w:tc>
        <w:tc>
          <w:tcPr>
            <w:tcW w:type="dxa" w:w="3005"/>
            <w:vAlign w:val="center"/>
            <w:shd w:fill="F5F8F9"/>
          </w:tcPr>
          <w:p>
            <w:pPr>
              <w:pStyle w:val="Compact"/>
              <w:spacing w:after="20" w:before="20"/>
              <w:suppressAutoHyphens w:val="1"/>
              <w:keepNext w:val="true"/>
            </w:pPr>
            <w:r>
              <w:rPr>
                <w:b w:val="0"/>
              </w:rPr>
            </w:r>
          </w:p>
        </w:tc>
      </w:tr>
      <w:tr>
        <w:trPr>
          <w:cantSplit/>
        </w:trPr>
        <w:tc>
          <w:tcPr>
            <w:tcW w:type="dxa" w:w="4535"/>
            <w:vAlign w:val="center"/>
            <w:shd w:fill="FFFFFF"/>
          </w:tcPr>
          <w:p>
            <w:pPr>
              <w:pStyle w:val="Compact"/>
              <w:spacing w:after="20" w:before="20"/>
              <w:suppressAutoHyphens w:val="1"/>
            </w:pPr>
            <w:r>
              <w:rPr>
                <w:b w:val="0"/>
              </w:rPr>
              <w:t>Summe C</w:t>
            </w:r>
          </w:p>
        </w:tc>
        <w:tc>
          <w:tcPr>
            <w:tcW w:type="dxa" w:w="624"/>
            <w:vAlign w:val="center"/>
            <w:shd w:fill="FFFFFF"/>
          </w:tcPr>
          <w:p>
            <w:pPr>
              <w:pStyle w:val="Compact"/>
              <w:spacing w:after="20" w:before="20"/>
              <w:jc w:val="center"/>
              <w:suppressAutoHyphens w:val="1"/>
            </w:pPr>
            <w:r>
              <w:rPr>
                <w:b w:val="0"/>
              </w:rPr>
              <w:t>40</w:t>
            </w:r>
          </w:p>
        </w:tc>
        <w:tc>
          <w:tcPr>
            <w:tcW w:type="dxa" w:w="907"/>
            <w:vAlign w:val="center"/>
            <w:shd w:fill="FFFFFF"/>
          </w:tcPr>
          <w:p>
            <w:pPr>
              <w:pStyle w:val="Compact"/>
              <w:spacing w:after="20" w:before="20"/>
              <w:jc w:val="center"/>
              <w:suppressAutoHyphens w:val="1"/>
            </w:pPr>
            <w:r>
              <w:rPr>
                <w:b w:val="0"/>
              </w:rPr>
            </w:r>
          </w:p>
        </w:tc>
        <w:tc>
          <w:tcPr>
            <w:tcW w:type="dxa" w:w="3005"/>
            <w:vAlign w:val="center"/>
            <w:shd w:fill="FFFFFF"/>
          </w:tcPr>
          <w:p>
            <w:pPr>
              <w:pStyle w:val="Compact"/>
              <w:spacing w:after="20" w:before="20"/>
              <w:suppressAutoHyphens w:val="1"/>
            </w:pPr>
            <w:r>
              <w:rPr>
                <w:b w:val="0"/>
              </w:rPr>
            </w:r>
          </w:p>
        </w:tc>
      </w:tr>
    </w:tbl>
    <w:p>
      <w:pPr>
        <w:pStyle w:val="Heading2"/>
        <w:pageBreakBefore/>
        <w:suppressAutoHyphens w:val="1"/>
      </w:pPr>
      <w:r>
        <w:t>14.9 Beispiel einer individuellen Bewertung</w:t>
      </w:r>
    </w:p>
    <w:p>
      <w:pPr>
        <w:suppressAutoHyphens w:val="0"/>
        <w:jc w:val="both"/>
      </w:pPr>
      <w:r>
        <w:rPr>
          <w:lang w:val="de-DE"/>
        </w:rPr>
        <w:t>Drei Personen führen gemeinsam eine analytische Kursuntersuchung durch. Alle Werte werden für jede Person anhand eigener Nachweise vergeben. Auch in Teil A ergeben sich unterschiedliche Punktzahlen: Bewertet wird der jeweilige Ergebnisbeitrag, nicht die Gruppe als Ganzes.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Summe</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12</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68</w:t>
            </w:r>
          </w:p>
        </w:tc>
        <w:tc>
          <w:tcPr>
            <w:tcW w:type="dxa" w:w="1286"/>
            <w:vAlign w:val="center"/>
            <w:shd w:fill="F5F8F9"/>
          </w:tcPr>
          <w:p>
            <w:pPr>
              <w:pStyle w:val="Compact"/>
              <w:spacing w:after="20" w:before="20"/>
              <w:suppressAutoHyphens w:val="1"/>
            </w:pPr>
            <w:r>
              <w:rPr>
                <w:b w:val="0"/>
              </w:rPr>
              <w:t>9</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19</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91</w:t>
            </w:r>
          </w:p>
        </w:tc>
        <w:tc>
          <w:tcPr>
            <w:tcW w:type="dxa" w:w="1286"/>
            <w:vAlign w:val="center"/>
            <w:shd w:fill="FFFFFF"/>
          </w:tcPr>
          <w:p>
            <w:pPr>
              <w:pStyle w:val="Compact"/>
              <w:spacing w:after="20" w:before="20"/>
              <w:suppressAutoHyphens w:val="1"/>
            </w:pPr>
            <w:r>
              <w:rPr>
                <w:b w:val="0"/>
              </w:rPr>
              <w:t>14</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Eigener Ergebnisbeitrag 10/12; eigene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Summe</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Auch bei einem gemeinsamen Produkt entstehen vollständig individuelle Bewertungen. Die Werte in Teil A beruhen hier auf 10 + 6 BE für Person A, 8 + 4 BE für Person B und 12 + 7 BE für Person C. Stärken oder Fehler anderer Personen werden nicht pauschal zugerechnet. Bewertet wird auch, wie die einzelne Person ihren Beitrag fachlich mit den anderen Beiträgen verbindet.</w:t>
      </w:r>
    </w:p>
    <w:p>
      <w:pPr>
        <w:pStyle w:val="Heading3"/>
        <w:suppressAutoHyphens w:val="1"/>
      </w:pPr>
      <w:r>
        <w:t>Abgrenzung der Kriterien</w:t>
      </w:r>
    </w:p>
    <w:p>
      <w:pPr>
        <w:suppressAutoHyphens w:val="0"/>
        <w:jc w:val="both"/>
      </w:pPr>
      <w:r>
        <w:rPr>
          <w:lang w:val="de-DE"/>
        </w:rPr>
        <w:t>Teil A beurteilt die fachliche Qualität und Dokumentation des persönlich erarbeiteten Ergebnisses. Teil B erfasst dessen Verständnis, Begründung und Reflexion im individuellen Gespräch. Teil C beurteilt das eigene Vorgehen in der vereinbarten Rolle, einschließlich des nachgewiesenen Beitrags zur Zusammenarbeit. Ein gemeinsames Produkt dient als Bezug, erhält aber keine übertragbare Gruppenpunktzahl. Dieselbe Teilleistung wird nicht doppelt bepunktet. Bei Einzelarbeit entfällt die Bewertung nicht erbrachter Gruppenhandlungen.</w:t>
      </w:r>
    </w:p>
    <w:p>
      <w:bookmarkStart w:id="9901" w:name="vier_k_gkl"/>
      <w:pPr>
        <w:pStyle w:val="Heading2"/>
        <w:pageBreakBefore/>
        <w:suppressAutoHyphens w:val="1"/>
      </w:pPr>
      <w:r>
        <w:t>14.10 Die vier K in Aufgaben und Bewertung</w:t>
      </w:r>
      <w:bookmarkEnd w:id="9901"/>
    </w:p>
    <w:p>
      <w:pPr>
        <w:suppressAutoHyphens w:val="0"/>
        <w:jc w:val="both"/>
      </w:pPr>
      <w:r>
        <w:rPr>
          <w:lang w:val="de-DE"/>
        </w:rPr>
        <w:t>Kreativität, Kollaboration, Kommunikation und kritisches Denken werden in den Aufgaben 14.2 bis 14.4 sowie 14.11 und 14.12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pageBreakBefore/>
        <w:suppressAutoHyphens w:val="1"/>
      </w:pPr>
      <w:r>
        <w:t>Konkretisierung der Beispielaufgaben</w:t>
      </w:r>
    </w:p>
    <w:p>
      <w:pPr>
        <w:suppressAutoHyphens w:val="0"/>
        <w:jc w:val="both"/>
      </w:pPr>
      <w:r>
        <w:rPr>
          <w:lang w:val="de-DE"/>
        </w:rPr>
        <w:t>Präsentation (14.2):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(14.3):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(14.4):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pPr>
        <w:pStyle w:val="Heading2"/>
        <w:pageBreakBefore/>
        <w:suppressAutoHyphens w:val="1"/>
      </w:pPr>
      <w:r>
        <w:t>14.11 EF Beispiel zu Stoffkreisläufen</w:t>
      </w:r>
    </w:p>
    <w:p>
      <w:pPr>
        <w:suppressAutoHyphens w:val="0"/>
        <w:jc w:val="both"/>
      </w:pPr>
      <w:r>
        <w:t>Leitfrage: Wenn das Meer CO₂ aufnimmt – ist das Klimaproblem damit gelöst? Bezug: Kohlenstoffkreislauf, chemisches Gleichgewicht und Klima. Format: experimentelle Aufgabe mit begründeter Ergebnisdarstellung; einzeln oder im Team aus bis zu drei Personen. Voraussetzung sind die im Unterricht erarbeiteten Grundlagen zu Kohlenstoffdioxid und chemischen Gleichgewichten.</w:t>
      </w:r>
    </w:p>
    <w:p>
      <w:pPr>
        <w:suppressAutoHyphens w:val="0"/>
        <w:jc w:val="both"/>
      </w:pPr>
      <w:r>
        <w:t>Auftrag: Untersuchen Sie an einem freigegebenen Modellversuch, wie Erwärmung den Austausch von Kohlenstoffdioxid zwischen Wasser und Luft beeinflusst. Verbinden Sie Ihre Befunde mit einem selbst erstellten Schaubild des Kohlenstoffkreislaufs. Prüfen Sie anschließend die Behauptung, die Aufnahme von CO₂ durch die Meere mache eine Verringerung menschlicher Emissionen überflüssig.</w:t>
      </w:r>
    </w:p>
    <w:p>
      <w:pPr>
        <w:suppressAutoHyphens w:val="0"/>
        <w:jc w:val="both"/>
      </w:pPr>
      <w:r>
        <w:t>Planung und Erprobung: Formulieren Sie eine überprüfbare Vermutung. Entwickeln Sie zwei geeignete Varianten der Untersuchung und begründen Sie Ihre Auswahl. Vereinbaren Sie mit der Lehrkraft Material, Temperaturbereich, Messverfahren und Schutzmaßnahmen. Halten Sie Ausgangsprobe, Flüssigkeitsvolumen, Gefäßform und Beobachtungsdauer bei Vergleichsansätzen möglichst gleich.</w:t>
      </w:r>
    </w:p>
    <w:p>
      <w:pPr>
        <w:suppressAutoHyphens w:val="0"/>
        <w:jc w:val="both"/>
      </w:pPr>
      <w:r>
        <w:t>Modellversuch: Vergleichen Sie gleiche Teilproben desselben kohlensäurehaltigen Wassers bei unterschiedlichen Temperaturen. Dokumentieren Sie Temperatur, Gasentwicklung und den mit einem geeigneten Verfahren bestimmten pH-Wert im zeitlichen Verlauf. Eine nicht erwärmte Teilprobe dient als Vergleich; eine zusätzliche Probe ohne zugesetztes CO₂ hilft, Einflüsse des Wassers und des Messverfahrens zu erkennen. Führen Sie Vergleichsmessungen durch und beachten Sie den Temperatureinfluss auf die pH-Messung. Erwärmte Gefäße dürfen nicht gasdicht verschlossen werden. Die konkrete Durchführung erfolgt ausschließlich nach freigegebener Anleitung und unter Aufsicht.</w:t>
      </w:r>
    </w:p>
    <w:p>
      <w:pPr>
        <w:suppressAutoHyphens w:val="0"/>
        <w:jc w:val="both"/>
      </w:pPr>
      <w:r>
        <w:t>Auswertung: Trennen Sie Beobachtung und Erklärung. Erläutern Sie den Austausch CO₂(g) ⇌ CO₂(aq) und die damit gekoppelten Säure-Base-Gleichgewichte auf dem im Unterricht behandelten Niveau. Ein pH-Wert ist kein direktes Maß für die gesamte gelöste Kohlenstoffmenge. Gasblasen allein erlauben keine quantitative Bestimmung der CO₂-Abgabe. Bloßes Abkühlen führt in einem offenen Gefäß nicht zwangsläufig zum Ausgangszustand zurück, weil zuvor Gas entweichen konnte.</w:t>
      </w:r>
    </w:p>
    <w:p>
      <w:pPr>
        <w:pStyle w:val="Heading2"/>
        <w:pageBreakBefore/>
        <w:suppressAutoHyphens w:val="1"/>
      </w:pPr>
      <w:r>
        <w:t>14.11 EF Beispiel zu Stoffkreisläufen Fortsetzung</w:t>
      </w:r>
    </w:p>
    <w:p>
      <w:pPr>
        <w:suppressAutoHyphens w:val="0"/>
        <w:jc w:val="both"/>
      </w:pPr>
      <w:r>
        <w:t>Vom Versuch zum Stoffkreislauf: Stellen Sie Atmosphäre, Ozean, Biosphäre und Gesteine als Kohlenstoffspeicher dar. Kennzeichnen Sie Austauschprozesse, menschliche Eingriffe und unterschiedliche Zeitskalen. Unterscheiden Sie die Größe eines Speichers von einem Stoffstrom pro Zeit. Begründen Sie, warum Mineralwasser kein vollständiges Modell des Meerwassers ist: Salzgehalt, Pufferung, Strömungen und biologische Prozesse werden im Versuch nicht angemessen erfasst.</w:t>
      </w:r>
    </w:p>
    <w:p>
      <w:pPr>
        <w:suppressAutoHyphens w:val="0"/>
        <w:jc w:val="both"/>
      </w:pPr>
      <w:r>
        <w:t>Materialgestützte Bilanz: Werten Sie von der Lehrkraft bereitgestellte oder selbst überprüfte Daten zu Kohlenstoffspeichern und Stoffströmen aus. Nennen Sie Quelle, Bezugszeitraum, Einheit und Unsicherheiten. Als ausdrücklich vereinfachte Übungsdaten, nicht als aktuelle globale Messwerte, erhält ein Modellozean jährlich 9 Gt Kohlenstoff und gibt 7 Gt wieder ab. Berechnen und erklären Sie die jährliche Bestandsänderung. Prüfen Sie, was eine zusätzlich freigesetzte Menge von 1 Gt Kohlenstoff bei sonst unveränderten Stoffströmen an dieser Bilanz ändert.</w:t>
      </w:r>
    </w:p>
    <w:p>
      <w:pPr>
        <w:suppressAutoHyphens w:val="0"/>
        <w:jc w:val="both"/>
      </w:pPr>
      <w:r>
        <w:t>Fachlicher Erwartungshorizont zur Rechnung: Δm(C) = m(C, hinein) − m(C, hinaus) = 9 Gt − 7 Gt = 2 Gt pro Jahr. Bei einer zusätzlichen Abgabe von 1 Gt beträgt die Zunahme nur noch 1 Gt pro Jahr; der Modellozean bleibt unter diesen Annahmen eine Netto-Senke. Kohlenstoffmasse und CO₂-Masse sind nicht gleich: m(CO₂) = m(C) · 44/12. Eine Aufnahme von 2 Gt Kohlenstoff entspricht damit rund 7,3 Gt CO₂. Die Bilanz beschreibt weder die vorhandene Gesamtmenge noch eine unbegrenzt fortsetzbare Speicherung.</w:t>
      </w:r>
    </w:p>
    <w:p>
      <w:pPr>
        <w:suppressAutoHyphens w:val="0"/>
        <w:jc w:val="both"/>
      </w:pPr>
      <w:r>
        <w:t>Beurteilung und Transfer: Beantworten Sie die Leitfrage mit Belegen aus Versuch und Datenmaterial. Erklären Sie, warum die Aufnahme von CO₂ den Anstieg in der Atmosphäre vermindern kann, aber Emissionen nicht ungeschehen macht. Berücksichtigen Sie die Veränderung der Wasserchemie und die Grenzen des Modellversuchs. Untersuchen Sie als Transfer, welche Folgen eine Erwärmung oder eine Änderung eines Stoffstroms haben könnte, ohne daraus eine unbelegte quantitative Klimaprognose abzuleiten.</w:t>
      </w:r>
    </w:p>
    <w:p>
      <w:pPr>
        <w:suppressAutoHyphens w:val="0"/>
        <w:jc w:val="both"/>
      </w:pPr>
      <w:r>
        <w:t>Produkte und individueller Nachweis: Abzugeben sind Versuchsplanung und Erprobungsprotokoll, gekennzeichnete Rohdaten, eine fachlich erläuterte Auswertung, das Kreislaufschaubild mit Quellen sowie eine begründete Antwort auf die Leitfrage. Jede Person dokumentiert eigene Entscheidungen und erläutert im Fachgespräch eine Gleichgewichtsverschiebung, eine Bilanzrechnung und eine Modellgrenze.</w:t>
      </w:r>
    </w:p>
    <w:p>
      <w:pPr>
        <w:suppressAutoHyphens w:val="0"/>
        <w:jc w:val="both"/>
      </w:pPr>
      <w:r>
        <w:t>Bewertung und vier K: Für die experimentelle Aufgabe wird der Bogen aus 14.7 verwendet. In Teil C werden vorab passende Kriterien vereinbart: Bei E1 tritt die nachvollziehbare Dokumentation der eigenen Durchführung an die Stelle der Kursanleitung; bei E2 wird der eigene Umgang mit Messproblemen statt der Unterstützung von Kursgruppen bewertet. Die jeweiligen Höchstwerte bleiben unverändert. Kreativität zeigt sich in begründet verglichenen Versuchs- oder Darstellungsvarianten, Kommunikation in der verständlichen Erklärung, kritisches Denken in Quellenprüfung und Modellkritik. Bei Teamarbeit wird Kollaboration durch dokumentierte Absprachen und individuelle Beiträge nachgewiesen; bei Einzelarbeit wird keine Gruppenleistung vorausgesetzt.</w:t>
      </w:r>
    </w:p>
    <w:p>
      <w:pPr>
        <w:pStyle w:val="Heading2"/>
        <w:pageBreakBefore/>
        <w:suppressAutoHyphens w:val="1"/>
      </w:pPr>
      <w:r>
        <w:t>14.12 GKL Beispiel zum Lithium Eisenphosphat Akku</w:t>
      </w:r>
    </w:p>
    <w:p>
      <w:pPr>
        <w:suppressAutoHyphens w:val="0"/>
        <w:jc w:val="both"/>
      </w:pPr>
      <w:r>
        <w:t>Leitfrage: Mittags Sonne tanken, abends das Handy laden – eignet sich ein Lithium-Eisenphosphat-Akku als Speicher? Bezug: Elektrochemische Energiespeicherung im Grundkurs, Redoxreaktionen und Bewertung technischer Anwendungen. Format: materialgestützte Präsentation mit einem selbst entwickelten Funktionsmodell; einzeln oder im Team aus bis zu drei Personen.</w:t>
      </w:r>
    </w:p>
    <w:p>
      <w:pPr>
        <w:suppressAutoHyphens w:val="0"/>
        <w:jc w:val="both"/>
      </w:pPr>
      <w:r>
        <w:t>Auftrag: Erklären Sie das Laden und Entladen einer Lithium-Eisenphosphat-Zelle mit Graphitelektrode. Vergleichen Sie zwei selbst entwickelte Darstellungen und begründen Sie Ihre Auswahl. Ein begrenztes Materialpaket liefert Elektrodenschemata, Kenndaten und eine Entladekurve. Beurteilen Sie damit die Eignung des Speichers.</w:t>
      </w:r>
    </w:p>
    <w:p>
      <w:pPr>
        <w:suppressAutoHyphens w:val="0"/>
        <w:jc w:val="both"/>
      </w:pPr>
      <w:r>
        <w:t>Fachlicher Kern: Unterscheiden Sie Elektronenfluss im äußeren Stromkreis und Lithium-Ionen-Transport durch den Elektrolyten. Beim Entladen wird Lithium aus Graphit ausgelagert und in die Eisenphosphat-Elektrode eingelagert; dort wird Eisen(III) zu Eisen(II) reduziert. Beim Laden kehren sich die Vorgänge unter Energiezufuhr um. Kennzeichnen Sie für beide Betriebszustände Plus- und Minuspol, Oxidation und Reduktion. Erklären Sie Ladungsausgleich und Stoffveränderungen.</w:t>
      </w:r>
    </w:p>
    <w:p>
      <w:pPr>
        <w:suppressAutoHyphens w:val="0"/>
        <w:jc w:val="both"/>
      </w:pPr>
      <w:r>
        <w:t>Datenaufgabe: Vereinfachte Übungsdaten sind eine mittlere Entladespannung von 3,2 V und eine entnehmbare Ladung von 5,0 Ah. Ein Verbraucher benötigt 10 Wh; 80 % der abgegebenen Energie werden für ihn nutzbar. Berechnen Sie Energieinhalt und nutzbare Energie. Welche Angaben fehlen für eine verlässliche technische Entscheidung?</w:t>
      </w:r>
    </w:p>
    <w:p>
      <w:pPr>
        <w:suppressAutoHyphens w:val="0"/>
        <w:jc w:val="both"/>
      </w:pPr>
      <w:r>
        <w:t>Erwartungshorizont: 3,2 V · 5,0 Ah ergeben näherungsweise 16 Wh; nach den angesetzten Verlusten stehen 12,8 Wh zur Verfügung. Der Bedarf von 10 Wh wird im vereinfachten Modell gedeckt. Amperestunden beschreiben elektrische Ladung, nicht Energie. Reale Entladespannung, nutzbarer Ladebereich, Temperatur, Alterung und benötigte Leistung begrenzen die Aussage. Die Zahlen sind Übungsdaten und keine zugesicherten Kennwerte eines Handelsprodukts.</w:t>
      </w:r>
    </w:p>
    <w:p>
      <w:pPr>
        <w:suppressAutoHyphens w:val="0"/>
        <w:jc w:val="both"/>
      </w:pPr>
      <w:r>
        <w:t>Arbeitsumfang und Sicherheit: Produkt ist eine kurze Präsentation zu einem Akkutyp mit Modell, Rechnung und Urteil. Der individuelle Gesamtaufwand folgt 14.1; eine Marktstudie entfällt. Akkus werden weder geöffnet noch kurzgeschlossen, erhitzt oder mit improvisierten Geräten geladen. Ein praktischer Eingriff ist nicht vorgesehen.</w:t>
      </w:r>
    </w:p>
    <w:p>
      <w:pPr>
        <w:suppressAutoHyphens w:val="0"/>
        <w:jc w:val="both"/>
      </w:pPr>
      <w:r>
        <w:t>Individuelle Bewertung: Jede Person kennzeichnet ihren Beitrag und erklärt im Fachgespräch den Redoxvorgang sowie eine Modellgrenze. Es gilt 14.6 mit P1, P2 oder P3; alle Punkte einschließlich Teil A werden individuell vergeben. Die vier K werden am Modellvergleich, an Datenprüfung, Erklärung und gegebenenfalls am eigenen Beitrag zur Zusammenarbeit sichtbar.</w:t>
      </w:r>
    </w:p>
    <w:p>
      <w:pPr>
        <w:suppressAutoHyphens w:val="0"/>
        <w:jc w:val="both"/>
      </w:pPr>
      <w:r>
        <w:t>Materialgrundlage: U.S. Department of Energy, Defects and Surface Reactions Boost Batteries: energy.gov/science/bes/articles/defects-and-surface-reactions-boost-batteries. Die Lehrkraft ergänzt ein geprüftes Elektrodenschema und passende Kenndaten.</w:t>
      </w:r>
    </w:p>
    <w:p>
      <w:pPr>
        <w:pStyle w:val="Heading1"/>
        <w:jc w:val="left"/>
        <w:pageBreakBefore/>
      </w:pPr>
      <w:r>
        <w:rPr/>
        <w:t xml:space="preserve">15 Abiturprüfung</w:t>
      </w:r>
      <w:bookmarkStart w:id="9909" w:name="abiturpruefung"/>
      <w:bookmarkEnd w:id="9909"/>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9910" w:name="abitur_schriftlich"/>
      <w:bookmarkEnd w:id="9910"/>
    </w:p>
    <w:p>
      <w:pPr>
        <w:jc w:val="both"/>
      </w:pPr>
      <w:r>
        <w:rPr/>
        <w:t xml:space="preserve">Im ersten bis dritten Abiturfach werden zentrale Aufgaben gestellt. Zugelassen sind materialgebundene Aufgaben, gegebenenfalls mit Demonstrationsexperiment, und fachpraktische Aufgaben. Für das Abitur 2030 wird auf Grundlage der derzeit veröffentlichten Zeitvorgaben voraussichtlich mit 255 Minuten im Grundkurs und 300 Minuten im Leistungskurs gerechnet, jeweils einschließlich Auswahlzeit. Diese Planungsannahme ist noch keine verbindliche Festlegung für 2030. Bei fachpraktischen Aufgaben kann sich die Gesamtarbeitszeit um die in der Aufgabe ausgewiesene Zusatzzeit erhöhen. Die konkreten Auswahlmöglichkeiten, Bearbeitungszeiten, Bewertungseinheiten und Hilfsmittel richten sich nach den endgültig veröffentlichten Vorgaben des jeweiligen Abiturjahres, für diese Fassung regulär erstmals 2030. Korrektur und Zweitkorrektur folgen dem amtlichen Bewertungsraster. Das im Unterricht geübte Auswahlformat und die derzeitigen Konstruktionsvorgaben sind vor der Klausur unter Abiturbedingungen mit den jahrgangsbezogenen Vorgaben abzugleichen. Anforderungsbereiche und schulischer Notenschlüssel sind in Kapitel 13 erläutert.</w:t>
      </w:r>
    </w:p>
    <w:p>
      <w:pPr>
        <w:pStyle w:val="Heading2"/>
        <w:jc w:val="left"/>
      </w:pPr>
      <w:r>
        <w:rPr/>
        <w:t xml:space="preserve">15.2 Mündliche Prüfung und Fachgespräch</w:t>
      </w:r>
      <w:bookmarkStart w:id="9911" w:name="abitur_muendlich"/>
      <w:bookmarkEnd w:id="9911"/>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9912" w:name="abitur_bewertung"/>
      <w:bookmarkEnd w:id="9912"/>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r>
        <w:rPr>
          <w:b w:val="0"/>
        </w:rPr>
        <w:t xml:space="preserve">Amtliche Grundlagen: </w:t>
      </w:r>
      <w:hyperlink r:id="rId31">
        <w:r>
          <w:rPr>
            <w:color w:val="17594E"/>
          </w:rPr>
          <w:t>APO-GOSt §§ 33–36</w:t>
        </w:r>
      </w:hyperlink>
      <w:r>
        <w:rPr>
          <w:b w:val="0"/>
        </w:rPr>
        <w:t xml:space="preserve"> · </w:t>
      </w:r>
      <w:hyperlink r:id="rId55">
        <w:r>
          <w:rPr>
            <w:color w:val="17594E"/>
          </w:rPr>
          <w:t>Kernlehrplan Chemie 2026, Kapitel 4</w:t>
        </w:r>
      </w:hyperlink>
    </w:p>
    <w:p>
      <w:bookmarkStart w:id="50" w:name="fuenftes"/>
      <w:pPr>
        <w:pStyle w:val="Heading1"/>
        <w:pageBreakBefore/>
        <w:suppressAutoHyphens w:val="1"/>
      </w:pPr>
      <w:r>
        <w:t>16 Vorbereitung auf das fünfte Abiturfach</w:t>
      </w:r>
      <w:bookmarkEnd w:id="50"/>
    </w:p>
    <w:p>
      <w:pPr>
        <w:pStyle w:val="Heading2"/>
        <w:suppressAutoHyphens w:val="1"/>
      </w:pPr>
      <w:r>
        <w:t>16.1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16.2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66">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67">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9913" w:name="produkte_rechtsgrundlage"/>
      <w:bookmarkEnd w:id="9913"/>
      <w:r>
        <w:rPr/>
        <w:t xml:space="preserve">Welche Produkte und Leistungsnachweise kommen infrage</w:t>
      </w:r>
    </w:p>
    <w:p>
      <w:pPr>
        <w:jc w:val="both"/>
        <w:keepLines/>
      </w:pPr>
      <w:r>
        <w:rPr/>
        <w:t xml:space="preserve">Die Prüfungsgrundlagen sind nicht auf gebaute Gegenstände oder GKL beschränkt. </w:t>
      </w:r>
      <w:hyperlink r:id="rIdProducts71">
        <w:r>
          <w:rPr>
            <w:color w:val="174D72"/>
            <w:u w:val="single"/>
          </w:rPr>
          <w:t xml:space="preserve">§ 35 Absatz 2 APO-GOSt</w:t>
        </w:r>
      </w:hyperlink>
      <w:r>
        <w:rPr/>
        <w:t xml:space="preserve"> verweist auf Leistungsnachweise der Qualifikationsphase nach </w:t>
      </w:r>
      <w:hyperlink r:id="rIdProducts72">
        <w:r>
          <w:rPr>
            <w:color w:val="174D72"/>
            <w:u w:val="single"/>
          </w:rPr>
          <w:t xml:space="preserve">§ 14 Absatz 3</w:t>
        </w:r>
      </w:hyperlink>
      <w:r>
        <w:rPr/>
        <w:t xml:space="preserve"> und </w:t>
      </w:r>
      <w:hyperlink r:id="rIdProducts73">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74">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75">
        <w:r>
          <w:rPr>
            <w:color w:val="174D72"/>
            <w:u w:val="single"/>
          </w:rPr>
          <w:t xml:space="preserve">§ 35 Absatz 2 und VV 35.2.2</w:t>
        </w:r>
      </w:hyperlink>
      <w:r>
        <w:rPr/>
        <w:t xml:space="preserve"> dokumentiert. Die Prüfung muss nach </w:t>
      </w:r>
      <w:hyperlink r:id="rIdProducts76">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77">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9914" w:name="produkte_beispiel_1"/>
      <w:bookmarkEnd w:id="9914"/>
      <w:r>
        <w:rPr/>
        <w:t xml:space="preserve">Beispiel 1 · Batterien und Brennstoffzellen</w:t>
      </w:r>
    </w:p>
    <w:p>
      <w:pPr>
        <w:jc w:val="both"/>
        <w:keepLines/>
        <w:keepNext/>
      </w:pPr>
      <w:r>
        <w:rPr>
          <w:b/>
        </w:rPr>
        <w:t xml:space="preserve">Zwei mögliche Leistungsnachweise.</w:t>
      </w:r>
      <w:r>
        <w:rPr/>
        <w:t xml:space="preserve"> Eine eigene Klausurbearbeitung zu einem Akkumulator und eine weitere Klausurbearbeitung zu einer Wasserstoff-Brennstoffzelle. Beide gehören zum Beurteilungsbereich „Schriftliche Arbeiten“.</w:t>
      </w:r>
    </w:p>
    <w:p>
      <w:pPr>
        <w:jc w:val="both"/>
        <w:keepLines/>
        <w:keepNext/>
      </w:pPr>
      <w:r>
        <w:rPr>
          <w:b/>
        </w:rPr>
        <w:t xml:space="preserve">Übergreifende Fragestellung.</w:t>
      </w:r>
      <w:r>
        <w:rPr/>
        <w:t xml:space="preserve"> Wie bestimmen die elektrochemischen Reaktionen die Möglichkeiten und Grenzen beider Systeme zur Energieversorgung?</w:t>
      </w:r>
    </w:p>
    <w:p>
      <w:pPr>
        <w:jc w:val="both"/>
        <w:keepLines/>
      </w:pPr>
      <w:r>
        <w:rPr>
          <w:b/>
        </w:rPr>
        <w:t xml:space="preserve">Fachliche Verknüpfung und Reflexion.</w:t>
      </w:r>
      <w:r>
        <w:rPr/>
        <w:t xml:space="preserve"> Die Präsentation verknüpft Redoxreaktionen, Elektrodenreaktionen und Energieumwandlungen. Sie vergleicht die eigenen Lösungswege, überprüft die verwendeten Systemgrenzen und begründet, unter welchen Nutzungsbedingungen die betrachteten Systeme geeignet sind.</w:t>
      </w:r>
    </w:p>
    <w:p>
      <w:pPr>
        <w:pStyle w:val="Heading3"/>
        <w:jc w:val="left"/>
        <w:keepNext/>
      </w:pPr>
      <w:bookmarkStart w:id="9915" w:name="produkte_beispiel_2"/>
      <w:bookmarkEnd w:id="9915"/>
      <w:r>
        <w:rPr/>
        <w:t xml:space="preserve">Beispiel 2 · Wie zuverlässig ist eine chemische Analyse</w:t>
      </w:r>
    </w:p>
    <w:p>
      <w:pPr>
        <w:jc w:val="both"/>
        <w:keepLines/>
        <w:keepNext/>
      </w:pPr>
      <w:r>
        <w:rPr>
          <w:b/>
        </w:rPr>
        <w:t xml:space="preserve">Zwei mögliche Leistungsnachweise.</w:t>
      </w:r>
      <w:r>
        <w:rPr/>
        <w:t xml:space="preserve"> Eine experimentelle GKL, bei der der Kurs zur Säurebestimmung durch Titration angeleitet wurde, und ein als Sonstige Mitarbeit bewerteter Untersuchungsbericht zur Konzentrationsbestimmung mittels Kalibrierkurve, beispielsweise durch Fotometrie.</w:t>
      </w:r>
    </w:p>
    <w:p>
      <w:pPr>
        <w:jc w:val="both"/>
        <w:keepLines/>
        <w:keepNext/>
      </w:pPr>
      <w:r>
        <w:rPr>
          <w:b/>
        </w:rPr>
        <w:t xml:space="preserve">Übergreifende Fragestellung.</w:t>
      </w:r>
      <w:r>
        <w:rPr/>
        <w:t xml:space="preserve"> Wie beeinflussen chemische Grundlagen, Verfahrenswahl und Messunsicherheiten die Aussagekraft einer Analyse?</w:t>
      </w:r>
    </w:p>
    <w:p>
      <w:pPr>
        <w:jc w:val="both"/>
        <w:keepLines/>
      </w:pPr>
      <w:r>
        <w:rPr>
          <w:b/>
        </w:rPr>
        <w:t xml:space="preserve">Fachliche Verknüpfung und Reflexion.</w:t>
      </w:r>
      <w:r>
        <w:rPr/>
        <w:t xml:space="preserve"> Verglichen werden das stöchiometrische Verfahren der Titration und die kalibrierungsabhängige Auswertung. An eigenen Daten werden Selektivität, Blindwerte, Wiederholungsmessungen und systematische Abweichungen reflektiert. Auch der Einfluss der Kursanleitung auf die Qualität der erhobenen Daten kann einbezogen werden.</w:t>
      </w:r>
    </w:p>
    <w:p>
      <w:pPr>
        <w:pStyle w:val="Heading3"/>
        <w:jc w:val="left"/>
        <w:keepNext/>
      </w:pPr>
      <w:bookmarkStart w:id="9916" w:name="produkte_beispiel_3"/>
      <w:bookmarkEnd w:id="9916"/>
      <w:r>
        <w:rPr/>
        <w:t xml:space="preserve">Beispiel 3 · Kunststoffe gezielt gestalten</w:t>
      </w:r>
    </w:p>
    <w:p>
      <w:pPr>
        <w:jc w:val="both"/>
        <w:keepLines/>
        <w:keepNext/>
      </w:pPr>
      <w:r>
        <w:rPr>
          <w:b/>
        </w:rPr>
        <w:t xml:space="preserve">Zwei mögliche Leistungsnachweise.</w:t>
      </w:r>
      <w:r>
        <w:rPr/>
        <w:t xml:space="preserve"> Eine dokumentierte Unterrichtsprojektarbeit zur Herstellung und Untersuchung einer Stärkefolie sowie ein fachlich erläutertes Modell oder Erklärvideo zu Struktur und Eigenschaften eines synthetischen Polymers. Beide Leistungen wurden im Bereich Sonstige Mitarbeit bewertet.</w:t>
      </w:r>
    </w:p>
    <w:p>
      <w:pPr>
        <w:jc w:val="both"/>
        <w:keepLines/>
        <w:keepNext/>
      </w:pPr>
      <w:r>
        <w:rPr>
          <w:b/>
        </w:rPr>
        <w:t xml:space="preserve">Übergreifende Fragestellung.</w:t>
      </w:r>
      <w:r>
        <w:rPr/>
        <w:t xml:space="preserve"> Wie hängen molekulare Struktur, Verarbeitung und Materialeigenschaften zusammen, und weshalb bedeutet „biobasiert“ nicht automatisch „biologisch abbaubar“?</w:t>
      </w:r>
    </w:p>
    <w:p>
      <w:pPr>
        <w:jc w:val="both"/>
        <w:keepLines/>
      </w:pPr>
      <w:r>
        <w:rPr>
          <w:b/>
        </w:rPr>
        <w:t xml:space="preserve">Fachliche Verknüpfung und Reflexion.</w:t>
      </w:r>
      <w:r>
        <w:rPr/>
        <w:t xml:space="preserve"> Die Präsentation verbindet eigene Beobachtungen mit Kettenstruktur, zwischenmolekularen Wechselwirkungen und gegebenenfalls Vernetzung. Sie unterscheidet Rohstoffherkunft, Nutzung und Abbaubedingungen und prüft, welche Materialaussagen durch die eigenen Versuche tatsächlich gestützt werden.</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68">
        <w:r>
          <w:rPr>
            <w:color w:val="174D72"/>
            <w:u w:val="single"/>
          </w:rPr>
          <w:t xml:space="preserve">§ 35 Abs. 6 und VV 35.2.2 APO-GOSt</w:t>
        </w:r>
      </w:hyperlink>
      <w:r>
        <w:rPr/>
        <w:t xml:space="preserve">; </w:t>
      </w:r>
      <w:hyperlink r:id="rIdKlausur69">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0">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14 ersetzen diese nicht.</w:t>
      </w:r>
    </w:p>
    <w:p>
      <w:pPr>
        <w:pStyle w:val="Heading2"/>
        <w:suppressAutoHyphens w:val="1"/>
      </w:pPr>
      <w:r>
        <w:t>16.3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16.4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16.5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16.6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16.7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16.8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16.9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16.10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17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17.1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konkretisiert die verbindlichen KI-Anforderungen des Kernlehrplans 2026 und die Kompetenzzuordnungen der Unterrichtsvorhaben. Die übergeordneten Erwartungen E6, K1 und B2 sind für EF sowie Grund- und Leistungskurs in Kapitel 10 vollständig nachgewiesen.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17.2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17.3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17.4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und nummerierte Aufgaben mit BE und Materialverweisen aus. Stelle anschließend die Materialien als M1, M2 usw. bereit.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17.5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17.6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14.6 bis 14.8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17.7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6_08_24.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20319.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2031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2026.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2026.html" TargetMode="External"/><Relationship Id="rIdOfficial49" Type="http://schemas.openxmlformats.org/officeDocument/2006/relationships/hyperlink" Target="https://lehrplannavigator.nrw.de/system/files/media/document/file/gost_klp_ch_2026_08_24.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20319.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6_08_24.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20319.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20319.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6_08_24.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lehrplannavigator.nrw.de/system/files/media/document/file/gost_klp_ch_2026_08_24.pdf#page=4" TargetMode="External"/><Relationship Id="rId51" Type="http://schemas.openxmlformats.org/officeDocument/2006/relationships/hyperlink" Target="https://lehrplannavigator.nrw.de/system/files/media/document/file/gost_klp_ch_2026_08_24.pdf#page=11" TargetMode="External"/><Relationship Id="rId52" Type="http://schemas.openxmlformats.org/officeDocument/2006/relationships/hyperlink" Target="https://genaiedu.github.io/LearningApps2/chemie-curriculum-2026.html#ki" TargetMode="External"/><Relationship Id="rId53" Type="http://schemas.openxmlformats.org/officeDocument/2006/relationships/hyperlink" Target="https://lehrplannavigator.nrw.de/system/files/media/document/file/gost_klp_ch_2026_08_24.pdf#page=53" TargetMode="External"/><Relationship Id="rId54" Type="http://schemas.openxmlformats.org/officeDocument/2006/relationships/hyperlink" Target="https://genaiedu.github.io/LearningApps2/chemie-curriculum-2026.html#externe-links" TargetMode="External"/><Relationship Id="rId55" Type="http://schemas.openxmlformats.org/officeDocument/2006/relationships/hyperlink" Target="https://lehrplannavigator.nrw.de/system/files/media/document/file/gost_klp_ch_2026_08_24.pdf#page=58"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2026 ·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