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14 konkretisiert die vier K durch Präsentationen und Experimente, bei denen Lernende den Kurs anleiten, Daten auswerten und Entscheidungen begründen. Auch bei gemeinsamen Produkten wird ausschließlich die nachgewiesene Leistung jeder einzelnen Person bewertet. Kapitel 16 bereitet wissenschaftliches Arbeiten, Produktreflexion und Fachgespräche für das fünfte Abiturfach vor. Die rechtlichen Voraussetzungen für GKL und das fünfte Abiturfach regelt die neue APO-GOSt. Die Vorbereitung auf diese Prüfungsformate bedeutet nicht, dass die neuen Prüfungsregelungen bereits gelten.</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14. Methodische Vorbereitungen und beispielhafte Aufgaben für die Präsentationsprüfung im fünften Abiturfach sind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17.</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 xml:space="preserve">Amtliche Grundlagen:</w:t>
      </w:r>
      <w:r>
        <w:rPr/>
        <w:t xml:space="preserve"> </w:t>
      </w:r>
      <w:hyperlink r:id="rIdKlausur57">
        <w:r>
          <w:rPr>
            <w:color w:val="174D72"/>
            <w:u w:val="single"/>
          </w:rPr>
          <w:t xml:space="preserve">Kernlehrplan 2022 (Kap. 3/4) ↗</w:t>
        </w:r>
      </w:hyperlink>
      <w:r>
        <w:rPr/>
        <w:t xml:space="preserve"> · </w:t>
      </w:r>
      <w:hyperlink r:id="rIdKlausur58">
        <w:r>
          <w:rPr>
            <w:color w:val="174D72"/>
            <w:u w:val="single"/>
          </w:rPr>
          <w:t xml:space="preserve">Konstruktionsvorgaben ↗</w:t>
        </w:r>
      </w:hyperlink>
      <w:r>
        <w:rPr/>
        <w:t xml:space="preserve"> · </w:t>
      </w:r>
      <w:hyperlink r:id="rIdKlausur59">
        <w:r>
          <w:rPr>
            <w:color w:val="174D72"/>
            <w:u w:val="single"/>
          </w:rPr>
          <w:t xml:space="preserve">Operatorenliste ↗</w:t>
        </w:r>
      </w:hyperlink>
      <w:r>
        <w:rPr/>
        <w:t xml:space="preserve"> · </w:t>
      </w:r>
      <w:hyperlink r:id="rIdKlausur60">
        <w:r>
          <w:rPr>
            <w:color w:val="174D72"/>
            <w:u w:val="single"/>
          </w:rPr>
          <w:t xml:space="preserve">Schulgesetz (§ 48) ↗</w:t>
        </w:r>
      </w:hyperlink>
      <w:r>
        <w:rPr/>
        <w:t xml:space="preserve"> · </w:t>
      </w:r>
      <w:hyperlink r:id="rIdKlausur61">
        <w:r>
          <w:rPr>
            <w:color w:val="174D72"/>
            <w:u w:val="single"/>
          </w:rPr>
          <w:t xml:space="preserve">APO-GOSt aktuell ↗</w:t>
        </w:r>
      </w:hyperlink>
      <w:r>
        <w:rPr/>
        <w:t xml:space="preserve"> · </w:t>
      </w:r>
      <w:hyperlink r:id="rIdKlausur62">
        <w:r>
          <w:rPr>
            <w:color w:val="174D72"/>
            <w:u w:val="single"/>
          </w:rPr>
          <w:t xml:space="preserve">APO-GOSt ab 2027 ↗</w:t>
        </w:r>
      </w:hyperlink>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das EF-Beispiel zu Stoffkreisläufen in 14.11 und das Akkubeispiel in 14.12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Quellen, Daten und Modelle des eigenen Beitrags sind nachprüfbar; fremde Anteile sind gekennzeichnet.</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 Dokumentation: Der eigene Anteil an Anleitung, Daten, Auswertung und Schlussfolgerung ist zugeordnet und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BE</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NP</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sowie 14.11 und 14.12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14.12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Individuelle Bewertung: Jede Person kennzeichnet ihren Beitrag und erklärt im Fachgespräch den Redoxvorgang sowie eine Modellgrenze. Es gilt 14.6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3">
        <w:r>
          <w:rPr>
            <w:color w:val="174D72"/>
            <w:u w:val="single"/>
          </w:rPr>
          <w:t xml:space="preserve">APO-GOSt bisher: §§ 32–38</w:t>
        </w:r>
      </w:hyperlink>
      <w:r>
        <w:rPr/>
        <w:t xml:space="preserve"> · </w:t>
      </w:r>
      <w:hyperlink r:id="rIdKlausur64">
        <w:r>
          <w:rPr>
            <w:color w:val="174D72"/>
            <w:u w:val="single"/>
          </w:rPr>
          <w:t xml:space="preserve">APO-GOSt ab EF 2027/28: §§ 33–35</w:t>
        </w:r>
      </w:hyperlink>
      <w:r>
        <w:rPr/>
        <w:t xml:space="preserve"> · </w:t>
      </w:r>
      <w:hyperlink r:id="rIdKlausur65">
        <w:r>
          <w:rPr>
            <w:color w:val="174D72"/>
            <w:u w:val="single"/>
          </w:rPr>
          <w:t xml:space="preserve">Kernlehrplan 2022, Kapitel 4</w:t>
        </w:r>
      </w:hyperlink>
      <w:r>
        <w:rPr/>
        <w:t xml:space="preserve">.</w:t>
      </w:r>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