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pPr>
        <w:pStyle w:val="Compact"/>
        <w:suppressAutoHyphens w:val="1"/>
      </w:pPr>
      <w:r>
        <w:t>Die Kapitel und Unterrichtsvorhaben sind über die Word-Navigation erreichbar. Das Kompetenzregister nennt für jede konkretisierte Erwartung die zugehörigen Vorhaben; deren vollständiger Wortlaut steht unmittelbar in den jeweiligen Planungen. Übergeordnete Kompetenzen sind in Kapitel 10 vollständig ausgeschrieben.</w:t>
      </w:r>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14 konkretisiert die vier K durch Präsentationen und Experimente, bei denen Lernende den Kurs anleiten, Daten auswerten und Entscheidungen begründen. Gemeinsames Produkt und individuelle Beiträge werden getrennt bewertet. Kapitel 16 bereitet wissenschaftliches Arbeiten, Produktreflexion und Fachgespräche für das fünfte Abiturfach vor. Die rechtlichen Voraussetzungen für GKL und das fünfte Abiturfach regelt die neue APO-GOSt. Vorbereitende Unterrichtsformen nehmen diese Prüfungsregelungen nicht vorzeitig in Kraft.</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14. Methodische Vorbereitungen und beispielhafte Aufgaben für die Präsentationsprüfung im fünften Abiturfach sind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15).</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17.</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Heading1"/>
        <w:jc w:val="left"/>
        <w:pageBreakBefore/>
      </w:pPr>
      <w:r>
        <w:rPr/>
        <w:t xml:space="preserve">13 Klausuren gestalten und bewerten</w:t>
      </w:r>
      <w:bookmarkStart w:id="9902" w:name="klausurengestaltung"/>
      <w:bookmarkEnd w:id="9902"/>
    </w:p>
    <w:p>
      <w:pPr>
        <w:pStyle w:val="Heading2"/>
        <w:jc w:val="left"/>
      </w:pPr>
      <w:r>
        <w:rPr/>
        <w:t xml:space="preserve">13.1 Zielsetzung und Kontextorientierung</w:t>
      </w:r>
      <w:bookmarkStart w:id="9903" w:name="klausuren_1"/>
      <w:bookmarkEnd w:id="9903"/>
    </w:p>
    <w:p>
      <w:pPr>
        <w:jc w:val="both"/>
      </w:pPr>
      <w:r>
        <w:rPr/>
        <w:t xml:space="preserve">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hier beschriebene Vorbereitung nimmt neue Prüfungsregelungen nicht vorzeitig in Kraft. Die GKL werden im anschließenden Kapitel 14 behandelt.</w:t>
      </w:r>
    </w:p>
    <w:p>
      <w:pPr>
        <w:jc w:val="both"/>
      </w:pPr>
      <w:r>
        <w:rPr>
          <w:b/>
        </w:rPr>
        <w:t xml:space="preserve">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 xml:space="preserve">13.2 Anforderungsbereiche und ihre Gewichtung</w:t>
      </w:r>
      <w:bookmarkStart w:id="9904" w:name="klausuren_2"/>
      <w:bookmarkEnd w:id="9904"/>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Analyseverfahren für eine neue Fragestellung entwickeln und seine Aussagekraft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9905" w:name="klausuren_3"/>
      <w:bookmarkEnd w:id="9905"/>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 xml:space="preserve">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13.4 Erwartungshorizont und Rückmeldung</w:t>
      </w:r>
      <w:bookmarkStart w:id="9906" w:name="klausuren_4"/>
      <w:bookmarkEnd w:id="9906"/>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9907" w:name="klausuren_5"/>
      <w:bookmarkEnd w:id="9907"/>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9908" w:name="klausuren_6"/>
      <w:bookmarkEnd w:id="9908"/>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(13.6) oder Experimentierbogen (13.7) auswählen und jeder Person genau ein passendes Rollenmodul aus 13.8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14.10 Die vier K in Aufgaben und Bewertung</w:t>
      </w:r>
      <w:bookmarkEnd w:id="9901"/>
    </w:p>
    <w:p>
      <w:pPr>
        <w:suppressAutoHyphens w:val="0"/>
        <w:jc w:val="both"/>
      </w:pPr>
      <w:r>
        <w:rPr>
          <w:lang w:val="de-DE"/>
        </w:rPr>
        <w:t>Kreativität, Kollaboration, Kommunikation und kritisches Denken werden in den Aufgaben 13.2 bis 13.4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(13.2):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(13.3):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(13.4):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1"/>
        <w:jc w:val="left"/>
        <w:pageBreakBefore/>
      </w:pPr>
      <w:r>
        <w:rPr/>
        <w:t xml:space="preserve">15 Abiturprüfung</w:t>
      </w:r>
      <w:bookmarkStart w:id="9909" w:name="abiturpruefung"/>
      <w:bookmarkEnd w:id="9909"/>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9910" w:name="abitur_schriftlich"/>
      <w:bookmarkEnd w:id="9910"/>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 xml:space="preserve">15.2 Mündliche Prüfung und Fachgespräch</w:t>
      </w:r>
      <w:bookmarkStart w:id="9911" w:name="abitur_muendlich"/>
      <w:bookmarkEnd w:id="9911"/>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9912" w:name="abitur_bewertung"/>
      <w:bookmarkEnd w:id="9912"/>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konkretisieren die Notendefinitionen aus § 16 APO-GOSt und Kapitel 13.5. Sie werden durch konkrete Prüfungsbeobachtungen begründet; sie sind keine zusätzlichen amtlichen Bewertungskriterien. Die Tendenz innerhalb einer Notenstufe ergibt sich aus Ausprägung und Konstanz der gezeigten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 xml:space="preserve">sehr gut · 15–13</w:t>
            </w:r>
          </w:p>
        </w:tc>
        <w:tc>
          <w:tcPr>
            <w:tcW w:w="6674" w:type="dxa"/>
            <w:vAlign w:val="center"/>
            <w:shd w:fill="FFFFFF"/>
          </w:tcPr>
          <w:p>
            <w:pPr>
              <w:spacing w:before="20" w:after="20" w:line="260" w:lineRule="auto"/>
              <w:jc w:val="left"/>
              <w:keepNext/>
            </w:pPr>
            <w:r>
              <w:rPr>
                <w:sz w:val="18"/>
              </w:rPr>
              <w:t xml:space="preserve">Die Leistung erfüllt die Anforderungen in besonderem Maße. Der Prüfling argumentiert differenziert, verknüpft Zusammenhänge selbstständig und reflektiert Grenzen fachlich überzeugend.</w:t>
            </w:r>
          </w:p>
        </w:tc>
      </w:tr>
      <w:tr>
        <w:trPr>
          <w:cantSplit/>
        </w:trPr>
        <w:tc>
          <w:tcPr>
            <w:tcW w:w="2400" w:type="dxa"/>
            <w:vAlign w:val="center"/>
            <w:shd w:fill="F1F5F6"/>
          </w:tcPr>
          <w:p>
            <w:pPr>
              <w:spacing w:before="20" w:after="20" w:line="260" w:lineRule="auto"/>
              <w:jc w:val="left"/>
              <w:keepNext/>
            </w:pPr>
            <w:r>
              <w:rPr>
                <w:sz w:val="18"/>
              </w:rPr>
              <w:t xml:space="preserve">gut · 12–10</w:t>
            </w:r>
          </w:p>
        </w:tc>
        <w:tc>
          <w:tcPr>
            <w:tcW w:w="6674" w:type="dxa"/>
            <w:vAlign w:val="center"/>
            <w:shd w:fill="F1F5F6"/>
          </w:tcPr>
          <w:p>
            <w:pPr>
              <w:spacing w:before="20" w:after="20" w:line="260" w:lineRule="auto"/>
              <w:jc w:val="left"/>
              <w:keepNext/>
            </w:pPr>
            <w:r>
              <w:rPr>
                <w:sz w:val="18"/>
              </w:rPr>
              <w:t xml:space="preserve">Die Leistung erfüllt die Anforderungen voll. Der Prüfling erklärt Zusammenhänge sicher, begründet Lösungswege und überträgt Kenntnisse weitgehend selbstständig.</w:t>
            </w:r>
          </w:p>
        </w:tc>
      </w:tr>
      <w:tr>
        <w:trPr>
          <w:cantSplit/>
        </w:trPr>
        <w:tc>
          <w:tcPr>
            <w:tcW w:w="2400" w:type="dxa"/>
            <w:vAlign w:val="center"/>
            <w:shd w:fill="FFFFFF"/>
          </w:tcPr>
          <w:p>
            <w:pPr>
              <w:spacing w:before="20" w:after="20" w:line="260" w:lineRule="auto"/>
              <w:jc w:val="left"/>
              <w:keepNext/>
            </w:pPr>
            <w:r>
              <w:rPr>
                <w:sz w:val="18"/>
              </w:rPr>
              <w:t xml:space="preserve">befriedigend · 9–7</w:t>
            </w:r>
          </w:p>
        </w:tc>
        <w:tc>
          <w:tcPr>
            <w:tcW w:w="6674" w:type="dxa"/>
            <w:vAlign w:val="center"/>
            <w:shd w:fill="FFFFFF"/>
          </w:tcPr>
          <w:p>
            <w:pPr>
              <w:spacing w:before="20" w:after="20" w:line="260" w:lineRule="auto"/>
              <w:jc w:val="left"/>
              <w:keepNext/>
            </w:pPr>
            <w:r>
              <w:rPr>
                <w:sz w:val="18"/>
              </w:rPr>
              <w:t xml:space="preserve">Die Leistung erfüllt die Anforderungen im Allgemeinen. Wesentliche Zusammenhänge werden zutreffend erklärt; bei anspruchsvollem Transfer sind einzelne Impulse erforderlich.</w:t>
            </w:r>
          </w:p>
        </w:tc>
      </w:tr>
      <w:tr>
        <w:trPr>
          <w:cantSplit/>
        </w:trPr>
        <w:tc>
          <w:tcPr>
            <w:tcW w:w="2400" w:type="dxa"/>
            <w:vAlign w:val="center"/>
            <w:shd w:fill="F1F5F6"/>
          </w:tcPr>
          <w:p>
            <w:pPr>
              <w:spacing w:before="20" w:after="20" w:line="260" w:lineRule="auto"/>
              <w:jc w:val="left"/>
              <w:keepNext/>
            </w:pPr>
            <w:r>
              <w:rPr>
                <w:sz w:val="18"/>
              </w:rPr>
              <w:t xml:space="preserve">ausreichend · 6–5</w:t>
            </w:r>
          </w:p>
        </w:tc>
        <w:tc>
          <w:tcPr>
            <w:tcW w:w="6674" w:type="dxa"/>
            <w:vAlign w:val="center"/>
            <w:shd w:fill="F1F5F6"/>
          </w:tcPr>
          <w:p>
            <w:pPr>
              <w:spacing w:before="20" w:after="20" w:line="260" w:lineRule="auto"/>
              <w:jc w:val="left"/>
              <w:keepNext/>
            </w:pPr>
            <w:r>
              <w:rPr>
                <w:sz w:val="18"/>
              </w:rPr>
              <w:t xml:space="preserve">Die Leistung erfüllt trotz Mängeln insgesamt noch die Anforderungen. Grundlagen werden überwiegend zutreffend angewendet; weiterführende Begründungen bleiben begrenzt.</w:t>
            </w:r>
          </w:p>
        </w:tc>
      </w:tr>
      <w:tr>
        <w:trPr>
          <w:cantSplit/>
        </w:trPr>
        <w:tc>
          <w:tcPr>
            <w:tcW w:w="2400" w:type="dxa"/>
            <w:vAlign w:val="center"/>
            <w:shd w:fill="FFFFFF"/>
          </w:tcPr>
          <w:p>
            <w:pPr>
              <w:spacing w:before="20" w:after="20" w:line="260" w:lineRule="auto"/>
              <w:jc w:val="left"/>
              <w:keepNext/>
            </w:pPr>
            <w:r>
              <w:rPr>
                <w:sz w:val="18"/>
              </w:rPr>
              <w:t xml:space="preserve">schwach ausreichend · 4</w:t>
            </w:r>
          </w:p>
        </w:tc>
        <w:tc>
          <w:tcPr>
            <w:tcW w:w="6674" w:type="dxa"/>
            <w:vAlign w:val="center"/>
            <w:shd w:fill="FFFFFF"/>
          </w:tcPr>
          <w:p>
            <w:pPr>
              <w:spacing w:before="20" w:after="20" w:line="260" w:lineRule="auto"/>
              <w:jc w:val="left"/>
              <w:keepNext/>
            </w:pPr>
            <w:r>
              <w:rPr>
                <w:sz w:val="18"/>
              </w:rPr>
              <w:t xml:space="preserve">Die Leistung erfüllt die Anforderungen nur mit Einschränkungen. Grundlagen sind teilweise gesichert; Zusammenhänge und Lösungswege bleiben deutlich lückenhaft.</w:t>
            </w:r>
          </w:p>
        </w:tc>
      </w:tr>
      <w:tr>
        <w:trPr>
          <w:cantSplit/>
        </w:trPr>
        <w:tc>
          <w:tcPr>
            <w:tcW w:w="2400" w:type="dxa"/>
            <w:vAlign w:val="center"/>
            <w:shd w:fill="F1F5F6"/>
          </w:tcPr>
          <w:p>
            <w:pPr>
              <w:spacing w:before="20" w:after="20" w:line="260" w:lineRule="auto"/>
              <w:jc w:val="left"/>
              <w:keepNext/>
            </w:pPr>
            <w:r>
              <w:rPr>
                <w:sz w:val="18"/>
              </w:rPr>
              <w:t xml:space="preserve">mangelhaft · 3–1</w:t>
            </w:r>
          </w:p>
        </w:tc>
        <w:tc>
          <w:tcPr>
            <w:tcW w:w="6674" w:type="dxa"/>
            <w:vAlign w:val="center"/>
            <w:shd w:fill="F1F5F6"/>
          </w:tcPr>
          <w:p>
            <w:pPr>
              <w:spacing w:before="20" w:after="20" w:line="260" w:lineRule="auto"/>
              <w:jc w:val="left"/>
              <w:keepNext/>
            </w:pPr>
            <w:r>
              <w:rPr>
                <w:sz w:val="18"/>
              </w:rPr>
              <w:t xml:space="preserve">Die Leistung erfüllt die Anforderungen nicht. Notwendige Grundkenntnisse sind erkennbar, werden aber unzureichend angewendet; die Mängel erscheinen in absehbarer Zeit behebbar.</w:t>
            </w:r>
          </w:p>
        </w:tc>
      </w:tr>
      <w:tr>
        <w:trPr>
          <w:cantSplit/>
        </w:trPr>
        <w:tc>
          <w:tcPr>
            <w:tcW w:w="2400" w:type="dxa"/>
            <w:vAlign w:val="center"/>
            <w:shd w:fill="FFFFFF"/>
          </w:tcPr>
          <w:p>
            <w:pPr>
              <w:spacing w:before="20" w:after="20" w:line="260" w:lineRule="auto"/>
              <w:jc w:val="left"/>
            </w:pPr>
            <w:r>
              <w:rPr>
                <w:sz w:val="18"/>
              </w:rPr>
              <w:t xml:space="preserve">ungenügend · 0</w:t>
            </w:r>
          </w:p>
        </w:tc>
        <w:tc>
          <w:tcPr>
            <w:tcW w:w="6674" w:type="dxa"/>
            <w:vAlign w:val="center"/>
            <w:shd w:fill="FFFFFF"/>
          </w:tcPr>
          <w:p>
            <w:pPr>
              <w:spacing w:before="20" w:after="20" w:line="260" w:lineRule="auto"/>
              <w:jc w:val="left"/>
            </w:pPr>
            <w:r>
              <w:rPr>
                <w:sz w:val="18"/>
              </w:rPr>
              <w:t xml:space="preserve">Die Leistung erfüllt die Anforderungen nicht. Selbst Grundkenntnisse sind so lückenhaft, dass die Mängel in absehbarer Zeit nicht behebbar erscheinen.</w:t>
            </w:r>
          </w:p>
        </w:tc>
      </w:tr>
    </w:tbl>
    <w:p>
      <w:pPr>
        <w:jc w:val="both"/>
      </w:pPr>
      <w:r>
        <w:rPr>
          <w:b/>
        </w:rPr>
        <w:t xml:space="preserve">Amtliche Grundlagen:</w:t>
      </w:r>
      <w:r>
        <w:rPr/>
        <w:t xml:space="preserve"> </w:t>
      </w:r>
      <w:hyperlink r:id="rIdKlausur63">
        <w:r>
          <w:rPr>
            <w:color w:val="174D72"/>
            <w:u w:val="single"/>
          </w:rPr>
          <w:t xml:space="preserve">APO-GOSt bisher: §§ 32–38</w:t>
        </w:r>
      </w:hyperlink>
      <w:r>
        <w:rPr/>
        <w:t xml:space="preserve"> · </w:t>
      </w:r>
      <w:hyperlink r:id="rIdKlausur64">
        <w:r>
          <w:rPr>
            <w:color w:val="174D72"/>
            <w:u w:val="single"/>
          </w:rPr>
          <w:t xml:space="preserve">APO-GOSt ab EF 2027/28: §§ 33–35</w:t>
        </w:r>
      </w:hyperlink>
      <w:r>
        <w:rPr/>
        <w:t xml:space="preserve"> · </w:t>
      </w:r>
      <w:hyperlink r:id="rIdKlausur65">
        <w:r>
          <w:rPr>
            <w:color w:val="174D72"/>
            <w:u w:val="single"/>
          </w:rPr>
          <w:t xml:space="preserve">Kernlehrplan 2022, Kapitel 4</w:t>
        </w:r>
      </w:hyperlink>
      <w:r>
        <w:rPr/>
        <w:t xml:space="preserve">.</w:t>
      </w:r>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jc w:val="both"/>
      </w:pPr>
      <w:r>
        <w:rPr>
          <w:b/>
        </w:rPr>
        <w:t xml:space="preserve">Folgerung für die Unterrichts- und Klausurgestaltung.</w:t>
      </w:r>
      <w:r>
        <w:rPr/>
        <w:t xml:space="preserve"> Die in Kapitel 13 vereinbarte Kontextorientierung schafft dafür geeignete Anknüpfungspunkte: Klausuren und GKLs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Teil 1 umfasst zehn Minuten zusammenhängende Präsentation mit Reflexion und neuer Verknüpfung der zugrunde liegenden Leistungen; Teil 2 ist ein vertiefendes Fachgespräch zu größeren fachlichen und gegebenenfalls fachübergreifenden Zusammenhängen. Es greift die Argumentation des Prüflings auf und prüft Einordnung, Transfer und eigenständige Reflexion. Die Gesprächsgrundsätze aus Kapitel 15.2 gelten entsprechend; eine bloße Abfolge vorformulierter Fragen genügt nicht.</w:t>
      </w:r>
    </w:p>
    <w:p>
      <w:pPr>
        <w:jc w:val="both"/>
      </w:pPr>
      <w:r>
        <w:rPr/>
        <w:t xml:space="preserve">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