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rPr>
          <w:b w:val="1"/>
        </w:rP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54">
        <w:r>
          <w:rPr>
            <w:rFonts w:ascii="Inter" w:hAnsi="Inter" w:eastAsia="Inter" w:cs="Inter"/>
            <w:color w:val="225F87"/>
            <w:u w:val="single"/>
            <w:sz w:val="23"/>
          </w:rPr>
          <w:t>Notion · Physik Sekundarstufe I  ↗</w:t>
        </w:r>
      </w:hyperlink>
    </w:p>
    <w:p>
      <w:pPr>
        <w:spacing w:before="0" w:after="180"/>
        <w:jc w:val="left"/>
        <w:keepLines/>
      </w:pPr>
      <w:hyperlink r:id="rId55">
        <w:r>
          <w:rPr>
            <w:rFonts w:ascii="Inter" w:hAnsi="Inter" w:eastAsia="Inter" w:cs="Inter"/>
            <w:color w:val="225F87"/>
            <w:u w:val="single"/>
            <w:sz w:val="23"/>
          </w:rPr>
          <w:t>Notion · Physik Sekundarstufe II  ↗</w:t>
        </w:r>
      </w:hyperlink>
    </w:p>
    <w:p>
      <w:pPr>
        <w:spacing w:before="0" w:after="180"/>
        <w:jc w:val="left"/>
        <w:keepLines/>
      </w:pPr>
      <w:hyperlink r:id="rId56">
        <w:r>
          <w:rPr>
            <w:rFonts w:ascii="Inter" w:hAnsi="Inter" w:eastAsia="Inter" w:cs="Inter"/>
            <w:color w:val="225F87"/>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56">
        <w:r>
          <w:rPr>
            <w:rFonts w:ascii="Inter" w:hAnsi="Inter" w:eastAsia="Inter" w:cs="Inter"/>
            <w:color w:val="225F87"/>
            <w:u w:val="single"/>
            <w:sz w:val="23"/>
          </w:rPr>
          <w:t>Kernlehrplan Physik Sekundarstufe II · Fassung 2022  ↗</w:t>
        </w:r>
      </w:hyperlink>
    </w:p>
    <w:p>
      <w:pPr>
        <w:spacing w:before="0" w:after="180"/>
        <w:jc w:val="left"/>
        <w:keepLines/>
      </w:pPr>
      <w:hyperlink r:id="rIdOfficial57">
        <w:r>
          <w:rPr>
            <w:rFonts w:ascii="Inter" w:hAnsi="Inter" w:eastAsia="Inter" w:cs="Inter"/>
            <w:color w:val="225F87"/>
            <w:u w:val="single"/>
            <w:sz w:val="23"/>
          </w:rPr>
          <w:t>Kernlehrplan Physik Sekundarstufe II · Fassung 2026  ↗</w:t>
        </w:r>
      </w:hyperlink>
    </w:p>
    <w:p>
      <w:pPr>
        <w:spacing w:before="0" w:after="180"/>
        <w:jc w:val="left"/>
        <w:keepLines/>
      </w:pPr>
      <w:hyperlink r:id="rIdOfficial58">
        <w:r>
          <w:rPr>
            <w:rFonts w:ascii="Inter" w:hAnsi="Inter" w:eastAsia="Inter" w:cs="Inter"/>
            <w:color w:val="225F87"/>
            <w:u w:val="single"/>
            <w:sz w:val="23"/>
          </w:rPr>
          <w:t>Operatorenliste Physik · ab Abitur 2025  ↗</w:t>
        </w:r>
      </w:hyperlink>
    </w:p>
    <w:p>
      <w:pPr>
        <w:spacing w:before="0" w:after="180"/>
        <w:jc w:val="left"/>
        <w:keepLines/>
      </w:pPr>
      <w:hyperlink r:id="rIdOfficial59">
        <w:r>
          <w:rPr>
            <w:rFonts w:ascii="Inter" w:hAnsi="Inter" w:eastAsia="Inter" w:cs="Inter"/>
            <w:color w:val="225F87"/>
            <w:u w:val="single"/>
            <w:sz w:val="23"/>
          </w:rPr>
          <w:t>Ländergemeinsame mathematisch-naturwissenschaftliche Formelsammlung  ↗</w:t>
        </w:r>
      </w:hyperlink>
    </w:p>
    <w:p>
      <w:pPr>
        <w:spacing w:before="0" w:after="180"/>
        <w:jc w:val="left"/>
        <w:keepLines/>
      </w:pPr>
      <w:hyperlink r:id="rIdOfficial60">
        <w:r>
          <w:rPr>
            <w:rFonts w:ascii="Inter" w:hAnsi="Inter" w:eastAsia="Inter" w:cs="Inter"/>
            <w:color w:val="225F87"/>
            <w:u w:val="single"/>
            <w:sz w:val="23"/>
          </w:rPr>
          <w:t>APO-GOSt · aktuell geltende Fassung  ↗</w:t>
        </w:r>
      </w:hyperlink>
    </w:p>
    <w:p>
      <w:pPr>
        <w:spacing w:before="0" w:after="180"/>
        <w:jc w:val="left"/>
        <w:keepLines/>
      </w:pPr>
      <w:hyperlink r:id="rIdOfficial61">
        <w:r>
          <w:rPr>
            <w:rFonts w:ascii="Inter" w:hAnsi="Inter" w:eastAsia="Inter" w:cs="Inter"/>
            <w:color w:val="225F87"/>
            <w:u w:val="single"/>
            <w:sz w:val="23"/>
          </w:rPr>
          <w:t>APO-GOSt · Neufassung ab 1. August 2027  ↗</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Aufgaben und Rahmenbedingungen</w:t>
        </w:r>
      </w:hyperlink>
    </w:p>
    <w:p>
      <w:pPr>
        <w:spacing w:after="220"/>
      </w:pPr>
      <w:hyperlink w:anchor="rahmen">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ef">
        <w:r>
          <w:rPr>
            <w:color w:val="17594E"/>
          </w:rPr>
          <w:t>5 Unterrichtsvorhaben der Einführungsphase</w:t>
        </w:r>
      </w:hyperlink>
    </w:p>
    <w:p>
      <w:pPr>
        <w:spacing w:after="220"/>
      </w:pPr>
      <w:hyperlink w:anchor="gk">
        <w:r>
          <w:rPr>
            <w:color w:val="17594E"/>
          </w:rPr>
          <w:t>6 Unterrichtsvorhaben im Grundkurs</w:t>
        </w:r>
      </w:hyperlink>
    </w:p>
    <w:p>
      <w:pPr>
        <w:spacing w:after="220"/>
      </w:pPr>
      <w:hyperlink w:anchor="lk">
        <w:r>
          <w:rPr>
            <w:color w:val="17594E"/>
          </w:rPr>
          <w:t>7 Unterrichtsvorhaben im Leistungskurs</w:t>
        </w:r>
      </w:hyperlink>
    </w:p>
    <w:p>
      <w:pPr>
        <w:spacing w:after="220"/>
      </w:pPr>
      <w:hyperlink w:anchor="qualitaet">
        <w:r>
          <w:rPr>
            <w:color w:val="17594E"/>
          </w:rPr>
          <w:t>8 Zusammenarbeit und Qualitätssicherung</w:t>
        </w:r>
      </w:hyperlink>
    </w:p>
    <w:p>
      <w:pPr>
        <w:spacing w:after="220"/>
      </w:pPr>
      <w:hyperlink w:anchor="jahresplanung">
        <w:r>
          <w:rPr>
            <w:color w:val="17594E"/>
          </w:rPr>
          <w:t>9 Sicherung der Kompetenzentwicklung</w:t>
        </w:r>
      </w:hyperlink>
    </w:p>
    <w:p>
      <w:pPr>
        <w:spacing w:after="220"/>
      </w:pPr>
      <w:hyperlink w:anchor="generisch">
        <w:r>
          <w:rPr>
            <w:color w:val="17594E"/>
          </w:rPr>
          <w:t>10 Vollständige übergeordnete Kompetenzen</w:t>
        </w:r>
      </w:hyperlink>
    </w:p>
    <w:p>
      <w:pPr>
        <w:spacing w:after="220"/>
      </w:pPr>
      <w:hyperlink w:anchor="register">
        <w:r>
          <w:rPr>
            <w:color w:val="17594E"/>
          </w:rPr>
          <w:t>11 Register der konkretisierten Kompetenzen</w:t>
        </w:r>
      </w:hyperlink>
    </w:p>
    <w:p>
      <w:pPr>
        <w:spacing w:after="220"/>
      </w:pPr>
      <w:hyperlink w:anchor="quellen">
        <w:r>
          <w:rPr>
            <w:color w:val="17594E"/>
          </w:rPr>
          <w:t>12 Quellen und Geltungsstand</w:t>
        </w:r>
      </w:hyperlink>
    </w:p>
    <w:p>
      <w:pPr>
        <w:spacing w:after="220"/>
      </w:pPr>
      <w:hyperlink w:anchor="klausurengestaltung">
        <w:r>
          <w:rPr>
            <w:color w:val="17594E"/>
          </w:rPr>
          <w:t>13 Klausuren gestalten und bewerten</w:t>
        </w:r>
      </w:hyperlink>
    </w:p>
    <w:p>
      <w:pPr>
        <w:spacing w:after="220"/>
      </w:pPr>
      <w:hyperlink w:anchor="gkl">
        <w:r>
          <w:rPr>
            <w:color w:val="17594E"/>
          </w:rPr>
          <w:t>14 Gleichwertige komplexe Leistungsnachweise: Aufgaben und Bewertungsraster</w:t>
        </w:r>
      </w:hyperlink>
    </w:p>
    <w:p>
      <w:pPr>
        <w:spacing w:after="220"/>
      </w:pPr>
      <w:hyperlink w:anchor="abiturpruefung">
        <w:r>
          <w:rPr>
            <w:color w:val="17594E"/>
          </w:rPr>
          <w:t>15 Abiturprüfung</w:t>
        </w:r>
      </w:hyperlink>
    </w:p>
    <w:p>
      <w:pPr>
        <w:spacing w:after="220"/>
      </w:pPr>
      <w:hyperlink w:anchor="abitur5">
        <w:r>
          <w:rPr>
            <w:color w:val="17594E"/>
          </w:rPr>
          <w:t>16 Vorbereitung auf das fünfte Abiturfach</w:t>
        </w:r>
      </w:hyperlink>
    </w:p>
    <w:p>
      <w:pPr>
        <w:spacing w:after="220"/>
      </w:pPr>
      <w:hyperlink w:anchor="ki">
        <w:r>
          <w:rPr>
            <w:color w:val="17594E"/>
          </w:rPr>
          <w:t>17 Mit KI lernen und Ergebnisse verantwortlich prüfen</w:t>
        </w:r>
      </w:hyperlink>
    </w:p>
    <w:p>
      <w:bookmarkStart w:id="1" w:name="auftrag"/>
      <w:pPr>
        <w:pStyle w:val="Heading1"/>
        <w:pageBreakBefore/>
      </w:pPr>
      <w:r>
        <w:t>1 Aufgaben und Rahmenbedingungen</w:t>
      </w:r>
      <w:bookmarkEnd w:id="1"/>
    </w:p>
    <w:p>
      <w:pPr>
        <w:pStyle w:val="Heading2"/>
      </w:pPr>
      <w:r>
        <w:t>1.1 Bildungsauftrag und fachliches Profil</w:t>
      </w:r>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pStyle w:val="Heading2"/>
      </w:pPr>
      <w:r>
        <w:t>1.2 Geltung und Übergang zum Kernlehrplan 2026</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1.3 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w:t>
      </w:r>
    </w:p>
    <w:p>
      <w:pPr/>
      <w:r>
        <w:t>Die vier K bezeichnen genuin menschliche Fähigkeiten des Verstehens, Gestaltens und verantwortlichen Handelns. Sie ergänzen das klassische Bildungsideal, statt es zu ersetzen. Physikalisches Wissen und experimentelle Erfahrung bilden ihre Grundlage: Ohne Kenntnis von Modellen, Messverfahren und bisherigen Lösungswegen bleibt Kreativität beliebig; ohne sichere allgemeine und fachsprachliche Mittel gelingt keine lösungsgerichtete Kommunikation. Kritisches Denken setzt Sachkenntnis und Kriterien für belastbare Messungen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 Dies unterstützt Studierfähigkeit, berufliches Handeln und gesellschaftliche Teilhabe.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pPr>
        <w:pStyle w:val="Heading2"/>
      </w:pPr>
      <w:r>
        <w:t>1.4 Rahmenbedingungen und Materialien</w:t>
      </w:r>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3" w:name="rahmen"/>
      <w:pPr>
        <w:pStyle w:val="Heading1"/>
        <w:pageBreakBefore/>
      </w:pPr>
      <w:r>
        <w:t>2 Grundsätze der Unterrichtsgestaltung</w:t>
      </w:r>
      <w:bookmarkEnd w:id="3"/>
    </w:p>
    <w:p>
      <w:pPr>
        <w:pStyle w:val="Heading2"/>
      </w:pPr>
      <w:r>
        <w:t>2.1 Lernen durch Untersuchung und Erklärung</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pStyle w:val="Heading2"/>
      </w:pPr>
      <w:r>
        <w:t>2.2 Experimentieren und digitale Werkzeuge</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pStyle w:val="Heading2"/>
      </w:pPr>
      <w:r>
        <w:t>2.3 Sprachbildung und individuelle Förderung</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pStyle w:val="Heading2"/>
      </w:pPr>
      <w:r>
        <w:t>2.4 Sicherheit im Physikunterricht</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pStyle w:val="Heading2"/>
      </w:pPr>
      <w:r>
        <w:t>2.5 Künstliche Intelligenz im Physikunterricht</w:t>
      </w:r>
    </w:p>
    <w:p>
      <w:pPr/>
      <w:r>
        <w:t>Die Nutzung generativer KI folgt dem in Abschnitt 1.3 erläuterten Zusammenhang von Fachwissen, Sprachbildung und eigenständiger Verantwortung. Lehrkräfte prüfen KI-gestützte Materialien fachlich; Lernende nutzen KI als überprüfbares Werkzeug. Konkrete Lernhandlungen und Regeln für Leistungsnachweise stehen in Kapitel 17.</w:t>
      </w:r>
    </w:p>
    <w:p>
      <w:bookmarkStart w:id="54" w:name="bewertung"/>
      <w:pPr>
        <w:pStyle w:val="Heading1"/>
        <w:pageBreakBefore/>
      </w:pPr>
      <w:r>
        <w:t>3 Lernerfolgsüberprüfung und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pStyle w:val="Heading2"/>
      </w:pPr>
      <w:r>
        <w:t>3.1 Sonstige Leistungen im Unterricht</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pStyle w:val="Heading2"/>
      </w:pPr>
      <w:r>
        <w:t>3.2 Klausuren und Aufgaben in der Oberstufe</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pStyle w:val="Heading2"/>
      </w:pPr>
      <w:r>
        <w:t>3.3 Bewertungsgrundsätze für Klausuren</w:t>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3.4 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pPr>
        <w:pStyle w:val="Heading1"/>
      </w:pPr>
      <w:bookmarkStart w:id="200" w:name="si"/>
      <w:r>
        <w:t>4 Unterrichtsvorhaben der Sekundarstufe I</w:t>
      </w:r>
      <w:bookmarkEnd w:id="200"/>
    </w:p>
    <w:p>
      <w:bookmarkStart w:id="5" w:name="uv_06_1"/>
      <w:pPr>
        <w:pStyle w:val="Heading2"/>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pPr>
        <w:pStyle w:val="Heading1"/>
      </w:pPr>
      <w:bookmarkStart w:id="201" w:name="ef"/>
      <w:r>
        <w:t>5 Unterrichtsvorhaben der Einführungsphase</w:t>
      </w:r>
      <w:bookmarkEnd w:id="201"/>
    </w:p>
    <w:p>
      <w:bookmarkStart w:id="30" w:name="uv_ef_01"/>
      <w:pPr>
        <w:pStyle w:val="Heading2"/>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pPr>
        <w:pStyle w:val="Heading1"/>
      </w:pPr>
      <w:bookmarkStart w:id="202" w:name="gk"/>
      <w:r>
        <w:t>6 Unterrichtsvorhaben im Grundkurs</w:t>
      </w:r>
      <w:bookmarkEnd w:id="202"/>
    </w:p>
    <w:p>
      <w:bookmarkStart w:id="35" w:name="uv_gk_01"/>
      <w:pPr>
        <w:pStyle w:val="Heading2"/>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pPr>
        <w:pStyle w:val="Heading1"/>
      </w:pPr>
      <w:bookmarkStart w:id="203" w:name="lk"/>
      <w:r>
        <w:t>7 Unterrichtsvorhaben im Leistungskurs</w:t>
      </w:r>
      <w:bookmarkEnd w:id="203"/>
    </w:p>
    <w:p>
      <w:bookmarkStart w:id="44" w:name="uv_lk_01"/>
      <w:pPr>
        <w:pStyle w:val="Heading2"/>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9" w:name="qualitaet"/>
      <w:pPr>
        <w:pStyle w:val="Heading1"/>
        <w:pageBreakBefore/>
      </w:pPr>
      <w:r>
        <w:t>8 Zusammenarbeit und Qualitätssicherung</w:t>
      </w:r>
      <w:bookmarkEnd w:id="59"/>
    </w:p>
    <w:p>
      <w:pPr>
        <w:pStyle w:val="Heading2"/>
      </w:pPr>
      <w:r>
        <w:t>8.1 Evaluation und Fortschreibung</w:t>
      </w:r>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pStyle w:val="Heading2"/>
      </w:pPr>
      <w:r>
        <w:t>8.2 Materialprüfung und Weiterentwicklung</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4" w:name="jahresplanung"/>
      <w:pPr>
        <w:pStyle w:val="Heading1"/>
        <w:pageBreakBefore/>
      </w:pPr>
      <w:r>
        <w:t>9 Sicherung der Kompetenzentwicklung</w:t>
      </w:r>
      <w:bookmarkEnd w:id="4"/>
    </w:p>
    <w:p>
      <w:pPr>
        <w:pStyle w:val="Heading2"/>
      </w:pPr>
      <w:r>
        <w:t>9.1 Zeitplanung der Unterrichtsvorhaben</w:t>
      </w:r>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pStyle w:val="Heading2"/>
      </w:pPr>
      <w:r>
        <w:t>9.2 Kompetenzsystem und Zuordnung</w:t>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pPr>
        <w:pStyle w:val="Heading1"/>
      </w:pPr>
      <w:bookmarkStart w:id="204" w:name="generisch"/>
      <w:r>
        <w:t>10 Vollständige übergeordnete Kompetenzen</w:t>
      </w:r>
      <w:bookmarkEnd w:id="204"/>
    </w:p>
    <w:p>
      <w:bookmarkStart w:id="60" w:name="kompetenzen_si1"/>
      <w:pPr>
        <w:pStyle w:val="Heading2"/>
        <w:pageBreakBefore/>
      </w:pPr>
      <w:r>
        <w:t>10.1 Sekundarstufe I bis zum Ende der ersten 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10.2 Sekundarstufe I bis zum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10.3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10.4 Qualifikationsphase in Grundkurs und Leistungskurs</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pPr>
        <w:pStyle w:val="Heading1"/>
      </w:pPr>
      <w:bookmarkStart w:id="205" w:name="register"/>
      <w:r>
        <w:t>11 Register der konkretisierten Kompetenzen</w:t>
      </w:r>
      <w:bookmarkEnd w:id="205"/>
    </w:p>
    <w:p>
      <w:bookmarkStart w:id="64" w:name="nachweis_si1"/>
      <w:pPr>
        <w:pStyle w:val="Heading2"/>
        <w:pageBreakBefore/>
      </w:pPr>
      <w:r>
        <w:t>11.1 Sekundarstufe I erste Stufe</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11.2 Sekundarstufe I zweite Stufe</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11.3 Einführungsphase</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11.4 Grundkurs</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11.5 Leistungskurs</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12 Quellen und Geltungsstand</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p>
      <w:pPr>
        <w:pStyle w:val="Heading1"/>
        <w:jc w:val="left"/>
        <w:pageBreakBefore/>
      </w:pPr>
      <w:r>
        <w:rPr/>
        <w:t xml:space="preserve">13 Klausuren gestalten und bewerten</w:t>
      </w:r>
      <w:bookmarkStart w:id="206" w:name="klausurengestaltung"/>
      <w:bookmarkEnd w:id="206"/>
    </w:p>
    <w:p>
      <w:pPr>
        <w:pStyle w:val="Heading2"/>
        <w:jc w:val="left"/>
      </w:pPr>
      <w:r>
        <w:rPr/>
        <w:t xml:space="preserve">13.1 Zielsetzung und Kontextorientierung</w:t>
      </w:r>
      <w:bookmarkStart w:id="207" w:name="klausuren_1"/>
      <w:bookmarkEnd w:id="207"/>
    </w:p>
    <w:p>
      <w:pPr>
        <w:jc w:val="both"/>
      </w:pPr>
      <w:r>
        <w:rPr/>
        <w:t xml:space="preserve">Klausuren im Fach Physik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Analyse einer Bewegung im Verkehr, die Energieversorgung eines Geräts, ein optisches Messverfahren oder eine medizinische Anwendung von Strahlung. Messreihen, Diagramme, Versuchsaufbauten und Modelle werden miteinander verknüpft. Reale Untersuchungen bilden die Materialgrundlage abiturorientierter Klausuren; Modellannahmen, Näherungen und Messunsicherheiten werden nachvollziehbar ausgewiesen.</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both"/>
      </w:pPr>
      <w:r>
        <w:rPr>
          <w:b/>
        </w:rPr>
        <w:t xml:space="preserve">Amtliche Grundlagen:</w:t>
      </w:r>
      <w:r>
        <w:rPr/>
        <w:t xml:space="preserve"> </w:t>
      </w:r>
      <w:hyperlink r:id="rIdKlausur63">
        <w:r>
          <w:rPr>
            <w:color w:val="174D72"/>
            <w:u w:val="single"/>
          </w:rPr>
          <w:t xml:space="preserve">Kernlehrplan 2022 (Kap. 3/4) ↗</w:t>
        </w:r>
      </w:hyperlink>
      <w:r>
        <w:rPr/>
        <w:t xml:space="preserve"> · </w:t>
      </w:r>
      <w:hyperlink r:id="rIdKlausur64">
        <w:r>
          <w:rPr>
            <w:color w:val="174D72"/>
            <w:u w:val="single"/>
          </w:rPr>
          <w:t xml:space="preserve">Konstruktionsvorgaben ↗</w:t>
        </w:r>
      </w:hyperlink>
      <w:r>
        <w:rPr/>
        <w:t xml:space="preserve"> · </w:t>
      </w:r>
      <w:hyperlink r:id="rIdKlausur65">
        <w:r>
          <w:rPr>
            <w:color w:val="174D72"/>
            <w:u w:val="single"/>
          </w:rPr>
          <w:t xml:space="preserve">Operatorenliste ↗</w:t>
        </w:r>
      </w:hyperlink>
      <w:r>
        <w:rPr/>
        <w:t xml:space="preserve"> · </w:t>
      </w:r>
      <w:hyperlink r:id="rIdKlausur66">
        <w:r>
          <w:rPr>
            <w:color w:val="174D72"/>
            <w:u w:val="single"/>
          </w:rPr>
          <w:t xml:space="preserve">Schulgesetz (§ 48) ↗</w:t>
        </w:r>
      </w:hyperlink>
      <w:r>
        <w:rPr/>
        <w:t xml:space="preserve"> · </w:t>
      </w:r>
      <w:hyperlink r:id="rIdKlausur67">
        <w:r>
          <w:rPr>
            <w:color w:val="174D72"/>
            <w:u w:val="single"/>
          </w:rPr>
          <w:t xml:space="preserve">APO-GOSt aktuell ↗</w:t>
        </w:r>
      </w:hyperlink>
      <w:r>
        <w:rPr/>
        <w:t xml:space="preserve"> · </w:t>
      </w:r>
      <w:hyperlink r:id="rIdKlausur68">
        <w:r>
          <w:rPr>
            <w:color w:val="174D72"/>
            <w:u w:val="single"/>
          </w:rPr>
          <w:t xml:space="preserve">APO-GOSt ab 2027 ↗</w:t>
        </w:r>
      </w:hyperlink>
    </w:p>
    <w:p>
      <w:pPr>
        <w:pStyle w:val="Heading2"/>
        <w:jc w:val="left"/>
      </w:pPr>
      <w:r>
        <w:rPr/>
        <w:t xml:space="preserve">13.2 Anforderungsbereiche und ihre Gewichtung</w:t>
      </w:r>
      <w:bookmarkStart w:id="208" w:name="klausuren_2"/>
      <w:bookmarkEnd w:id="208"/>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Einen bekannten Versuchsaufbau anhand des Materials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Eine Messreihe auswerten und einen bekannten Zusammenhang auf die neue Situation übertragen.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Messverfahren eigenständig entwickeln oder die Tragfähigkeit eines Modells begründet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209" w:name="klausuren_3"/>
      <w:bookmarkEnd w:id="209"/>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In Physik sollen Teilaufgaben in der Regel ein bis zwei Operatoren enthalten; für eine vollständige Abituraufgabe nennen die Konstruktionsvorgaben insgesamt 8–10 Operatoren im Grundkurs und 10–12 im Leistungskurs.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210" w:name="klausuren_4"/>
      <w:bookmarkEnd w:id="210"/>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Physik werden die nachvollziehbare mathematische Darstellung, korrekte Einheiten, geeignete Diagramme und die Erläuterung verwendeter Modelle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211" w:name="klausuren_5"/>
      <w:bookmarkEnd w:id="211"/>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212" w:name="klausuren_6"/>
      <w:bookmarkEnd w:id="212"/>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57" w:name="gkl"/>
      <w:pPr>
        <w:pStyle w:val="Heading1"/>
        <w:pageBreakBefore/>
      </w:pPr>
      <w:r>
        <w:t>14 Gleichwertige komplexe Leistungsnachweise: Aufgaben und Bewertungsraster</w:t>
      </w:r>
      <w:bookmarkEnd w:id="57"/>
    </w:p>
    <w:p>
      <w:pPr>
        <w:pStyle w:val="Heading2"/>
      </w:pPr>
      <w:r>
        <w:t>14.1 Einordnung und transparente Vereinbarungen</w:t>
      </w:r>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in Abschnitt 1.3 erläuterte Verbindung von Fachbildung und den vier K bildet den pädagogischen Rahmen dieser Prüfungsform.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2"/>
      </w:pPr>
      <w:r>
        <w:t>14.2 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2"/>
      </w:pPr>
      <w:r>
        <w:t>14.3 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2"/>
      </w:pPr>
      <w:r>
        <w:t>14.4 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pPr>
        <w:pStyle w:val="Heading1"/>
        <w:jc w:val="left"/>
        <w:pageBreakBefore/>
      </w:pPr>
      <w:r>
        <w:rPr/>
        <w:t xml:space="preserve">15 Abiturprüfung</w:t>
      </w:r>
      <w:bookmarkStart w:id="213" w:name="abiturpruefung"/>
      <w:bookmarkEnd w:id="213"/>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214" w:name="abitur_schriftlich"/>
      <w:bookmarkEnd w:id="214"/>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215" w:name="abitur_muendlich"/>
      <w:bookmarkEnd w:id="215"/>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216" w:name="abitur_bewertung"/>
      <w:bookmarkEnd w:id="216"/>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 xml:space="preserve">Amtliche Grundlagen:</w:t>
      </w:r>
      <w:r>
        <w:rPr/>
        <w:t xml:space="preserve"> </w:t>
      </w:r>
      <w:hyperlink r:id="rIdKlausur69">
        <w:r>
          <w:rPr>
            <w:color w:val="174D72"/>
            <w:u w:val="single"/>
          </w:rPr>
          <w:t xml:space="preserve">APO-GOSt bisher: §§ 32–38</w:t>
        </w:r>
      </w:hyperlink>
      <w:r>
        <w:rPr/>
        <w:t xml:space="preserve"> · </w:t>
      </w:r>
      <w:hyperlink r:id="rIdKlausur70">
        <w:r>
          <w:rPr>
            <w:color w:val="174D72"/>
            <w:u w:val="single"/>
          </w:rPr>
          <w:t xml:space="preserve">APO-GOSt ab EF 2027/28: §§ 33–35</w:t>
        </w:r>
      </w:hyperlink>
      <w:r>
        <w:rPr/>
        <w:t xml:space="preserve"> · </w:t>
      </w:r>
      <w:hyperlink r:id="rIdKlausur71">
        <w:r>
          <w:rPr>
            <w:color w:val="174D72"/>
            <w:u w:val="single"/>
          </w:rPr>
          <w:t xml:space="preserve">Kernlehrplan 2022, Kapitel 4</w:t>
        </w:r>
      </w:hyperlink>
      <w:r>
        <w:rPr/>
        <w:t xml:space="preserve">.</w:t>
      </w:r>
    </w:p>
    <w:p>
      <w:bookmarkStart w:id="58" w:name="abitur5"/>
      <w:pPr>
        <w:pStyle w:val="Heading1"/>
        <w:pageBreakBefore/>
      </w:pPr>
      <w:r>
        <w:t>16 Vorbereitung auf das fünfte Abiturfach</w:t>
      </w:r>
      <w:bookmarkEnd w:id="58"/>
    </w:p>
    <w:p>
      <w:pPr>
        <w:pStyle w:val="Heading2"/>
      </w:pPr>
      <w:r>
        <w:t>16.1 Prüfungsformat und Geltungsbereich</w:t>
      </w:r>
    </w:p>
    <w:p>
      <w:pPr>
        <w:jc w:val="both"/>
      </w:pPr>
      <w:r>
        <w:rPr/>
        <w:t xml:space="preserve">Physikunterricht und naturwissenschaftliche Projektkurse bereiten auf die Entwicklung, Präsentation und fachliche Reflexion von Produkten vor. Die folgenden Beispiele sind an die tatsächlichen Unterrichtsleistungen und die amtlichen Prüfungsanforderungen anzupassen.</w:t>
      </w:r>
    </w:p>
    <w:p>
      <w:pPr>
        <w:jc w:val="both"/>
      </w:pPr>
      <w:r>
        <w:rPr/>
        <w:t xml:space="preserve">Die neuen Prüfungsregelungen gelten ab EF-Eintritt 2027/28 aufsteigend, regulär erstmals im Abitur 2030. Die Präsentationsprüfung richtet sich nach § 35 der neuen APO-GOSt. Die Besondere Lernleistung mit Kolloquium nach § 36 ist ein eigenständiges Format; die folgende Darstellung bezieht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72">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73">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jc w:val="both"/>
      </w:pPr>
      <w:r>
        <w:rPr>
          <w:b/>
        </w:rPr>
        <w:t xml:space="preserve">Folgerung für die Unterrichts- und Klausurgestaltung.</w:t>
      </w:r>
      <w:r>
        <w:rPr/>
        <w:t xml:space="preserve"> Die in Kapitel 13 vereinbarte Kontextorientierung schafft dafür geeignete Anknüpfungspunkte: Klausuren und GKLs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Teil 1 umfasst zehn Minuten zusammenhängende Präsentation mit Reflexion und neuer Verknüpfung der zugrunde liegenden Leistungen; Teil 2 ist ein vertiefendes Fachgespräch zu größeren fachlichen und gegebenenfalls fachübergreifenden Zusammenhängen. Es greift die Argumentation des Prüflings auf und prüft Einordnung, Transfer und eigenständige Reflexion. Die Gesprächsgrundsätze aus Kapitel 15.2 gelten entsprechend; eine bloße Abfolge vorformulierter Fragen genügt nicht.</w:t>
      </w:r>
    </w:p>
    <w:p>
      <w:pPr>
        <w:jc w:val="both"/>
      </w:pPr>
      <w:r>
        <w:rPr/>
        <w:t xml:space="preserve">Beide Teile werden gleichwertig nach dem um prüfungsspezifische Aspekte ergänzten amtlichen Raster bewertet (</w:t>
      </w:r>
      <w:hyperlink r:id="rIdKlausur74">
        <w:r>
          <w:rPr>
            <w:color w:val="174D72"/>
            <w:u w:val="single"/>
          </w:rPr>
          <w:t xml:space="preserve">§ 35 Abs. 6 und VV 35.2.2 APO-GOSt</w:t>
        </w:r>
      </w:hyperlink>
      <w:r>
        <w:rPr/>
        <w:t xml:space="preserve">; </w:t>
      </w:r>
      <w:hyperlink r:id="rIdKlausur75">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6">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pStyle w:val="Heading2"/>
      </w:pPr>
      <w:r>
        <w:t>16.2 Vorbereitung fachlicher Präsentationen</w:t>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r>
        <w:t xml:space="preserve"> · </w:t>
      </w:r>
      <w:hyperlink r:id="rId15">
        <w:r>
          <w:rPr>
            <w:color w:val="17594E"/>
          </w:rPr>
          <w:t>APO-GOSt 2027 insbesondere §§ 32 bis 36</w:t>
        </w:r>
      </w:hyperlink>
    </w:p>
    <w:p>
      <w:bookmarkStart w:id="56" w:name="ki"/>
      <w:pPr>
        <w:pStyle w:val="Heading1"/>
        <w:pageBreakBefore/>
      </w:pPr>
      <w:r>
        <w:t>17 Mit KI lernen und Ergebnisse verantwortlich prüfen</w:t>
      </w:r>
      <w:bookmarkEnd w:id="56"/>
    </w:p>
    <w:p>
      <w:pPr>
        <w:pStyle w:val="Heading2"/>
      </w:pPr>
      <w:r>
        <w:t>17.1 Digitale Medien und fachliches Lernen</w:t>
      </w:r>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2"/>
      </w:pPr>
      <w:r>
        <w:t>17.2 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2"/>
      </w:pPr>
      <w:r>
        <w:t>17.3 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2"/>
      </w:pPr>
      <w:r>
        <w:t>17.4 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nummerierte Aufgaben mit BE und Materialverweisen, anschließend Materialien M1, M2 usw.,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2"/>
      </w:pPr>
      <w:r>
        <w:t>17.5 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 maßgeblich bleibt ihre in Abschnitt 1.3 erläuterte Grundlage in Fachwissen, Sprachbildung und menschlicher Verantwortung.</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66D18265-DD65-40AF-B9A8-0106C4E1E815}" w:subsetted="0"/>
    <w:embedBold r:id="rIdEmbed1" w:fontKey="{66D18265-DD65-40AF-B9A8-0106C4E1E815}" w:subsetted="0"/>
    <w:embedItalic r:id="rIdEmbed2" w:fontKey="{53CD81DC-C610-4506-B45D-0E05746A11B7}" w:subsetted="0"/>
    <w:embedBoldItalic r:id="rIdEmbed2" w:fontKey="{53CD81DC-C610-4506-B45D-0E05746A11B7}" w:subsetted="0"/>
  </w:font>
  <w:font w:name="Poppins">
    <w:family w:val="swiss"/>
    <w:pitch w:val="variable"/>
    <w:embedRegular r:id="rIdEmbed3" w:fontKey="{7A06C9F3-BECF-4022-BD13-792C0C843631}" w:subsetted="0"/>
    <w:embedBold r:id="rIdEmbed4" w:fontKey="{BD504B3A-DCC8-4D37-A188-D0462C5ABB99}" w:subsetted="0"/>
    <w:embedItalic r:id="rIdEmbed5" w:fontKey="{F27A0613-93B9-4E43-91C3-333950827325}" w:subsetted="0"/>
    <w:embedBoldItalic r:id="rIdEmbed6" w:fontKey="{0A2D7E2B-5D21-41AD-BB80-DF0396B556F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 Id="rId54" Type="http://schemas.openxmlformats.org/officeDocument/2006/relationships/hyperlink" Target="https://app.notion.com/p/thomaeum/b31a6bb5aa2d44fbafefe49a98ed577a?v=ecee0f46751d4515873d6d6d5d4084e5" TargetMode="External"/><Relationship Id="rId55" Type="http://schemas.openxmlformats.org/officeDocument/2006/relationships/hyperlink" Target="https://app.notion.com/p/thomaeum/cb5155763f44420cb1aa33ee3af104c9?v=c8baadcbd0b348d9b1b8b80b82487fb3" TargetMode="External"/><Relationship Id="rId56" Type="http://schemas.openxmlformats.org/officeDocument/2006/relationships/hyperlink" Target="https://genaiedu.github.io/LearningApps2/physik-curriculum.html" TargetMode="External"/><Relationship Id="rIdOfficial56" Type="http://schemas.openxmlformats.org/officeDocument/2006/relationships/hyperlink" Target="https://lehrplannavigator.nrw.de/system/files/media/document/file/gost_klp_ph_2022_06_07.pdf" TargetMode="External"/><Relationship Id="rIdOfficial57" Type="http://schemas.openxmlformats.org/officeDocument/2006/relationships/hyperlink" Target="https://lehrplannavigator.nrw.de/system/files/media/document/file/gost_klp_ph_2026_08_24.pdf" TargetMode="External"/><Relationship Id="rIdOfficial58" Type="http://schemas.openxmlformats.org/officeDocument/2006/relationships/hyperlink" Target="https://www.standardsicherung.schulministerium.nrw.de/system/files/media/document/file/ph_operatoren_ab_abitur2025_0.pdf" TargetMode="External"/><Relationship Id="rIdOfficial59" Type="http://schemas.openxmlformats.org/officeDocument/2006/relationships/hyperlink" Target="https://www.standardsicherung.schulministerium.nrw.de/system/files/media/document/file/mathem_naturwiss_formelsammlung_nrw_2024.pdf" TargetMode="External"/><Relationship Id="rIdOfficial60" Type="http://schemas.openxmlformats.org/officeDocument/2006/relationships/hyperlink" Target="https://bass.schule.nrw/9607.htm" TargetMode="External"/><Relationship Id="rIdOfficial61" Type="http://schemas.openxmlformats.org/officeDocument/2006/relationships/hyperlink" Target="https://bass.schule.nrw/20319.htm" TargetMode="External"/><Relationship Id="rIdKlausur63" Type="http://schemas.openxmlformats.org/officeDocument/2006/relationships/hyperlink" Target="https://lehrplannavigator.nrw.de/system/files/media/document/file/gost_klp_ph_2022_06_07.pdf" TargetMode="External"/><Relationship Id="rIdKlausur64" Type="http://schemas.openxmlformats.org/officeDocument/2006/relationships/hyperlink" Target="https://www.standardsicherung.schulministerium.nrw.de/system/files/media/document/file/konstruktionsvorgaben_physik_ab_abitur_2025.pdf" TargetMode="External"/><Relationship Id="rIdKlausur65" Type="http://schemas.openxmlformats.org/officeDocument/2006/relationships/hyperlink" Target="https://www.standardsicherung.schulministerium.nrw.de/system/files/media/document/file/ph_operatoren_ab_abitur2025_0.pdf" TargetMode="External"/><Relationship Id="rIdKlausur66" Type="http://schemas.openxmlformats.org/officeDocument/2006/relationships/hyperlink" Target="https://bass.schule.nrw/6043.htm" TargetMode="External"/><Relationship Id="rIdKlausur67" Type="http://schemas.openxmlformats.org/officeDocument/2006/relationships/hyperlink" Target="https://bass.schule.nrw/9607.htm"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9607.htm" TargetMode="External"/><Relationship Id="rIdKlausur70" Type="http://schemas.openxmlformats.org/officeDocument/2006/relationships/hyperlink" Target="https://bass.schule.nrw/20319.htm" TargetMode="External"/><Relationship Id="rIdKlausur71" Type="http://schemas.openxmlformats.org/officeDocument/2006/relationships/hyperlink" Target="https://lehrplannavigator.nrw.de/system/files/media/document/file/gost_klp_ph_2022_06_07.pdf" TargetMode="External"/><Relationship Id="rIdKlausur72" Type="http://schemas.openxmlformats.org/officeDocument/2006/relationships/hyperlink" Target="https://bass.schule.nrw/20319.htm" TargetMode="External"/><Relationship Id="rIdKlausur73" Type="http://schemas.openxmlformats.org/officeDocument/2006/relationships/hyperlink" Target="https://bass.schule.nrw/anlagen/20319-23.pdf" TargetMode="External"/><Relationship Id="rIdKlausur74" Type="http://schemas.openxmlformats.org/officeDocument/2006/relationships/hyperlink" Target="https://bass.schule.nrw/20319.htm" TargetMode="External"/><Relationship Id="rIdKlausur75" Type="http://schemas.openxmlformats.org/officeDocument/2006/relationships/hyperlink" Target="https://bass.schule.nrw/anlagen/20319-24.pdf" TargetMode="External"/><Relationship Id="rIdKlausur76"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