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rPr>
          <w:b w:val="1"/>
        </w:rP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pPr>
        <w:spacing w:before="360"/>
      </w:pPr>
      <w:r>
        <w:t>Vorbereitet für die neue Oberstufenordnung</w:t>
        <w:br/>
        <w:t>mit ausgewiesenen Regelungen für den Übergang.</w:t>
      </w:r>
    </w:p>
    <w:p>
      <w:pPr>
        <w:pStyle w:val="Heading1"/>
        <w:pageBreakBefore/>
        <w:spacing w:after="440"/>
      </w:pPr>
      <w:r>
        <w:t>Links und Onlinefassungen</w:t>
      </w:r>
    </w:p>
    <w:p>
      <w:pPr>
        <w:spacing w:before="160" w:after="240"/>
      </w:pPr>
      <w:hyperlink r:id="rId17">
        <w:r>
          <w:rPr>
            <w:rFonts w:ascii="Inter" w:hAnsi="Inter" w:eastAsia="Inter" w:cs="Inter"/>
            <w:color w:val="17594E"/>
            <w:u w:val="single"/>
            <w:sz w:val="25"/>
          </w:rPr>
          <w:t>Onlinefassung des Curriculums  ↗</w:t>
        </w:r>
      </w:hyperlink>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