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 · Arbeitskopie</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34 Unterrichtsvorhaben mit vollständigen Kompetenzzuordnungen</w:t>
        <w:br/>
        <w:t>Leistungsbewertung · GKL · Fünftes Abiturfach · Lernen mit KI</w:t>
      </w:r>
    </w:p>
    <w:p>
      <w:pPr>
        <w:pStyle w:val="Compact"/>
        <w:spacing w:before="500"/>
        <w:suppressAutoHyphens w:val="1"/>
      </w:pPr>
      <w:r>
        <w:t xml:space="preserve">Stand 29.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pStyle w:val="Normal"/>
        <w:jc w:val="both"/>
      </w:pPr>
      <w:hyperlink r:id="rIdAudit193">
        <w:r>
          <w:rPr>
            <w:rStyle w:val="Hyperlink"/>
          </w:rPr>
          <w:t xml:space="preserve">Fachkalender der Arbeitskopie · 2026/27 und 2027/28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r>
          <w:t>4</w:t>
        </w:r>
      </w:fldSimple>
    </w:p>
    <w:p>
      <w:pPr>
        <w:keepNext/>
        <w:tabs>
          <w:tab w:pos="9074" w:val="right" w:leader="dot"/>
        </w:tabs>
        <w:suppressAutoHyphens w:val="1"/>
      </w:pPr>
      <w:r/>
      <w:hyperlink w:anchor="didaktik">
        <w:r>
          <w:rPr>
            <w:color w:val="174D72"/>
          </w:rPr>
          <w:t>2 Grundsätze der Unterrichtsgestaltung</w:t>
        </w:r>
      </w:hyperlink>
      <w:r>
        <w:tab/>
      </w:r>
      <w:fldSimple w:instr="PAGEREF didaktik \h">
        <w:r>
          <w:t>10</w:t>
        </w:r>
      </w:fldSimple>
    </w:p>
    <w:p>
      <w:pPr>
        <w:keepNext/>
        <w:tabs>
          <w:tab w:pos="9074" w:val="right" w:leader="dot"/>
        </w:tabs>
        <w:suppressAutoHyphens w:val="1"/>
      </w:pPr>
      <w:r/>
      <w:hyperlink w:anchor="leistung">
        <w:r>
          <w:rPr>
            <w:color w:val="174D72"/>
          </w:rPr>
          <w:t>3 Lernerfolgsüberprüfung und Leistungsbewertung</w:t>
        </w:r>
      </w:hyperlink>
      <w:r>
        <w:tab/>
      </w:r>
      <w:fldSimple w:instr="PAGEREF leistung \h">
        <w:r>
          <w:t>14</w:t>
        </w:r>
      </w:fldSimple>
    </w:p>
    <w:p>
      <w:pPr>
        <w:keepNext/>
        <w:tabs>
          <w:tab w:pos="9074" w:val="right" w:leader="dot"/>
        </w:tabs>
        <w:suppressAutoHyphens w:val="1"/>
      </w:pPr>
      <w:r/>
      <w:hyperlink w:anchor="si">
        <w:r>
          <w:rPr>
            <w:color w:val="174D72"/>
          </w:rPr>
          <w:t>4 Unterrichtsvorhaben der Sekundarstufe I</w:t>
        </w:r>
      </w:hyperlink>
      <w:r>
        <w:tab/>
      </w:r>
      <w:fldSimple w:instr="PAGEREF si \h">
        <w:r>
          <w:t>21</w:t>
        </w:r>
      </w:fldSimple>
    </w:p>
    <w:p>
      <w:pPr>
        <w:keepNext/>
        <w:tabs>
          <w:tab w:pos="9074" w:val="right" w:leader="dot"/>
        </w:tabs>
        <w:suppressAutoHyphens w:val="1"/>
      </w:pPr>
      <w:r/>
      <w:hyperlink w:anchor="ef">
        <w:r>
          <w:rPr>
            <w:color w:val="174D72"/>
          </w:rPr>
          <w:t>5 Unterrichtsvorhaben der Einführungsphase</w:t>
        </w:r>
      </w:hyperlink>
      <w:r>
        <w:tab/>
      </w:r>
      <w:fldSimple w:instr="PAGEREF ef \h">
        <w:r>
          <w:t>39</w:t>
        </w:r>
      </w:fldSimple>
    </w:p>
    <w:p>
      <w:pPr>
        <w:keepNext/>
        <w:tabs>
          <w:tab w:pos="9074" w:val="right" w:leader="dot"/>
        </w:tabs>
        <w:suppressAutoHyphens w:val="1"/>
      </w:pPr>
      <w:r/>
      <w:hyperlink w:anchor="gk">
        <w:r>
          <w:rPr>
            <w:color w:val="174D72"/>
          </w:rPr>
          <w:t>6 Unterrichtsvorhaben im Grundkurs</w:t>
        </w:r>
      </w:hyperlink>
      <w:r>
        <w:tab/>
      </w:r>
      <w:fldSimple w:instr="PAGEREF gk \h">
        <w:r>
          <w:t>46</w:t>
        </w:r>
      </w:fldSimple>
    </w:p>
    <w:p>
      <w:pPr>
        <w:keepNext/>
        <w:tabs>
          <w:tab w:pos="9074" w:val="right" w:leader="dot"/>
        </w:tabs>
        <w:suppressAutoHyphens w:val="1"/>
      </w:pPr>
      <w:r/>
      <w:hyperlink w:anchor="lk">
        <w:r>
          <w:rPr>
            <w:color w:val="174D72"/>
          </w:rPr>
          <w:t>7 Unterrichtsvorhaben im Leistungskurs</w:t>
        </w:r>
      </w:hyperlink>
      <w:r>
        <w:tab/>
      </w:r>
      <w:fldSimple w:instr="PAGEREF lk \h">
        <w:r>
          <w:t>58</w:t>
        </w:r>
      </w:fldSimple>
    </w:p>
    <w:p>
      <w:pPr>
        <w:keepNext/>
        <w:tabs>
          <w:tab w:pos="9074" w:val="right" w:leader="dot"/>
        </w:tabs>
        <w:suppressAutoHyphens w:val="1"/>
      </w:pPr>
      <w:r/>
      <w:hyperlink w:anchor="qualitaet">
        <w:r>
          <w:rPr>
            <w:color w:val="174D72"/>
          </w:rPr>
          <w:t>8 Zusammenarbeit und Qualitätssicherung</w:t>
        </w:r>
      </w:hyperlink>
      <w:r>
        <w:tab/>
      </w:r>
      <w:fldSimple w:instr="PAGEREF qualitaet \h">
        <w:r>
          <w:t>75</w:t>
        </w:r>
      </w:fldSimple>
    </w:p>
    <w:p>
      <w:pPr>
        <w:keepNext/>
        <w:tabs>
          <w:tab w:pos="9074" w:val="right" w:leader="dot"/>
        </w:tabs>
        <w:suppressAutoHyphens w:val="1"/>
      </w:pPr>
      <w:r/>
      <w:hyperlink w:anchor="medien_verbraucherbildung">
        <w:r>
          <w:rPr>
            <w:color w:val="174D72"/>
          </w:rPr>
          <w:t xml:space="preserve">9 Medienkompetenz und Verbraucherbildung</w:t>
        </w:r>
      </w:hyperlink>
      <w:r>
        <w:tab/>
      </w:r>
      <w:fldSimple w:instr="PAGEREF medien_verbraucherbildung \h">
        <w:r>
          <w:t>77</w:t>
        </w:r>
      </w:fldSimple>
    </w:p>
    <w:p>
      <w:pPr>
        <w:keepNext/>
        <w:tabs>
          <w:tab w:pos="9074" w:val="right" w:leader="dot"/>
        </w:tabs>
        <w:suppressAutoHyphens w:val="1"/>
      </w:pPr>
      <w:r/>
      <w:hyperlink w:anchor="abgleich">
        <w:r>
          <w:rPr>
            <w:color w:val="174D72"/>
          </w:rPr>
          <w:t xml:space="preserve">10 Sicherung der Kompetenzentwicklung</w:t>
        </w:r>
      </w:hyperlink>
      <w:r>
        <w:tab/>
      </w:r>
      <w:fldSimple w:instr="PAGEREF abgleich \h">
        <w:r>
          <w:t>80</w:t>
        </w:r>
      </w:fldSimple>
    </w:p>
    <w:p>
      <w:pPr>
        <w:keepNext/>
        <w:tabs>
          <w:tab w:pos="9074" w:val="right" w:leader="dot"/>
        </w:tabs>
        <w:suppressAutoHyphens w:val="1"/>
      </w:pPr>
      <w:r/>
      <w:hyperlink w:anchor="generisch">
        <w:r>
          <w:rPr>
            <w:color w:val="174D72"/>
          </w:rPr>
          <w:t xml:space="preserve">11 Vollständige übergeordnete Kompetenzen</w:t>
        </w:r>
      </w:hyperlink>
      <w:r>
        <w:tab/>
      </w:r>
      <w:fldSimple w:instr="PAGEREF generisch \h">
        <w:r>
          <w:t>83</w:t>
        </w:r>
      </w:fldSimple>
    </w:p>
    <w:p>
      <w:pPr>
        <w:keepNext/>
        <w:tabs>
          <w:tab w:pos="9074" w:val="right" w:leader="dot"/>
        </w:tabs>
        <w:suppressAutoHyphens w:val="1"/>
      </w:pPr>
      <w:r/>
      <w:hyperlink w:anchor="register">
        <w:r>
          <w:rPr>
            <w:color w:val="174D72"/>
          </w:rPr>
          <w:t xml:space="preserve">12 Register der konkretisierten Kompetenzen</w:t>
        </w:r>
      </w:hyperlink>
      <w:r>
        <w:tab/>
      </w:r>
      <w:fldSimple w:instr="PAGEREF register \h">
        <w:r>
          <w:t>105</w:t>
        </w:r>
      </w:fldSimple>
    </w:p>
    <w:p>
      <w:pPr>
        <w:keepNext/>
        <w:tabs>
          <w:tab w:pos="9074" w:val="right" w:leader="dot"/>
        </w:tabs>
        <w:suppressAutoHyphens w:val="1"/>
      </w:pPr>
      <w:r/>
      <w:hyperlink w:anchor="quellen">
        <w:r>
          <w:rPr>
            <w:color w:val="174D72"/>
          </w:rPr>
          <w:t xml:space="preserve">13 Quellen und Geltungsstand</w:t>
        </w:r>
      </w:hyperlink>
      <w:r>
        <w:tab/>
      </w:r>
      <w:fldSimple w:instr="PAGEREF quellen \h">
        <w:r>
          <w:t>133</w:t>
        </w:r>
      </w:fldSimple>
    </w:p>
    <w:p>
      <w:pPr>
        <w:keepNext/>
        <w:tabs>
          <w:tab w:pos="9074" w:val="right" w:leader="dot"/>
        </w:tabs>
        <w:suppressAutoHyphens w:val="1"/>
      </w:pPr>
      <w:r/>
      <w:hyperlink w:anchor="klausurengestaltung">
        <w:r>
          <w:rPr>
            <w:color w:val="174D72"/>
          </w:rPr>
          <w:t xml:space="preserve">14 Klausuren gestalten und bewerten</w:t>
        </w:r>
      </w:hyperlink>
      <w:r>
        <w:tab/>
      </w:r>
      <w:fldSimple w:instr="PAGEREF klausurengestaltung \h">
        <w:r>
          <w:t>137</w:t>
        </w:r>
      </w:fldSimple>
    </w:p>
    <w:p>
      <w:pPr>
        <w:keepNext/>
        <w:tabs>
          <w:tab w:pos="9074" w:val="right" w:leader="dot"/>
        </w:tabs>
        <w:suppressAutoHyphens w:val="1"/>
      </w:pPr>
      <w:r/>
      <w:hyperlink w:anchor="gkl">
        <w:r>
          <w:rPr>
            <w:color w:val="174D72"/>
          </w:rPr>
          <w:t xml:space="preserve">15 Gleichwertige komplexe Leistungsnachweise: Aufgaben und Bewertungsraster</w:t>
        </w:r>
      </w:hyperlink>
      <w:r>
        <w:tab/>
      </w:r>
      <w:fldSimple w:instr="PAGEREF gkl \h">
        <w:r>
          <w:t>142</w:t>
        </w:r>
      </w:fldSimple>
    </w:p>
    <w:p>
      <w:pPr>
        <w:keepNext/>
        <w:tabs>
          <w:tab w:pos="9074" w:val="right" w:leader="dot"/>
        </w:tabs>
        <w:suppressAutoHyphens w:val="1"/>
      </w:pPr>
      <w:r/>
      <w:hyperlink w:anchor="abiturpruefung">
        <w:r>
          <w:rPr>
            <w:color w:val="174D72"/>
          </w:rPr>
          <w:t xml:space="preserve">16 Abiturprüfung</w:t>
        </w:r>
      </w:hyperlink>
      <w:r>
        <w:tab/>
      </w:r>
      <w:fldSimple w:instr="PAGEREF abiturpruefung \h">
        <w:r>
          <w:t>160</w:t>
        </w:r>
      </w:fldSimple>
    </w:p>
    <w:p>
      <w:pPr>
        <w:keepNext/>
        <w:tabs>
          <w:tab w:pos="9074" w:val="right" w:leader="dot"/>
        </w:tabs>
        <w:suppressAutoHyphens w:val="1"/>
      </w:pPr>
      <w:r/>
      <w:hyperlink w:anchor="fuenftes">
        <w:r>
          <w:rPr>
            <w:color w:val="174D72"/>
          </w:rPr>
          <w:t xml:space="preserve">17 Vorbereitung auf das fünfte Abiturfach</w:t>
        </w:r>
      </w:hyperlink>
      <w:r>
        <w:tab/>
      </w:r>
      <w:fldSimple w:instr="PAGEREF fuenftes \h">
        <w:r>
          <w:t>163</w:t>
        </w:r>
      </w:fldSimple>
    </w:p>
    <w:p>
      <w:pPr>
        <w:keepNext/>
        <w:tabs>
          <w:tab w:pos="9074" w:val="right" w:leader="dot"/>
        </w:tabs>
        <w:suppressAutoHyphens w:val="1"/>
      </w:pPr>
      <w:r/>
      <w:hyperlink w:anchor="ki">
        <w:r>
          <w:rPr>
            <w:color w:val="174D72"/>
          </w:rPr>
          <w:t xml:space="preserve">18 Mit KI lernen und Ergebnisse verantwortlich prüfen</w:t>
        </w:r>
      </w:hyperlink>
      <w:r>
        <w:tab/>
      </w:r>
      <w:fldSimple w:instr="PAGEREF ki \h">
        <w:r>
          <w:t>170</w:t>
        </w:r>
      </w:fldSimple>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 xml:space="preserve">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15.10 zeigt die Umsetzung in GKL und ordnet beobachtbare Leistungen den Bewertungsrastern zu.</w:t>
      </w:r>
    </w:p>
    <w:p>
      <w:pPr>
        <w:pStyle w:val="Source"/>
        <w:suppressAutoHyphens w:val="1"/>
      </w:pPr>
      <w:r>
        <w:t xml:space="preserve">Quellen: P21 Framework for 21st Century Learning und Framework Definitions (2019); Kernlehrplan Chemie NRW 2026, S. 11 . Links in Kapitel 13 .</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bookmarkStart w:id="7053" w:name="abschnitt-7"/>
      <w:pPr>
        <w:pStyle w:val="Heading2"/>
        <w:keepNext/>
        <w:spacing w:after="140"/>
      </w:pPr>
      <w:r>
        <w:t>1.3 Schulinterne Planung und Organisation</w:t>
      </w:r>
      <w:bookmarkEnd w:id="7053"/>
    </w:p>
    <w:p>
      <w:pPr>
        <w:spacing w:after="140"/>
      </w:pPr>
      <w:r>
        <w:t>Am Thomaeum beginnt der reguläre Chemieunterricht in Jahrgang 7. Die Arbeitskopie umfasst 15 Vorhaben in der Sekundarstufe I, vier in der EF, sieben im Grundkurs und acht im Leistungskurs. Grund- und Leistungskurs sind alternative Bildungsgänge; ihre Stundenkontingente werden nicht addiert.</w:t>
      </w:r>
    </w:p>
    <w:tbl>
      <w:tblPr>
        <w:tblW w:type="dxa" w:w="9074"/>
        <w:tblLayout w:type="fixed"/>
        <w:tblLook w:firstColumn="1" w:firstRow="1" w:lastColumn="0" w:lastRow="0" w:noHBand="0" w:noVBand="1" w:val="04A0"/>
      </w:tblPr>
      <w:tblGrid>
        <w:gridCol w:w="2600"/>
        <w:gridCol w:w="1300"/>
        <w:gridCol w:w="1500"/>
        <w:gridCol w:w="3670"/>
      </w:tblGrid>
      <w:tr>
        <w:trPr>
          <w:cantSplit/>
          <w:tblHeader/>
        </w:trPr>
        <w:tc>
          <w:tcPr>
            <w:tcW w:w="26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 / Kurs</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Vorhaben bzw. Teilblöcke</w:t>
            </w:r>
          </w:p>
        </w:tc>
        <w:tc>
          <w:tcPr>
            <w:tcW w:w="150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c>
          <w:tcPr>
            <w:tcW w:w="3670" w:type="dxa"/>
            <w:shd w:fill="DDE9EC"/>
            <w:tcMar>
              <w:top w:w="90" w:type="dxa"/>
              <w:bottom w:w="90" w:type="dxa"/>
              <w:left w:w="95" w:type="dxa"/>
              <w:right w:w="95" w:type="dxa"/>
            </w:tcMar>
          </w:tcPr>
          <w:p>
            <w:pPr>
              <w:jc w:val="left"/>
              <w:spacing w:after="0" w:line="264" w:lineRule="auto"/>
              <w:keepNext/>
            </w:pPr>
            <w:r>
              <w:rPr>
                <w:b/>
                <w:sz w:val="18"/>
                <w:rFonts w:ascii="Inter"/>
              </w:rPr>
              <w:t xml:space="preserve">Verteilung</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Jahrgang 7</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38</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6 + 10 + 10 + 12</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Jahrgang 8</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22 + 14 + 18 + 22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Jahrgang 9</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3</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24 + 26 + 26</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Jahrgang 10</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28 + 24 + 12 + 12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113</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44 + 21 + 24 + 24</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Q1 GK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5</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113</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28 + 24 + 40 + 10 + 11</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Q2 GK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3</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62</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18 + 10 + 34</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Q1 LK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5</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188</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42 + 32 + 50 + 12 + 52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Q2 LK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103</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8 + 12 + 59 + 24</w:t>
            </w:r>
          </w:p>
        </w:tc>
      </w:tr>
    </w:tbl>
    <w:p>
      <w:pPr>
        <w:spacing w:after="60"/>
      </w:pPr>
    </w:p>
    <w:p>
      <w:pPr>
        <w:spacing w:after="140"/>
      </w:pPr>
      <w:r>
        <w:t xml:space="preserve">Die Zeitrichtwerte orientieren sich am Schuljahr 2026/27 und an den im Fachkalender berücksichtigten Ferien, Feiertagen und bekannten schulfreien Tagen. Sie umfassen Erarbeitung, Experimente, Übung, Diagnose, Rückmeldung und die in der Unterrichtszeit liegenden Leistungsnachweise. In Q2 kommen zu den Vorhaben 12 UStd im Grundkurs bzw. 20 UStd im Leistungskurs für vier Unterrichtswochen Abiturvorbereitung hinzu. Diese Zeit ist nicht in den Vorhabenstunden enthalten.</w:t>
      </w:r>
    </w:p>
    <w:p>
      <w:pPr>
        <w:pStyle w:val="Normal"/>
        <w:jc w:val="both"/>
      </w:pPr>
      <w:r>
        <w:rPr/>
        <w:t xml:space="preserve">Das Kalenderbudget ist eine rechnerische Planung aus verfügbaren Schultagen und Wochenstunden, keine Zusage tatsächlich erteilter Stunden. Die Rundung auf ganze Unterrichtsstunden weicht 2026/27 je Jahrgang um höchstens 0,4 UStd ab. Unterrichtsausfälle und die konkrete Lage der Fachstunden werden bei der Jahresplanung berücksichtigt. Für andere Schuljahre verteilt der </w:t>
      </w:r>
      <w:hyperlink r:id="rIdAudit111">
        <w:r>
          <w:rPr>
            <w:rStyle w:val="Hyperlink"/>
          </w:rPr>
          <w:t xml:space="preserve">Kalender der Arbeitskopie</w:t>
        </w:r>
      </w:hyperlink>
      <w:r>
        <w:rPr/>
        <w:t xml:space="preserve"> die Vorhaben proportional; die vier Wochen Abiturvorbereitung bleiben geschützt. Übung und Vertiefung erfolgen innerhalb der Vorhaben.</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Jahrgang / Kurs</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2026/27: rechnerisch / Richtwert</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2027/28: rechnerisches Budget</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7</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37,8 / 38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37,2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8, 9 und 10 · jeweils</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75,6 / 76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74,4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EF</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113,4 / 113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111,6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Q1 GK</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112,8 / 113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111,6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Q1 LK</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188 / 188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186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Q2 GK · Vorhaben</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61,8 / 62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68,4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Q2 LK · Vorhaben</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103 / 103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114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Q2 · Abiturvorbereitung</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zusätzlich 12 GK / 20 LK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zusätzlich 12 GK / 20 LK UStd</w:t>
            </w:r>
          </w:p>
        </w:tc>
      </w:tr>
    </w:tbl>
    <w:p/>
    <w:p>
      <w:pPr>
        <w:pStyle w:val="Normal"/>
        <w:jc w:val="both"/>
      </w:pPr>
      <w:r>
        <w:rPr/>
        <w:t xml:space="preserve">Für die EF 2027/28 dient diese Zeitverteilung nur als Planungsmodell. Dort gilt bereits der Kernlehrplan 2026; die inhaltliche Grundlage dieser Arbeitskopie bleibt 2019/2022 und muss für neu eintretende Oberstufenjahrgänge durch die entsprechende Fassung ersetzt werden. Für Q1 und Q2 2027/28 bleibt die bisherige Oberstufengrundlage maßgeblich.</w:t>
      </w:r>
    </w:p>
    <w:p>
      <w:pPr>
        <w:spacing w:after="140"/>
      </w:pPr>
      <w:r>
        <w:t>In Jahrgang 7 ist eine, in den Jahrgängen 8 bis 10 sind zwei Wochenstunden Chemie vorgesehen. Eine Unterrichtsstunde entspricht 45 Minuten; der Unterricht findet überwiegend in Doppelstunden statt. Zeitliche Anpassungen bleiben möglich, ohne verbindliche Inhalte oder Kompetenzen auszulassen.</w:t>
      </w:r>
    </w:p>
    <w:p>
      <w:pPr>
        <w:spacing w:after="140"/>
      </w:pPr>
      <w: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pacing w:after="140"/>
      </w:pPr>
      <w: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t xml:space="preserve">Das Curriculum bereitet den Übergang didaktisch vor: Kapitel 2 verbindet Untersuchungsfragen, Modellkritik, Sprachbildung und kooperatives Arbeiten. Kapitel 2.5 und 18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 xml:space="preserve">Kapitel 15 konkretisiert die vier K durch Präsentationen und Experimente, bei denen Lernende den Kurs anleiten, Daten auswerten und Entscheidungen begründen. Auch bei gemeinsamen Produkten wird ausschließlich die nachgewiesene Leistung jeder einzelnen Person bewertet. Kapitel 17 bereitet wissenschaftliches Arbeiten, Produktreflexion und Fachgespräche für das fünfte Abiturfach vor. Die rechtlichen Voraussetzungen für GKL und das fünfte Abiturfach regelt die neue APO-GOSt. Die Vorbereitung auf diese Prüfungsformate bedeutet nicht, dass die neuen Prüfungsregelungen bereits gelten.</w:t>
      </w:r>
    </w:p>
    <w:p>
      <w:pPr>
        <w:suppressAutoHyphens w:val="0"/>
        <w:jc w:val="both"/>
      </w:pPr>
      <w:r>
        <w:rPr>
          <w:lang w:val="de-DE"/>
        </w:rPr>
        <w:t xml:space="preserve">Die Kompetenznachweise in Kapitel 4 bis 12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 xml:space="preserve">Grundlagen: Kernlehrplan Chemie 2022 ; Kernlehrplan Chemie 2026, insbesondere S. 11–12 ; Einführungserlass vom 7. August 2026; neue APO-GOSt . Vollständige Quellen in Kapitel 13 .</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 xml:space="preserve">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11 .</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bookmarkStart w:id="7054" w:name="abschnitt-13"/>
      <w:pPr>
        <w:pStyle w:val="Heading2"/>
        <w:keepNext/>
        <w:spacing w:after="140"/>
      </w:pPr>
      <w:r>
        <w:t>2.2 Progression und kumulatives Lernen</w:t>
      </w:r>
      <w:bookmarkEnd w:id="7054"/>
    </w:p>
    <w:p>
      <w:pPr>
        <w:spacing w:after="140"/>
      </w:pPr>
      <w:r>
        <w:t>Der Laborführerschein bildet in 07.1 die Grundlage. Stoffeigenschaften und Stofftrennung werden in 07.2 und 07.3 getrennt erarbeitet; 07.4 führt Verbrennung und erste Reaktionsvorstellungen ein. Metallgewinnung in 08.1 wird vor der systematischen Sicherung des Reaktionsbegriffs in 08.2 behandelt. Wortgleichungen, Stoff- und Energieumwandlung werden deshalb bereits in 07.4 und 08.1 eingeführt. Mit 08.2 ist die erste Stufe einschließlich IF 1 bis 4 abgeschlossen.</w:t>
      </w:r>
    </w:p>
    <w:p>
      <w:pPr>
        <w:spacing w:after="140"/>
      </w:pPr>
      <w:r>
        <w:t>Die Atommodelle in 08.3 sichern Kern-Hülle-Vorstellung, Elektronenkonfiguration und PSE-Nutzung, bevor Mineralien und Ionenbindung in 08.4 behandelt werden. Elementfamilien werden in 09.1 systematisch untersucht und auf den Atombau zurückgeführt. Elektronenübertragung und Molekülverbindungen folgen in 09.2 und 09.3. Klasse 10 vernetzt Protonenübertragung, Organik und technische Synthese.</w:t>
      </w:r>
    </w:p>
    <w:p>
      <w:pPr>
        <w:spacing w:after="140"/>
      </w:pPr>
      <w:r>
        <w:t xml:space="preserve">Die EF verbindet organische Stoffklassen im Parfum-Kontext mit Kinetik, Gleichgewicht und Klimafragen. In Q1 werden Säure-Base-Chemie, Thermodynamik und Elektrochemie aufeinander aufgebaut. In beiden Kursarten beginnt die Organik in Q1 und wird in Q2 fortgesetzt; der größere Q1-Anteil im LK berücksichtigt die umfangreicheren Mechanismen und Aromaten. Kunststoffe folgen in beiden Kursarten in Q2, Farbstoffe zusätzlich im LK. Eine Zuordnung in der Kompetenzmatrix bezeichnet eine verbindliche Lerngelegenheit, nicht die einzige Behandlung einer Kompetenz.</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 xml:space="preserve">Kapitel 18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3"/>
        <w:keepNext/>
      </w:pPr>
      <w:r>
        <w:rPr/>
        <w:t xml:space="preserve">Heftführung und kurze schriftliche Überprüfungen in der Sekundarstufe I</w:t>
      </w:r>
    </w:p>
    <w:p>
      <w:pPr>
        <w:pStyle w:val="Normal"/>
        <w:jc w:val="both"/>
      </w:pPr>
      <w:r>
        <w:rPr/>
        <w:t xml:space="preserve">Chemie bleibt im regulären Unterricht der Sekundarstufe I in erster Linie ein mündliches Fach mit einem wesentlichen praktisch-experimentellen Anteil. Die Note entsteht aus dem Gesamtbild der Sonstigen Leistungen im Unterricht. Den Schwerpunkt bilden die fachliche Qualität, Kontinuität und Selbstständigkeit mündlicher und praktischer Beiträge; die Häufigkeit von Wortmeldungen allein ist nicht ausschlaggebend.</w:t>
      </w:r>
    </w:p>
    <w:p>
      <w:pPr>
        <w:pStyle w:val="Normal"/>
        <w:jc w:val="both"/>
      </w:pPr>
      <w:r>
        <w:rPr/>
        <w:t xml:space="preserve">Auch die Heft- bzw. Mappenführung geht als fachliche Dokumentationsleistung in die Note ein. Bewertet werden nachvollziehbare und fachlich richtige Aufzeichnungen, eine zweckmäßige Gliederung, die Vollständigkeit der vereinbarten Unterrichtsdokumentation, verständliche Versuchsprotokolle, korrekt beschriftete Darstellungen sowie erkennbare Auswertung und Überarbeitung. Eine aufwendige äußere Gestaltung ist kein eigenständiger Leistungsmaßstab. Entsprechende digitale Dokumentationen werden nach denselben fachlichen Kriterien beurteilt.</w:t>
      </w:r>
    </w:p>
    <w:p>
      <w:pPr>
        <w:pStyle w:val="Normal"/>
        <w:jc w:val="both"/>
      </w:pPr>
      <w:r>
        <w:rPr/>
        <w:t xml:space="preserve">Kurze schriftliche Überprüfungen (im Kernlehrplan: schriftliche Übungen) fließen ebenfalls in die Sonstigen Leistungen ein. Sie beziehen sich auf überschaubare, zuvor im Unterricht erarbeitete Inhalte und Kompetenzen und können neben Kenntnissen auch das Anwenden, Erklären und Auswerten prüfen. Sie ergänzen die kontinuierliche Beobachtung; einzelne Ergebnisse dominieren die Fachnote aber nicht. Es entsteht kein eigener, den Sonstigen Leistungen gegenübergestellter Bereich schriftlicher Arbeiten wie in einem Klassenarbeitsfach. Bewertungskriterien und Bedeutung der einzelnen Leistungsformen werden den Lernenden vorab erläutert; die Gesamtnote wird nicht allein durch das arithmetische Mittel kurzer Tests bestimmt.</w:t>
      </w:r>
    </w:p>
    <w:p>
      <w:pPr>
        <w:pStyle w:val="Normal"/>
        <w:jc w:val="both"/>
      </w:pPr>
      <w:r>
        <w:rPr/>
        <w:t xml:space="preserve">Grundlage: </w:t>
      </w:r>
      <w:hyperlink r:id="rIdAudit112">
        <w:r>
          <w:rPr>
            <w:rStyle w:val="Hyperlink"/>
          </w:rPr>
          <w:t xml:space="preserve">Kernlehrplan Chemie Sek I 2019, Kapitel 3, S. 37–39</w:t>
        </w:r>
      </w:hyperlink>
      <w:r>
        <w:rPr/>
        <w:t xml:space="preserve">. Dort sind mündliche, schriftliche und praktische Beiträge, schriftliche Übungen, Protokolle und Portfolios sowie Dokumentationsaufgaben ausdrücklich vorgesehen. Die Heftführung konkretisiert diese Dokumentationsleistungen schulintern.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 xml:space="preserve">Rechtsgrundlagen: bisherige APO-GOSt § 14 und zugehörige Verwaltungsvorschriften; APO-GOSt 2027 §§ 14, 45 und 46 sowie VV 14.2.1 bis 14.3.3 ; Abiturvorgaben BASS 13-32 Nr. 6 . Direkte Quellen sind in Kapitel 13 aufgeführt.</w:t>
      </w:r>
    </w:p>
    <w:p>
      <w:pPr>
        <w:suppressAutoHyphens w:val="0"/>
        <w:jc w:val="both"/>
      </w:pPr>
      <w:r>
        <w:rPr>
          <w:lang w:val="de-DE"/>
        </w:rPr>
        <w:t xml:space="preserve">Ausgearbeitete GKL-Aufgaben und rollenbezogene Bewertungsraster enthält Kapitel 15 . Methodische Vorbereitungen und beispielhafte Aufgaben für die Präsentationsprüfung im fünften Abiturfach sind in Kapitel 17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sz w:val="16"/>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t xml:space="preserve">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15 und 17 ).</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7000" w:name="si"/>
      <w:pPr>
        <w:pStyle w:val="Heading1"/>
        <w:keepNext/>
        <w:pageBreakBefore/>
        <w:spacing w:after="140"/>
      </w:pPr>
      <w:r>
        <w:t>4 Unterrichtsvorhaben der Sekundarstufe I</w:t>
      </w:r>
      <w:bookmarkEnd w:id="7000"/>
    </w:p>
    <w:p>
      <w:pPr>
        <w:spacing w:after="140"/>
      </w:pPr>
      <w:r>
        <w:t>Die Jahrgangsfolge umfasst vier Themenfelder in Klasse 7, vier in Klasse 8, drei in Klasse 9 und vier in Klasse 10. Der Laborführerschein eröffnet den Unterricht. Die erste Stufe mit IF 1 bis 4 wird nach 08.2 gesichert. Atommodelle bereiten in 08.3 die Mineralien in 08.4 vor; die systematische Betrachtung der Elementfamilien folgt in Klasse 9.</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77">
              <w:r>
                <w:rPr>
                  <w:sz w:val="18"/>
                  <w:rFonts w:ascii="Inter"/>
                  <w:rStyle w:val="Hyperlink"/>
                </w:rPr>
                <w:t xml:space="preserve">07.1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Laborführerschein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78">
              <w:r>
                <w:rPr>
                  <w:sz w:val="18"/>
                  <w:rFonts w:ascii="Inter"/>
                  <w:rStyle w:val="Hyperlink"/>
                </w:rPr>
                <w:t xml:space="preserve">07.2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Alltagsstoffe und ihre Eigenschaften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79">
              <w:r>
                <w:rPr>
                  <w:sz w:val="18"/>
                  <w:rFonts w:ascii="Inter"/>
                  <w:rStyle w:val="Hyperlink"/>
                </w:rPr>
                <w:t xml:space="preserve">07.3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Stoffgemische trennen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0">
              <w:r>
                <w:rPr>
                  <w:sz w:val="18"/>
                  <w:rFonts w:ascii="Inter"/>
                  <w:rStyle w:val="Hyperlink"/>
                </w:rPr>
                <w:t xml:space="preserve">07.4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Luft und Verbrennung</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1">
              <w:r>
                <w:rPr>
                  <w:sz w:val="18"/>
                  <w:rFonts w:ascii="Inter"/>
                  <w:rStyle w:val="Hyperlink"/>
                </w:rPr>
                <w:t xml:space="preserve">08.1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Metalle und ihre Gewinnung</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22</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2">
              <w:r>
                <w:rPr>
                  <w:sz w:val="18"/>
                  <w:rFonts w:ascii="Inter"/>
                  <w:rStyle w:val="Hyperlink"/>
                </w:rPr>
                <w:t xml:space="preserve">08.2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Chemische Reaktionen in unserer Umwelt</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14</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3">
              <w:r>
                <w:rPr>
                  <w:sz w:val="18"/>
                  <w:rFonts w:ascii="Inter"/>
                  <w:rStyle w:val="Hyperlink"/>
                </w:rPr>
                <w:t xml:space="preserve">08.3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Atommodelle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4">
              <w:r>
                <w:rPr>
                  <w:sz w:val="18"/>
                  <w:rFonts w:ascii="Inter"/>
                  <w:rStyle w:val="Hyperlink"/>
                </w:rPr>
                <w:t xml:space="preserve">08.4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Die Welt der Mineralien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5">
              <w:r>
                <w:rPr>
                  <w:sz w:val="18"/>
                  <w:rFonts w:ascii="Inter"/>
                  <w:rStyle w:val="Hyperlink"/>
                </w:rPr>
                <w:t xml:space="preserve">09.1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Elementfamilien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6">
              <w:r>
                <w:rPr>
                  <w:sz w:val="18"/>
                  <w:rFonts w:ascii="Inter"/>
                  <w:rStyle w:val="Hyperlink"/>
                </w:rPr>
                <w:t xml:space="preserve">09.2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Die Batterie und chemische Energiespeicherung</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26</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7">
              <w:r>
                <w:rPr>
                  <w:sz w:val="18"/>
                  <w:rFonts w:ascii="Inter"/>
                  <w:rStyle w:val="Hyperlink"/>
                </w:rPr>
                <w:t xml:space="preserve">09.3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Wasser als besonderer Stoff und Lösemittel</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26</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8">
              <w:r>
                <w:rPr>
                  <w:sz w:val="18"/>
                  <w:rFonts w:ascii="Inter"/>
                  <w:rStyle w:val="Hyperlink"/>
                </w:rPr>
                <w:t xml:space="preserve">10.1</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Saure und alkalische Lösungen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28</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9">
              <w:r>
                <w:rPr>
                  <w:sz w:val="18"/>
                  <w:rFonts w:ascii="Inter"/>
                  <w:rStyle w:val="Hyperlink"/>
                </w:rPr>
                <w:t xml:space="preserve">10.2</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Alkane und Alkanole in Natur und Technik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0">
              <w:r>
                <w:rPr>
                  <w:sz w:val="18"/>
                  <w:rFonts w:ascii="Inter"/>
                  <w:rStyle w:val="Hyperlink"/>
                </w:rPr>
                <w:t xml:space="preserve">10.3</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Vielseitige Kunststoffe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1">
              <w:r>
                <w:rPr>
                  <w:sz w:val="18"/>
                  <w:rFonts w:ascii="Inter"/>
                  <w:rStyle w:val="Hyperlink"/>
                </w:rPr>
                <w:t xml:space="preserve">10.4</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Gase als Ausgangsstoffe für Industrierohstoffe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bl>
    <w:p>
      <w:pPr>
        <w:spacing w:after="60"/>
      </w:pPr>
    </w:p>
    <w:p>
      <w:bookmarkStart w:id="7001" w:name="uv_07_1"/>
      <w:pPr>
        <w:pStyle w:val="Heading2"/>
        <w:keepNext/>
        <w:spacing w:after="140"/>
      </w:pPr>
      <w:r>
        <w:t>07.1 Laborführerschein</w:t>
      </w:r>
      <w:bookmarkEnd w:id="7001"/>
    </w:p>
    <w:p>
      <w:pPr>
        <w:spacing w:after="140"/>
      </w:pPr>
      <w:r>
        <w:t>Jahrgang 7 · Sekundarstufe I · ca. 6 Unterrichtsstunden zu 45 Minuten</w:t>
      </w:r>
    </w:p>
    <w:p>
      <w:pPr>
        <w:spacing w:after="140"/>
      </w:pPr>
      <w:r>
        <w:rPr>
          <w:b/>
        </w:rPr>
        <w:t xml:space="preserve">Leitfrage </w:t>
      </w:r>
      <w:r>
        <w:t>Ein farbloser Stoff, eine heiße Flamme, ein fremdes Gerät: Wie wird aus Neugier ein sicheres Experiment?</w:t>
      </w:r>
    </w:p>
    <w:p>
      <w:pPr>
        <w:pStyle w:val="Heading3"/>
        <w:keepNext/>
        <w:spacing w:after="140"/>
      </w:pPr>
      <w:r>
        <w:t>Inhalte und Schwerpunkte</w:t>
      </w:r>
    </w:p>
    <w:p>
      <w:pPr>
        <w:spacing w:after="140"/>
      </w:pPr>
      <w:r>
        <w:t>Übergreifende experimentelle Kompetenzen; Vorbereitung auf IF 1 bis 4</w:t>
      </w:r>
    </w:p>
    <w:p>
      <w:pPr>
        <w:pStyle w:val="ListBullet"/>
        <w:spacing w:after="100"/>
      </w:pPr>
      <w:r>
        <w:t>Fachraum, Laborgeräte, Gefahrstoffkennzeichnung und begründete Schutzmaßnahmen.</w:t>
      </w:r>
    </w:p>
    <w:p>
      <w:pPr>
        <w:pStyle w:val="ListBullet"/>
        <w:spacing w:after="100"/>
      </w:pPr>
      <w:r>
        <w:t>Brennerbedienung, Erhitzen, sachgerechte Entsorgung und Verhalten im Notfall.</w:t>
      </w:r>
    </w:p>
    <w:p>
      <w:pPr>
        <w:pStyle w:val="ListBullet"/>
        <w:spacing w:after="100"/>
      </w:pPr>
      <w:r>
        <w:t>Beobachtung und Deutung unterscheiden; Versuchsprotokoll mit Fragestellung, Durchführung, Beobachtung und Auswertung.</w:t>
      </w:r>
    </w:p>
    <w:p>
      <w:pPr>
        <w:pStyle w:val="Heading3"/>
        <w:keepNext/>
        <w:spacing w:after="140"/>
      </w:pPr>
      <w:r>
        <w:t>Lernweg und methodische Gestaltung</w:t>
      </w:r>
    </w:p>
    <w:p>
      <w:pPr>
        <w:pStyle w:val="ListBullet"/>
        <w:spacing w:after="100"/>
      </w:pPr>
      <w:r>
        <w:t>Die Lernenden untersuchen vorbereitete Laborsituationen auf Fehler und begründen ihre Korrekturen.</w:t>
      </w:r>
    </w:p>
    <w:p>
      <w:pPr>
        <w:pStyle w:val="ListBullet"/>
        <w:spacing w:after="100"/>
      </w:pPr>
      <w:r>
        <w:t>An angeleiteten Stationen üben sie Gerätegebrauch und sicheres Erhitzen. Sie protokollieren einen einfachen Versuch und prüfen, ob eine andere Gruppe ihn nachvollziehen kann.</w:t>
      </w:r>
    </w:p>
    <w:p>
      <w:pPr>
        <w:pStyle w:val="Heading3"/>
        <w:keepNext/>
        <w:spacing w:after="140"/>
      </w:pPr>
      <w:r>
        <w:t>Übergreifende Lernleistungen</w:t>
      </w:r>
    </w:p>
    <w:p>
      <w:pPr>
        <w:pStyle w:val="ListBullet"/>
        <w:spacing w:after="100"/>
      </w:pPr>
      <w:r>
        <w:t xml:space="preserve">Beobachtungen eines einfachen Versuchs sachlich beschreiben. </w:t>
      </w:r>
      <w:r>
        <w:t>SI1-E2</w:t>
      </w:r>
    </w:p>
    <w:p>
      <w:pPr>
        <w:pStyle w:val="ListBullet"/>
        <w:spacing w:after="100"/>
      </w:pPr>
      <w:r>
        <w:t xml:space="preserve">Einen sicheren Versuchsablauf planen, durchführen und Mess- oder Beobachtungsdaten aufzeichnen. </w:t>
      </w:r>
      <w:r>
        <w:t>SI1-E4</w:t>
      </w:r>
    </w:p>
    <w:p>
      <w:pPr>
        <w:pStyle w:val="ListBullet"/>
        <w:spacing w:after="100"/>
      </w:pPr>
      <w:r>
        <w:t xml:space="preserve">Ein vollständiges Versuchsprotokoll mit beschrifteter Skizze anfertigen. </w:t>
      </w:r>
      <w:r>
        <w:t>SI1-K1</w:t>
      </w:r>
    </w:p>
    <w:p>
      <w:pPr>
        <w:spacing w:after="140"/>
      </w:pPr>
      <w:r>
        <w:t>Der Laborführerschein entwickelt die übergreifenden Kompetenzen des sicheren Experimentierens, der Dokumentation und der begründeten Entscheidung. Er ist kein zusätzliches Inhaltsfeld des Kernlehrplans.</w:t>
      </w:r>
    </w:p>
    <w:p>
      <w:pPr>
        <w:pStyle w:val="Heading3"/>
        <w:keepNext/>
        <w:spacing w:after="140"/>
      </w:pPr>
      <w:r>
        <w:t>Lernaufgabe und Überprüfung</w:t>
      </w:r>
    </w:p>
    <w:p>
      <w:pPr>
        <w:spacing w:after="140"/>
      </w:pPr>
      <w:r>
        <w:t>Praktischer Laborführerschein: Geräte sicher bedienen, Schutzmaßnahmen begründen und einen Versuch nachvollziehbar dokumentieren. Sicherheitsroutinen werden in allen folgenden Vorhaben erneut geprüft.</w:t>
      </w:r>
    </w:p>
    <w:p>
      <w:bookmarkStart w:id="7002" w:name="uv_07_2"/>
      <w:pPr>
        <w:pStyle w:val="Heading2"/>
        <w:keepNext/>
        <w:spacing w:after="140"/>
      </w:pPr>
      <w:r>
        <w:t>07.2 Alltagsstoffe und ihre Eigenschaften</w:t>
      </w:r>
      <w:bookmarkEnd w:id="7002"/>
    </w:p>
    <w:p>
      <w:pPr>
        <w:spacing w:after="140"/>
      </w:pPr>
      <w:r>
        <w:t xml:space="preserve">Jahrgang 7 · Sekundarstufe I · ca. 10 Unterrichtsstunden zu 45 Minuten</w:t>
      </w:r>
    </w:p>
    <w:p>
      <w:pPr>
        <w:spacing w:after="140"/>
      </w:pPr>
      <w:r>
        <w:rPr>
          <w:b/>
        </w:rPr>
        <w:t xml:space="preserve">Leitfrage </w:t>
      </w:r>
      <w:r>
        <w:t>Zucker und Salz sehen fast gleich aus. Wie finden wir heraus, was im Glas ist, ohne zu probieren?</w:t>
      </w:r>
    </w:p>
    <w:p>
      <w:pPr>
        <w:pStyle w:val="Heading3"/>
        <w:keepNext/>
        <w:spacing w:after="140"/>
      </w:pPr>
      <w:r>
        <w:t>Inhalte und Schwerpunkte</w:t>
      </w:r>
    </w:p>
    <w:p>
      <w:pPr>
        <w:spacing w:after="140"/>
      </w:pPr>
      <w:r>
        <w:t>IF 1 Stoffe und Stoffeigenschaften</w:t>
      </w:r>
    </w:p>
    <w:p>
      <w:pPr>
        <w:pStyle w:val="ListBullet"/>
        <w:spacing w:after="100"/>
      </w:pPr>
      <w:r>
        <w:t>Messbare und nicht messbare Stoffeigenschaften; Identifikation und Klassifikation von Reinstoffen.</w:t>
      </w:r>
    </w:p>
    <w:p>
      <w:pPr>
        <w:pStyle w:val="ListBullet"/>
        <w:spacing w:after="100"/>
      </w:pPr>
      <w:r>
        <w:t>Schmelz- und Siedetemperatur, Dichte, Löslichkeit, Leitfähigkeit und Magnetismus; Größen und Einheiten.</w:t>
      </w:r>
    </w:p>
    <w:p>
      <w:pPr>
        <w:pStyle w:val="ListBullet"/>
        <w:spacing w:after="100"/>
      </w:pPr>
      <w:r>
        <w:t>Aggregatzustände und Zustandsänderungen im einfachen Teilchenmodell. Keine Geschmacksproben im Fachraum.</w:t>
      </w:r>
    </w:p>
    <w:p>
      <w:pPr>
        <w:pStyle w:val="Heading3"/>
        <w:keepNext/>
        <w:spacing w:after="140"/>
      </w:pPr>
      <w:r>
        <w:t>Lernweg und methodische Gestaltung</w:t>
      </w:r>
    </w:p>
    <w:p>
      <w:pPr>
        <w:pStyle w:val="ListBullet"/>
        <w:spacing w:after="100"/>
      </w:pPr>
      <w:r>
        <w:t>Stoffproben anhand selbst ausgewählter Eigenschaften unterscheiden; eine messbare Eigenschaft experimentell bestimmen.</w:t>
      </w:r>
    </w:p>
    <w:p>
      <w:pPr>
        <w:pStyle w:val="ListBullet"/>
        <w:spacing w:after="100"/>
      </w:pPr>
      <w:r>
        <w:t>Stoffsteckbriefe mit Messwerten erstellen und begründen, warum ein Stoff für eine bestimmte Alltagsanwendung geeignet ist.</w:t>
      </w:r>
    </w:p>
    <w:p>
      <w:pPr>
        <w:pStyle w:val="ListBullet"/>
        <w:spacing w:after="100"/>
      </w:pPr>
      <w:r>
        <w:t>Schmelzen und Verdampfen beobachten und die Veränderungen mit Teilchenbildern erklären.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Stoffe aufgrund ihrer Eigenschaften klassifizieren (UF2, UF3). </w:t>
      </w:r>
      <w:r>
        <w:t>SI1-1-02</w:t>
      </w:r>
    </w:p>
    <w:p>
      <w:pPr>
        <w:pStyle w:val="ListBullet"/>
        <w:spacing w:after="100"/>
      </w:pPr>
      <w:r>
        <w:t xml:space="preserve">eine geeignete messbare Stoffeigenschaft experimentell ermitteln (E4, E5, K1), </w:t>
      </w:r>
      <w:r>
        <w:t>SI1-1-03</w:t>
      </w:r>
    </w:p>
    <w:p>
      <w:pPr>
        <w:pStyle w:val="ListBullet"/>
        <w:spacing w:after="100"/>
      </w:pPr>
      <w:r>
        <w:t xml:space="preserve">Aggregatzustände und deren Änderungen auf der Grundlage eines einfachen Teilchenmodells erklären (E6, K3). </w:t>
      </w:r>
      <w:r>
        <w:t>SI1-1-05</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Messwerte ordnen und zur Identifizierung eines Stoffes auswerten. </w:t>
      </w:r>
      <w:r>
        <w:t>SI1-E5</w:t>
      </w:r>
    </w:p>
    <w:p>
      <w:pPr>
        <w:pStyle w:val="ListBullet"/>
        <w:spacing w:after="100"/>
      </w:pPr>
      <w:r>
        <w:t xml:space="preserve">Aggregatzustände am Teilchenmodell erklären und Modell und Stoff unterscheiden. </w:t>
      </w:r>
      <w:r>
        <w:t>SI1-E6</w:t>
      </w:r>
    </w:p>
    <w:p>
      <w:pPr>
        <w:pStyle w:val="Heading3"/>
        <w:keepNext/>
        <w:spacing w:after="140"/>
      </w:pPr>
      <w:r>
        <w:t>Lernaufgabe und Überprüfung</w:t>
      </w:r>
    </w:p>
    <w:p>
      <w:pPr>
        <w:spacing w:after="140"/>
      </w:pPr>
      <w:r>
        <w:t>Eine unbekannte Probe anhand mehrerer Eigenschaften identifizieren. Einen begründeten Stoffsteckbrief und eine Teilchendarstellung abgeben.</w:t>
      </w:r>
    </w:p>
    <w:p>
      <w:bookmarkStart w:id="7003" w:name="uv_07_3"/>
      <w:pPr>
        <w:pStyle w:val="Heading2"/>
        <w:keepNext/>
        <w:spacing w:after="140"/>
      </w:pPr>
      <w:r>
        <w:t>07.3 Stoffgemische trennen</w:t>
      </w:r>
      <w:bookmarkEnd w:id="7003"/>
    </w:p>
    <w:p>
      <w:pPr>
        <w:spacing w:after="140"/>
      </w:pPr>
      <w:r>
        <w:t xml:space="preserve">Jahrgang 7 · Sekundarstufe I · ca. 10 Unterrichtsstunden zu 45 Minuten</w:t>
      </w:r>
    </w:p>
    <w:p>
      <w:pPr>
        <w:spacing w:after="140"/>
      </w:pPr>
      <w:r>
        <w:rPr>
          <w:b/>
        </w:rPr>
        <w:t xml:space="preserve">Leitfrage </w:t>
      </w:r>
      <w:r>
        <w:t>Salz, Sand und Wasser sind vermischt. Bekommen wir alle drei zurück?</w:t>
      </w:r>
    </w:p>
    <w:p>
      <w:pPr>
        <w:pStyle w:val="Heading3"/>
        <w:keepNext/>
        <w:spacing w:after="140"/>
      </w:pPr>
      <w:r>
        <w:t>Inhalte und Schwerpunkte</w:t>
      </w:r>
    </w:p>
    <w:p>
      <w:pPr>
        <w:spacing w:after="140"/>
      </w:pPr>
      <w:r>
        <w:t>IF 1 Stoffe und Stoffeigenschaften</w:t>
      </w:r>
    </w:p>
    <w:p>
      <w:pPr>
        <w:pStyle w:val="ListBullet"/>
        <w:spacing w:after="100"/>
      </w:pPr>
      <w:r>
        <w:t>Gemische und Reinstoffe; homogene und heterogene Gemische.</w:t>
      </w:r>
    </w:p>
    <w:p>
      <w:pPr>
        <w:pStyle w:val="ListBullet"/>
        <w:spacing w:after="100"/>
      </w:pPr>
      <w:r>
        <w:t>Stofftrennverfahren auf Grundlage unterschiedlicher Stoffeigenschaften; Filtration und Destillation verbindlich.</w:t>
      </w:r>
    </w:p>
    <w:p>
      <w:pPr>
        <w:pStyle w:val="ListBullet"/>
        <w:spacing w:after="100"/>
      </w:pPr>
      <w:r>
        <w:t>Weitere geeignete Verfahren: Eindampfen, Extraktion, Chromatografie, Sieben und Magnettrennung.</w:t>
      </w:r>
    </w:p>
    <w:p>
      <w:pPr>
        <w:pStyle w:val="Heading3"/>
        <w:keepNext/>
        <w:spacing w:after="140"/>
      </w:pPr>
      <w:r>
        <w:t>Lernweg und methodische Gestaltung</w:t>
      </w:r>
    </w:p>
    <w:p>
      <w:pPr>
        <w:pStyle w:val="ListBullet"/>
        <w:spacing w:after="100"/>
      </w:pPr>
      <w:r>
        <w:t>Die Gruppen entwickeln und begründen einen Trennplan für ein Stoffgemisch, führen ihn aus und verbessern ihn anhand ihrer Ergebnisse.</w:t>
      </w:r>
    </w:p>
    <w:p>
      <w:pPr>
        <w:pStyle w:val="ListBullet"/>
        <w:spacing w:after="100"/>
      </w:pPr>
      <w:r>
        <w:t>Filtration und Destillation werden sachgerecht durchgeführt; die Rückgewinnung des Wassers wird von der Gewinnung des gelösten Stoffes unterschieden.</w:t>
      </w:r>
    </w:p>
    <w:p>
      <w:pPr>
        <w:pStyle w:val="ListBullet"/>
        <w:spacing w:after="100"/>
      </w:pPr>
      <w:r>
        <w:t>Ein Verfahren zur Wasseraufbereitung dient als Transfer: Was kann eine gewählte Trennmethode leisten, was nicht?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eine geeignete messbare Stoffeigenschaft experimentell ermitteln (E4, E5, K1), </w:t>
      </w:r>
      <w:r>
        <w:t>SI1-1-03</w:t>
      </w:r>
    </w:p>
    <w:p>
      <w:pPr>
        <w:pStyle w:val="ListBullet"/>
        <w:spacing w:after="100"/>
      </w:pPr>
      <w:r>
        <w:t xml:space="preserve">Experimente zur Trennung eines Stoffgemisches in Reinstoffe (Filtration, Destillation) unter Nutzung relevanter Stoffeigenschaften planen und sachgerecht durchführen (E1, E2, E3, E4, K1), </w:t>
      </w:r>
      <w:r>
        <w:t>SI1-1-04</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Für ein unbekanntes Gemisch geeignete Stoffeigenschaften und Trennverfahren auswählen. </w:t>
      </w:r>
      <w:r>
        <w:t>SI1-UF2</w:t>
      </w:r>
    </w:p>
    <w:p>
      <w:pPr>
        <w:pStyle w:val="ListBullet"/>
        <w:spacing w:after="100"/>
      </w:pPr>
      <w:r>
        <w:t xml:space="preserve">Eine experimentell beantwortbare Frage zur Trennung eines Alltagsgemisches formulieren. </w:t>
      </w:r>
      <w:r>
        <w:t>SI1-E1</w:t>
      </w:r>
    </w:p>
    <w:p>
      <w:pPr>
        <w:pStyle w:val="Heading3"/>
        <w:keepNext/>
        <w:spacing w:after="140"/>
      </w:pPr>
      <w:r>
        <w:t>Lernaufgabe und Überprüfung</w:t>
      </w:r>
    </w:p>
    <w:p>
      <w:pPr>
        <w:spacing w:after="140"/>
      </w:pPr>
      <w:r>
        <w:t>Trennplan, Versuchsprotokoll und Auswertung mit Bezug auf Löslichkeit, Teilchengröße und Siedetemperatur; Grenzen eines Verfahrens erklären.</w:t>
      </w:r>
    </w:p>
    <w:p>
      <w:bookmarkStart w:id="7004" w:name="uv_07_4"/>
      <w:pPr>
        <w:pStyle w:val="Heading2"/>
        <w:keepNext/>
        <w:spacing w:after="140"/>
      </w:pPr>
      <w:r>
        <w:t>07.4 Luft und Verbrennung</w:t>
      </w:r>
      <w:bookmarkEnd w:id="7004"/>
    </w:p>
    <w:p>
      <w:pPr>
        <w:spacing w:after="140"/>
      </w:pPr>
      <w:r>
        <w:t xml:space="preserve">Jahrgang 7 · Sekundarstufe I · ca. 12 Unterrichtsstunden zu 45 Minuten</w:t>
      </w:r>
    </w:p>
    <w:p>
      <w:pPr>
        <w:spacing w:after="140"/>
      </w:pPr>
      <w:r>
        <w:rPr>
          <w:b/>
        </w:rPr>
        <w:t xml:space="preserve">Leitfrage </w:t>
      </w:r>
      <w:r>
        <w:t>Eine Kerze wird leichter, brennende Eisenwolle schwerer. Wohin geht die Masse, und woher kommt sie?</w:t>
      </w:r>
    </w:p>
    <w:p>
      <w:pPr>
        <w:pStyle w:val="Heading3"/>
        <w:keepNext/>
        <w:spacing w:after="140"/>
      </w:pPr>
      <w:r>
        <w:t>Inhalte und Schwerpunkte</w:t>
      </w:r>
    </w:p>
    <w:p>
      <w:pPr>
        <w:spacing w:after="140"/>
      </w:pPr>
      <w:r>
        <w:t>IF 3 Verbrennung; Anbahnung IF 2 Chemische Reaktion</w:t>
      </w:r>
    </w:p>
    <w:p>
      <w:pPr>
        <w:pStyle w:val="ListBullet"/>
        <w:spacing w:after="100"/>
      </w:pPr>
      <w:r>
        <w:t>Luftbestandteile, Oxidbildung, Zündtemperatur und Zerteilungsgrad.</w:t>
      </w:r>
    </w:p>
    <w:p>
      <w:pPr>
        <w:pStyle w:val="ListBullet"/>
        <w:spacing w:after="100"/>
      </w:pPr>
      <w:r>
        <w:t>Elemente und Verbindungen; Analyse und Synthese von Wasser als umkehrbare Reaktionen.</w:t>
      </w:r>
    </w:p>
    <w:p>
      <w:pPr>
        <w:pStyle w:val="ListBullet"/>
        <w:spacing w:after="100"/>
      </w:pPr>
      <w:r>
        <w:t>Sauerstoff-, Wasserstoff-, Kohlenstoffdioxid- und Wassernachweis.</w:t>
      </w:r>
    </w:p>
    <w:p>
      <w:pPr>
        <w:pStyle w:val="ListBullet"/>
        <w:spacing w:after="100"/>
      </w:pPr>
      <w:r>
        <w:t>Massenerhaltung und einfaches Atommodell; Brandvorsorge und Brandbekämpfung; Energieumwandlung.</w:t>
      </w:r>
    </w:p>
    <w:p>
      <w:pPr>
        <w:pStyle w:val="Heading3"/>
        <w:keepNext/>
        <w:spacing w:after="140"/>
      </w:pPr>
      <w:r>
        <w:t>Lernweg und methodische Gestaltung</w:t>
      </w:r>
    </w:p>
    <w:p>
      <w:pPr>
        <w:pStyle w:val="ListBullet"/>
        <w:spacing w:after="100"/>
      </w:pPr>
      <w:r>
        <w:t>Kerzenverbrennung und Metalloxidation vergleichen; die Systemgrenze bei der Massenbilanz ausdrücklich markieren.</w:t>
      </w:r>
    </w:p>
    <w:p>
      <w:pPr>
        <w:pStyle w:val="ListBullet"/>
        <w:spacing w:after="100"/>
      </w:pPr>
      <w:r>
        <w:t>Gasnachweise durchführen und Wasserbildung sowie Wasserzerlegung auswerten.</w:t>
      </w:r>
    </w:p>
    <w:p>
      <w:pPr>
        <w:pStyle w:val="ListBullet"/>
        <w:spacing w:after="100"/>
      </w:pPr>
      <w:r>
        <w:t>Löschstrategien aus den Verbrennungsbedingungen ableiten und Vor- und Nachteile einer Energieversorgung auf Basis der Wasserstoff-Wasser-Umwandlung beschreiben.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anhand von Beispielen Reinstoffe in chemische Elemente und Verbindungen einteilen (UF2, UF3), </w:t>
      </w:r>
      <w:r>
        <w:t>SI1-3-01</w:t>
      </w:r>
    </w:p>
    <w:p>
      <w:pPr>
        <w:pStyle w:val="ListBullet"/>
        <w:spacing w:after="100"/>
      </w:pPr>
      <w:r>
        <w:t xml:space="preserve">die wichtigsten Bestandteile des Gasgemisches Luft, ihre Eigenschaften und Anteile nennen (UF1, UF4), </w:t>
      </w:r>
      <w:r>
        <w:t>SI1-3-02</w:t>
      </w:r>
    </w:p>
    <w:p>
      <w:pPr>
        <w:pStyle w:val="ListBullet"/>
        <w:spacing w:after="100"/>
      </w:pPr>
      <w:r>
        <w:t xml:space="preserve">die Verbrennung als eine chemische Reaktion mit Sauerstoff identifizieren und als Oxidbildung klassifizieren (UF3), </w:t>
      </w:r>
      <w:r>
        <w:t>SI1-3-03</w:t>
      </w:r>
    </w:p>
    <w:p>
      <w:pPr>
        <w:pStyle w:val="ListBullet"/>
        <w:spacing w:after="100"/>
      </w:pPr>
      <w:r>
        <w:t xml:space="preserve">die Analyse und Synthese von Wasser als Beispiel für die Umkehrbarkeit chemischer Reaktionen beschreiben (UF1). </w:t>
      </w:r>
      <w:r>
        <w:t>SI1-3-04</w:t>
      </w:r>
    </w:p>
    <w:p>
      <w:pPr>
        <w:pStyle w:val="ListBullet"/>
        <w:spacing w:after="100"/>
      </w:pPr>
      <w:r>
        <w:t xml:space="preserve">mit einem einfachen Atommodell Massenänderungen bei chemischen Reaktionen mit Sauerstoff erklären (E5, E6), </w:t>
      </w:r>
      <w:r>
        <w:t>SI1-3-05</w:t>
      </w:r>
    </w:p>
    <w:p>
      <w:pPr>
        <w:pStyle w:val="ListBullet"/>
        <w:spacing w:after="100"/>
      </w:pPr>
      <w:r>
        <w:t xml:space="preserve">Nachweisreaktionen von Gasen (Sauerstoff, Wasserstoff, Kohlenstoffdioxid) und Wasser durchführen (E4), </w:t>
      </w:r>
      <w:r>
        <w:t>SI1-3-06</w:t>
      </w:r>
    </w:p>
    <w:p>
      <w:pPr>
        <w:pStyle w:val="ListBullet"/>
        <w:spacing w:after="100"/>
      </w:pPr>
      <w:r>
        <w:t xml:space="preserve">den Verbleib von Verbrennungsprodukten (Kohlenstoffdioxid, Wasser) mit dem Gesetz von der Erhaltung der Masse begründen (E3, E6, E7, K3). </w:t>
      </w:r>
      <w:r>
        <w:t>SI1-3-07</w:t>
      </w:r>
    </w:p>
    <w:p>
      <w:pPr>
        <w:pStyle w:val="ListBullet"/>
        <w:spacing w:after="100"/>
      </w:pPr>
      <w:r>
        <w:t xml:space="preserve">in vorgegebenen Situationen Handlungsmöglichkeiten zum Umgang mit brennbaren Stoffen zur Brandvorsorge sowie mit offenem Feuer zur Brandbekämpfung bewerten und sich begründet für eine Handlung entscheiden (B2, B3, K4), </w:t>
      </w:r>
      <w:r>
        <w:t>SI1-3-08</w:t>
      </w:r>
    </w:p>
    <w:p>
      <w:pPr>
        <w:pStyle w:val="ListBullet"/>
        <w:spacing w:after="100"/>
      </w:pPr>
      <w:r>
        <w:t xml:space="preserve">Vor- und Nachteile einer ressourcenschonenden Energieversorgung auf Grundlage der Umkehrbarkeit chemischer Reaktionen am Beispiel von Wasser beschreiben (B1). </w:t>
      </w:r>
      <w:r>
        <w:t>SI1-3-09</w:t>
      </w:r>
    </w:p>
    <w:p>
      <w:pPr>
        <w:pStyle w:val="Heading3"/>
        <w:keepNext/>
        <w:spacing w:after="140"/>
      </w:pPr>
      <w:r>
        <w:t>Übergreifende Lernleistungen</w:t>
      </w:r>
    </w:p>
    <w:p>
      <w:pPr>
        <w:pStyle w:val="ListBullet"/>
        <w:spacing w:after="100"/>
      </w:pPr>
      <w:r>
        <w:t xml:space="preserve">Die Alltagsvorstellung vom Verschwinden eines Brennstoffs anhand von Reaktionsprodukten hinterfragen. </w:t>
      </w:r>
      <w:r>
        <w:t>SI1-UF4</w:t>
      </w:r>
    </w:p>
    <w:p>
      <w:pPr>
        <w:pStyle w:val="ListBullet"/>
        <w:spacing w:after="100"/>
      </w:pPr>
      <w:r>
        <w:t xml:space="preserve">Informationen zu Luftbestandteilen aus Tabelle und Fachtext entnehmen und die Quelle notieren. </w:t>
      </w:r>
      <w:r>
        <w:t>SI1-K2</w:t>
      </w:r>
    </w:p>
    <w:p>
      <w:pPr>
        <w:pStyle w:val="ListBullet"/>
        <w:spacing w:after="100"/>
      </w:pPr>
      <w:r>
        <w:t xml:space="preserve">Eine digitale Darstellung zu Verbrennungsprodukten und Massenerhaltung fachsprachlich erläutern. </w:t>
      </w:r>
      <w:r>
        <w:t>SI1-K3</w:t>
      </w:r>
    </w:p>
    <w:p>
      <w:pPr>
        <w:pStyle w:val="ListBullet"/>
        <w:spacing w:after="100"/>
      </w:pPr>
      <w:r>
        <w:t xml:space="preserve">Bei einer Brandsituation chemische Fakten und Interessen betroffener Personen benennen. </w:t>
      </w:r>
      <w:r>
        <w:t>SI1-B1</w:t>
      </w:r>
    </w:p>
    <w:p>
      <w:pPr>
        <w:pStyle w:val="ListBullet"/>
        <w:spacing w:after="100"/>
      </w:pPr>
      <w:r>
        <w:t xml:space="preserve">Kriterien für Brandvorsorge und mögliche Handlungsoptionen sammeln. </w:t>
      </w:r>
      <w:r>
        <w:t>SI1-B2</w:t>
      </w:r>
    </w:p>
    <w:p>
      <w:pPr>
        <w:pStyle w:val="Heading3"/>
        <w:keepNext/>
        <w:spacing w:after="140"/>
      </w:pPr>
      <w:r>
        <w:t>Lernaufgabe und Überprüfung</w:t>
      </w:r>
    </w:p>
    <w:p>
      <w:pPr>
        <w:spacing w:after="140"/>
      </w:pPr>
      <w:r>
        <w:t>Eine Massenänderung mit Stoffbilanz und Atommodell erklären; Gasnachweise dokumentieren und eine begründete Brandschutzentscheidung treffen.</w:t>
      </w:r>
    </w:p>
    <w:p>
      <w:bookmarkStart w:id="7005" w:name="uv_08_1"/>
      <w:pPr>
        <w:pStyle w:val="Heading2"/>
        <w:keepNext/>
        <w:spacing w:after="140"/>
      </w:pPr>
      <w:r>
        <w:t>08.1 Metalle und ihre Gewinnung</w:t>
      </w:r>
      <w:bookmarkEnd w:id="7005"/>
    </w:p>
    <w:p>
      <w:pPr>
        <w:spacing w:after="140"/>
      </w:pPr>
      <w:r>
        <w:t xml:space="preserve">Jahrgang 8 · Sekundarstufe I · ca. 22 Unterrichtsstunden zu 45 Minuten</w:t>
      </w:r>
    </w:p>
    <w:p>
      <w:pPr>
        <w:spacing w:after="140"/>
      </w:pPr>
      <w:r>
        <w:rPr>
          <w:b/>
        </w:rPr>
        <w:t xml:space="preserve">Leitfrage </w:t>
      </w:r>
      <w:r>
        <w:t>Wie wird aus einem unscheinbaren Erz ein glänzender Draht, und warum lohnt sich der Umweg über die Schrottsammlung?</w:t>
      </w:r>
    </w:p>
    <w:p>
      <w:pPr>
        <w:pStyle w:val="Heading3"/>
        <w:keepNext/>
        <w:spacing w:after="140"/>
      </w:pPr>
      <w:r>
        <w:t>Inhalte und Schwerpunkte</w:t>
      </w:r>
    </w:p>
    <w:p>
      <w:pPr>
        <w:spacing w:after="140"/>
      </w:pPr>
      <w:r>
        <w:t>IF 4 Metalle und Metallgewinnung</w:t>
      </w:r>
    </w:p>
    <w:p>
      <w:pPr>
        <w:pStyle w:val="ListBullet"/>
        <w:spacing w:after="100"/>
      </w:pPr>
      <w:r>
        <w:t>Metalleigenschaften, edle und unedle Metalle.</w:t>
      </w:r>
    </w:p>
    <w:p>
      <w:pPr>
        <w:pStyle w:val="ListBullet"/>
        <w:spacing w:after="100"/>
      </w:pPr>
      <w:r>
        <w:t>Oxidbildung und Zerlegung von Metalloxiden; Sauerstoffübertragung im Donator-Akzeptor-Modell.</w:t>
      </w:r>
    </w:p>
    <w:p>
      <w:pPr>
        <w:pStyle w:val="ListBullet"/>
        <w:spacing w:after="100"/>
      </w:pPr>
      <w:r>
        <w:t>Wortgleichungen, Verfahren der Metallgewinnung, gesellschaftliche Bedeutung, Metallrecycling und Metallbrände.</w:t>
      </w:r>
    </w:p>
    <w:p>
      <w:pPr>
        <w:pStyle w:val="Heading3"/>
        <w:keepNext/>
        <w:spacing w:after="140"/>
      </w:pPr>
      <w:r>
        <w:t>Lernweg und methodische Gestaltung</w:t>
      </w:r>
    </w:p>
    <w:p>
      <w:pPr>
        <w:pStyle w:val="ListBullet"/>
        <w:spacing w:after="100"/>
      </w:pPr>
      <w:r>
        <w:t>Metalle und ihre Oxide vergleichen; Kupferbrief und ausgewählte Metalloxidationen untersuchen.</w:t>
      </w:r>
    </w:p>
    <w:p>
      <w:pPr>
        <w:pStyle w:val="ListBullet"/>
        <w:spacing w:after="100"/>
      </w:pPr>
      <w:r>
        <w:t>Hypothesen zur Reduktion von Kupferoxid aufstellen, einen geeigneten Reaktionspartner auswählen und die Sauerstoffübertragung modellieren.</w:t>
      </w:r>
    </w:p>
    <w:p>
      <w:pPr>
        <w:pStyle w:val="ListBullet"/>
        <w:spacing w:after="100"/>
      </w:pPr>
      <w:r>
        <w:t>Metallgewinnung und Recycling hinsichtlich Ressourcen und Energie vergleichen; geeignete Löschmittel für Metallbrände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bei denen Sauerstoff abgegeben wird, als Zerlegung von Oxiden klassifizieren (UF3), </w:t>
      </w:r>
      <w:r>
        <w:t>SI1-4-01</w:t>
      </w:r>
    </w:p>
    <w:p>
      <w:pPr>
        <w:pStyle w:val="ListBullet"/>
        <w:spacing w:after="100"/>
      </w:pPr>
      <w:r>
        <w:t xml:space="preserve">ausgewählte Metalle aufgrund ihrer Reaktionsfähigkeit mit Sauerstoff als edle und unedle Metalle ordnen (UF2, UF3). </w:t>
      </w:r>
      <w:r>
        <w:t>SI1-4-02</w:t>
      </w:r>
    </w:p>
    <w:p>
      <w:pPr>
        <w:pStyle w:val="ListBullet"/>
        <w:spacing w:after="100"/>
      </w:pPr>
      <w:r>
        <w:t xml:space="preserve">Experimente zur Zerlegung von ausgewählten Metalloxiden hypothesengeleitet planen und geeignete Reaktionspartner auswählen (E3, E4), </w:t>
      </w:r>
      <w:r>
        <w:t>SI1-4-03</w:t>
      </w:r>
    </w:p>
    <w:p>
      <w:pPr>
        <w:pStyle w:val="ListBullet"/>
        <w:spacing w:after="100"/>
      </w:pPr>
      <w:r>
        <w:t xml:space="preserve">Sauerstoffübertragungsreaktionen im Sinne des Donator-Akzeptor-Konzeptes modellhaft erklären (E6), </w:t>
      </w:r>
      <w:r>
        <w:t>SI1-4-04</w:t>
      </w:r>
    </w:p>
    <w:p>
      <w:pPr>
        <w:pStyle w:val="ListBullet"/>
        <w:spacing w:after="100"/>
      </w:pPr>
      <w:r>
        <w:t xml:space="preserve">ausgewählte Verfahren zur Herstellung von Metallen erläutern und ihre Bedeutung für die gesellschaftliche Entwicklung beschreiben (E7). </w:t>
      </w:r>
      <w:r>
        <w:t>SI1-4-05</w:t>
      </w:r>
    </w:p>
    <w:p>
      <w:pPr>
        <w:pStyle w:val="ListBullet"/>
        <w:spacing w:after="100"/>
      </w:pPr>
      <w:r>
        <w:t xml:space="preserve">die Bedeutung des Metallrecyclings im Zusammenhang mit Ressourcenschonung und Energieeinsparung beschreiben und auf dieser Basis das eigene Konsum- und Entsorgungsverhalten bewerten (B1, B4, K4), </w:t>
      </w:r>
      <w:r>
        <w:t>SI1-4-06</w:t>
      </w:r>
    </w:p>
    <w:p>
      <w:pPr>
        <w:pStyle w:val="ListBullet"/>
        <w:spacing w:after="100"/>
      </w:pPr>
      <w:r>
        <w:t xml:space="preserve">Maßnahmen zum Löschen von Metallbränden auf der Grundlage der Sauerstoffübertragungsreaktion begründet auswählen (B3). </w:t>
      </w:r>
      <w:r>
        <w:t>SI1-4-07</w:t>
      </w:r>
    </w:p>
    <w:p>
      <w:pPr>
        <w:pStyle w:val="Heading3"/>
        <w:keepNext/>
        <w:spacing w:after="140"/>
      </w:pPr>
      <w:r>
        <w:t>Übergreifende Lernleistungen</w:t>
      </w:r>
    </w:p>
    <w:p>
      <w:pPr>
        <w:pStyle w:val="ListBullet"/>
        <w:spacing w:after="100"/>
      </w:pPr>
      <w:r>
        <w:t xml:space="preserve">Metalle und Oxide ordnen und Alltagsvorstellungen zur Metallgewinnung überprüfen. </w:t>
      </w:r>
      <w:r>
        <w:t>SI1-UF3</w:t>
      </w:r>
    </w:p>
    <w:p>
      <w:pPr>
        <w:pStyle w:val="ListBullet"/>
        <w:spacing w:after="100"/>
      </w:pPr>
      <w:r>
        <w:t xml:space="preserve">Einen geeigneten Reaktionspartner zur Metallgewinnung vorhersagen und die Vermutung begründen. </w:t>
      </w:r>
      <w:r>
        <w:t>SI1-E3</w:t>
      </w:r>
    </w:p>
    <w:p>
      <w:pPr>
        <w:pStyle w:val="ListBullet"/>
        <w:spacing w:after="100"/>
      </w:pPr>
      <w:r>
        <w:t xml:space="preserve">Den Erkenntnisweg vom Metalloxid zur Metallgewinnung nachvollziehen und eine Behauptung prüfen. </w:t>
      </w:r>
      <w:r>
        <w:t>SI1-E7</w:t>
      </w:r>
    </w:p>
    <w:p>
      <w:pPr>
        <w:pStyle w:val="ListBullet"/>
        <w:spacing w:after="100"/>
      </w:pPr>
      <w:r>
        <w:t xml:space="preserve">Eine geeignete Maßnahme zum Löschen eines Metallbrands begründet auswählen. </w:t>
      </w:r>
      <w:r>
        <w:t>SI1-B3</w:t>
      </w:r>
    </w:p>
    <w:p>
      <w:pPr>
        <w:pStyle w:val="ListBullet"/>
        <w:spacing w:after="100"/>
      </w:pPr>
      <w:r>
        <w:t xml:space="preserve">Eine Entscheidung zum Recycling eines Metallprodukts begründen. </w:t>
      </w:r>
      <w:r>
        <w:t>SI1-B4</w:t>
      </w:r>
    </w:p>
    <w:p>
      <w:pPr>
        <w:pStyle w:val="Heading3"/>
        <w:keepNext/>
        <w:spacing w:after="140"/>
      </w:pPr>
      <w:r>
        <w:t>Lernaufgabe und Überprüfung</w:t>
      </w:r>
    </w:p>
    <w:p>
      <w:pPr>
        <w:spacing w:after="140"/>
      </w:pPr>
      <w:r>
        <w:t>Versuchsplanung zur Metallgewinnung, modellhafte Erklärung und begründete Empfehlung zur Rückgewinnung eines Metalls.</w:t>
      </w:r>
    </w:p>
    <w:p>
      <w:bookmarkStart w:id="7006" w:name="uv_08_2"/>
      <w:pPr>
        <w:pStyle w:val="Heading2"/>
        <w:keepNext/>
        <w:spacing w:after="140"/>
      </w:pPr>
      <w:r>
        <w:t>08.2 Chemische Reaktionen in unserer Umwelt</w:t>
      </w:r>
      <w:bookmarkEnd w:id="7006"/>
    </w:p>
    <w:p>
      <w:pPr>
        <w:spacing w:after="140"/>
      </w:pPr>
      <w:r>
        <w:t xml:space="preserve">Jahrgang 8 · Sekundarstufe I · ca. 14 Unterrichtsstunden zu 45 Minuten</w:t>
      </w:r>
    </w:p>
    <w:p>
      <w:pPr>
        <w:spacing w:after="140"/>
      </w:pPr>
      <w:r>
        <w:rPr>
          <w:b/>
        </w:rPr>
        <w:t xml:space="preserve">Leitfrage </w:t>
      </w:r>
      <w:r>
        <w:t>Eis schmilzt, Eisen rostet, ein Handwärmer wird warm. Wann entsteht wirklich ein neuer Stoff?</w:t>
      </w:r>
    </w:p>
    <w:p>
      <w:pPr>
        <w:pStyle w:val="Heading3"/>
        <w:keepNext/>
        <w:spacing w:after="140"/>
      </w:pPr>
      <w:r>
        <w:t>Inhalte und Schwerpunkte</w:t>
      </w:r>
    </w:p>
    <w:p>
      <w:pPr>
        <w:spacing w:after="140"/>
      </w:pPr>
      <w:r>
        <w:t>IF 2 Chemische Reaktion</w:t>
      </w:r>
    </w:p>
    <w:p>
      <w:pPr>
        <w:pStyle w:val="ListBullet"/>
        <w:spacing w:after="100"/>
      </w:pPr>
      <w:r>
        <w:t>Stoffumwandlung und Abgrenzung zu physikalischen Vorgängen; Wortgleichungen.</w:t>
      </w:r>
    </w:p>
    <w:p>
      <w:pPr>
        <w:pStyle w:val="ListBullet"/>
        <w:spacing w:after="100"/>
      </w:pPr>
      <w:r>
        <w:t>Chemische Energie, Aktivierungsenergie, exotherme und endotherme Vorgänge.</w:t>
      </w:r>
    </w:p>
    <w:p>
      <w:pPr>
        <w:pStyle w:val="ListBullet"/>
        <w:spacing w:after="100"/>
      </w:pPr>
      <w:r>
        <w:t>Massenerhaltung und Reaktionsdeutung im Teilchenmodell als Vernetzung mit IF 3.</w:t>
      </w:r>
    </w:p>
    <w:p>
      <w:pPr>
        <w:pStyle w:val="Heading3"/>
        <w:keepNext/>
        <w:spacing w:after="140"/>
      </w:pPr>
      <w:r>
        <w:t>Lernweg und methodische Gestaltung</w:t>
      </w:r>
    </w:p>
    <w:p>
      <w:pPr>
        <w:pStyle w:val="ListBullet"/>
        <w:spacing w:after="100"/>
      </w:pPr>
      <w:r>
        <w:t>Die bisherigen Reaktionen werden anhand von Stoff- und Energieumwandlungen systematisiert.</w:t>
      </w:r>
    </w:p>
    <w:p>
      <w:pPr>
        <w:pStyle w:val="ListBullet"/>
        <w:spacing w:after="100"/>
      </w:pPr>
      <w:r>
        <w:t>Ausgewählte Reaktionen wie Eisen mit Schwefel und reversible Hydratation untersuchen; Beobachtung und Erklärung trennen.</w:t>
      </w:r>
    </w:p>
    <w:p>
      <w:pPr>
        <w:pStyle w:val="ListBullet"/>
        <w:spacing w:after="100"/>
      </w:pPr>
      <w:r>
        <w:t>Energieverläufe darstellen und Alltagsvorgänge mit Belegen einordnen. Abschließende Diagnose der Kompetenzen aus IF 1 bis 4.</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an der Bildung von neuen Stoffen mit anderen Eigenschaften und in Abgrenzung zu physikalischen Vorgängen identifizieren (UF2, UF3), </w:t>
      </w:r>
      <w:r>
        <w:t>SI1-2-01</w:t>
      </w:r>
    </w:p>
    <w:p>
      <w:pPr>
        <w:pStyle w:val="ListBullet"/>
        <w:spacing w:after="100"/>
      </w:pPr>
      <w:r>
        <w:t xml:space="preserve">chemische Reaktionen in Form von Reaktionsschemata in Worten darstellen (UF1, K1), </w:t>
      </w:r>
      <w:r>
        <w:t>SI1-2-02</w:t>
      </w:r>
    </w:p>
    <w:p>
      <w:pPr>
        <w:pStyle w:val="ListBullet"/>
        <w:spacing w:after="100"/>
      </w:pPr>
      <w:r>
        <w:t xml:space="preserve">bei ausgewählten chemischen Reaktionen die Energieumwandlung der in den Stoffen gespeicherten Energie (chemische Energie) in andere Energieformen begründet angeben (UF1), </w:t>
      </w:r>
      <w:r>
        <w:t>SI1-2-03</w:t>
      </w:r>
    </w:p>
    <w:p>
      <w:pPr>
        <w:pStyle w:val="ListBullet"/>
        <w:spacing w:after="100"/>
      </w:pPr>
      <w:r>
        <w:t xml:space="preserve">bei ausgewählten chemischen Reaktionen die Bedeutung der Aktivierungsenergie zum Auslösen einer Reaktion beschreiben (UF1). </w:t>
      </w:r>
      <w:r>
        <w:t>SI1-2-04</w:t>
      </w:r>
    </w:p>
    <w:p>
      <w:pPr>
        <w:pStyle w:val="ListBullet"/>
        <w:spacing w:after="100"/>
      </w:pPr>
      <w:r>
        <w:t xml:space="preserve">einfache chemische Reaktionen sachgerecht durchführen und auswerten (E4, E5, K1), </w:t>
      </w:r>
      <w:r>
        <w:t>SI1-2-05</w:t>
      </w:r>
    </w:p>
    <w:p>
      <w:pPr>
        <w:pStyle w:val="ListBullet"/>
        <w:spacing w:after="100"/>
      </w:pPr>
      <w:r>
        <w:t xml:space="preserve">chemische Reaktionen anhand von Stoff- und Energieumwandlungen auch im Alltag identifizieren (E2, UF4). </w:t>
      </w:r>
      <w:r>
        <w:t>SI1-2-06</w:t>
      </w:r>
    </w:p>
    <w:p>
      <w:pPr>
        <w:pStyle w:val="ListBullet"/>
        <w:spacing w:after="100"/>
      </w:pPr>
      <w:r>
        <w:t xml:space="preserve">die Bedeutung chemischer Reaktionen in der Lebenswelt begründen (B1, K4). </w:t>
      </w:r>
      <w:r>
        <w:t>SI1-2-07</w:t>
      </w:r>
    </w:p>
    <w:p>
      <w:pPr>
        <w:pStyle w:val="Heading3"/>
        <w:keepNext/>
        <w:spacing w:after="140"/>
      </w:pPr>
      <w:r>
        <w:t>Übergreifende Lernleistungen</w:t>
      </w:r>
    </w:p>
    <w:p>
      <w:pPr>
        <w:pStyle w:val="ListBullet"/>
        <w:spacing w:after="100"/>
      </w:pPr>
      <w:r>
        <w:t xml:space="preserve">Stoff- und Energieumwandlung mit Wortgleichung und Energiedarstellung erklären. </w:t>
      </w:r>
      <w:r>
        <w:t>SI1-UF1</w:t>
      </w:r>
    </w:p>
    <w:p>
      <w:pPr>
        <w:pStyle w:val="ListBullet"/>
        <w:spacing w:after="100"/>
      </w:pPr>
      <w:r>
        <w:t xml:space="preserve">Eine Stoffveränderung begründet als chemische Reaktion einordnen und auf Nachfragen eingehen. </w:t>
      </w:r>
      <w:r>
        <w:t>SI1-K4</w:t>
      </w:r>
    </w:p>
    <w:p>
      <w:pPr>
        <w:pStyle w:val="Heading3"/>
        <w:keepNext/>
        <w:spacing w:after="140"/>
      </w:pPr>
      <w:r>
        <w:t>Lernaufgabe und Überprüfung</w:t>
      </w:r>
    </w:p>
    <w:p>
      <w:pPr>
        <w:spacing w:after="140"/>
      </w:pPr>
      <w:r>
        <w:t>Unbekannte Veränderungen als chemisch oder physikalisch einordnen; Wortgleichung, Teilchenbild und Energiedarstellung zu einer Reaktion erstellen.</w:t>
      </w:r>
    </w:p>
    <w:p>
      <w:bookmarkStart w:id="7007" w:name="uv_08_3"/>
      <w:pPr>
        <w:pStyle w:val="Heading2"/>
        <w:keepNext/>
        <w:spacing w:after="140"/>
      </w:pPr>
      <w:r>
        <w:t>08.3 Atommodelle</w:t>
      </w:r>
      <w:bookmarkEnd w:id="7007"/>
    </w:p>
    <w:p>
      <w:pPr>
        <w:spacing w:after="140"/>
      </w:pPr>
      <w:r>
        <w:t xml:space="preserve">Jahrgang 8 · Sekundarstufe I · ca. 18 Unterrichtsstunden zu 45 Minuten</w:t>
      </w:r>
    </w:p>
    <w:p>
      <w:pPr>
        <w:spacing w:after="140"/>
      </w:pPr>
      <w:r>
        <w:rPr>
          <w:b/>
        </w:rPr>
        <w:t xml:space="preserve">Leitfrage </w:t>
      </w:r>
      <w:r>
        <w:t>Wie kann man herausfinden, wie ein Atom gebaut ist, wenn man nicht einfach hineinschauen kann?</w:t>
      </w:r>
    </w:p>
    <w:p>
      <w:pPr>
        <w:pStyle w:val="Heading3"/>
        <w:keepNext/>
        <w:spacing w:after="140"/>
      </w:pPr>
      <w:r>
        <w:t>Inhalte und Schwerpunkte</w:t>
      </w:r>
    </w:p>
    <w:p>
      <w:pPr>
        <w:spacing w:after="140"/>
      </w:pPr>
      <w:r>
        <w:t>IF 5 Elemente und ihre Ordnung — Schwerpunkt Atombau</w:t>
      </w:r>
    </w:p>
    <w:p>
      <w:pPr>
        <w:pStyle w:val="ListBullet"/>
        <w:spacing w:after="100"/>
      </w:pPr>
      <w:r>
        <w:t>Daltons Atomvorstellung, Rutherford-Streuversuch, Kern-Hülle-Modell und differenziertes Schalenmodell.</w:t>
      </w:r>
    </w:p>
    <w:p>
      <w:pPr>
        <w:pStyle w:val="ListBullet"/>
        <w:spacing w:after="100"/>
      </w:pPr>
      <w:r>
        <w:t>Protonen, Neutronen, Elektronen, Kernladung, Atommasse und Elektronenkonfiguration.</w:t>
      </w:r>
    </w:p>
    <w:p>
      <w:pPr>
        <w:pStyle w:val="ListBullet"/>
        <w:spacing w:after="100"/>
      </w:pPr>
      <w:r>
        <w:t>Periodensystem als Werkzeug zum Atombau; Hauptgruppen und Außenelektronen als Grundlage der Ionenbildung. Die systematische Untersuchung der Elementfamilien folgt in 09.1.</w:t>
      </w:r>
    </w:p>
    <w:p>
      <w:pPr>
        <w:pStyle w:val="Heading3"/>
        <w:keepNext/>
        <w:spacing w:after="140"/>
      </w:pPr>
      <w:r>
        <w:t>Lernweg und methodische Gestaltung</w:t>
      </w:r>
    </w:p>
    <w:p>
      <w:pPr>
        <w:pStyle w:val="ListBullet"/>
        <w:spacing w:after="100"/>
      </w:pPr>
      <w:r>
        <w:t>Ein Streumodell auswerten und zwischen Befund, Schlussfolgerung und Modellannahme unterscheiden.</w:t>
      </w:r>
    </w:p>
    <w:p>
      <w:pPr>
        <w:pStyle w:val="ListBullet"/>
        <w:spacing w:after="100"/>
      </w:pPr>
      <w:r>
        <w:t>Modelle anhand ihrer Erklärungsmöglichkeiten und Grenzen vergleichen.</w:t>
      </w:r>
    </w:p>
    <w:p>
      <w:pPr>
        <w:pStyle w:val="ListBullet"/>
        <w:spacing w:after="100"/>
      </w:pPr>
      <w:r>
        <w:t>Für ausgewählte Hauptgruppenelemente den Atombau aus dem Periodensystem erschließen; Elektronenabgabe und -aufnahme an wenigen Beispielen als Brücke zu Mineralien vorbereiten.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die Entwicklung eines differenzierten Kern-Hülle-Modells auf der Grundlage von Experimenten, Beobachtungen und Schlussfolgerungen beschreiben (E2, E6, E7), </w:t>
      </w:r>
      <w:r>
        <w:t>SI2-5-05</w:t>
      </w:r>
    </w:p>
    <w:p>
      <w:pPr>
        <w:pStyle w:val="ListBullet"/>
        <w:spacing w:after="100"/>
      </w:pPr>
      <w:r>
        <w:t xml:space="preserve">die Aussagekraft verschiedener Kern-Hülle-Modelle beschreiben (E6, E7). </w:t>
      </w:r>
      <w:r>
        <w:t>SI2-5-06</w:t>
      </w:r>
    </w:p>
    <w:p>
      <w:pPr>
        <w:pStyle w:val="Heading3"/>
        <w:keepNext/>
        <w:spacing w:after="140"/>
      </w:pPr>
      <w:r>
        <w:t>Übergreifende Lernleistungen</w:t>
      </w:r>
    </w:p>
    <w:p>
      <w:pPr>
        <w:pStyle w:val="ListBullet"/>
        <w:spacing w:after="100"/>
      </w:pPr>
      <w:r>
        <w:t xml:space="preserve">Die Weiterentwicklung des Atommodells anhand experimenteller Befunde erklären. </w:t>
      </w:r>
      <w:r>
        <w:t>SI2-E7</w:t>
      </w:r>
    </w:p>
    <w:p>
      <w:pPr>
        <w:pStyle w:val="Heading3"/>
        <w:keepNext/>
        <w:spacing w:after="140"/>
      </w:pPr>
      <w:r>
        <w:t>Lernaufgabe und Überprüfung</w:t>
      </w:r>
    </w:p>
    <w:p>
      <w:pPr>
        <w:spacing w:after="140"/>
      </w:pPr>
      <w:r>
        <w:t>Modellvergleich mit experimentellen Belegen; Atombau aus PSE-Daten ableiten und eine begründete Modellzeichnung erstellen.</w:t>
      </w:r>
    </w:p>
    <w:p>
      <w:bookmarkStart w:id="7008" w:name="uv_08_4"/>
      <w:pPr>
        <w:pStyle w:val="Heading2"/>
        <w:keepNext/>
        <w:spacing w:after="140"/>
      </w:pPr>
      <w:r>
        <w:t>08.4 Die Welt der Mineralien</w:t>
      </w:r>
      <w:bookmarkEnd w:id="7008"/>
    </w:p>
    <w:p>
      <w:pPr>
        <w:spacing w:after="140"/>
      </w:pPr>
      <w:r>
        <w:t xml:space="preserve">Jahrgang 8 · Sekundarstufe I · ca. 22 Unterrichtsstunden zu 45 Minuten</w:t>
      </w:r>
    </w:p>
    <w:p>
      <w:pPr>
        <w:spacing w:after="140"/>
      </w:pPr>
      <w:r>
        <w:rPr>
          <w:b/>
        </w:rPr>
        <w:t xml:space="preserve">Leitfrage </w:t>
      </w:r>
      <w:r>
        <w:t>Ein Salzkristall leitet keinen Strom, Salzwasser schon. Was wird beim Lösen beweglich?</w:t>
      </w:r>
    </w:p>
    <w:p>
      <w:pPr>
        <w:pStyle w:val="Heading3"/>
        <w:keepNext/>
        <w:spacing w:after="140"/>
      </w:pPr>
      <w:r>
        <w:t>Inhalte und Schwerpunkte</w:t>
      </w:r>
    </w:p>
    <w:p>
      <w:pPr>
        <w:spacing w:after="140"/>
      </w:pPr>
      <w:r>
        <w:t>IF 6 Salze und Ionen</w:t>
      </w:r>
    </w:p>
    <w:p>
      <w:pPr>
        <w:pStyle w:val="ListBullet"/>
        <w:spacing w:after="100"/>
      </w:pPr>
      <w:r>
        <w:t>Ionenbildung, Kationen, Anionen, Ionenbindung und Ionengitter.</w:t>
      </w:r>
    </w:p>
    <w:p>
      <w:pPr>
        <w:pStyle w:val="ListBullet"/>
        <w:spacing w:after="100"/>
      </w:pPr>
      <w:r>
        <w:t>Kristalle, Sprödigkeit und Leitfähigkeit von Salzlösungen und Salzschmelzen.</w:t>
      </w:r>
    </w:p>
    <w:p>
      <w:pPr>
        <w:pStyle w:val="ListBullet"/>
        <w:spacing w:after="100"/>
      </w:pPr>
      <w:r>
        <w:t>Gehaltsangaben; konstante Massenverhältnisse, Atomanzahlverhältnis, Verhältnisformeln und Reaktionsgleichungen in Ionenschreibweise.</w:t>
      </w:r>
    </w:p>
    <w:p>
      <w:pPr>
        <w:pStyle w:val="ListBullet"/>
        <w:spacing w:after="100"/>
      </w:pPr>
      <w:r>
        <w:t>Energetische Betrachtung der Salzbildung; Umwelt- und Gesundheitsaspekte der Salznutzung.</w:t>
      </w:r>
    </w:p>
    <w:p>
      <w:pPr>
        <w:pStyle w:val="Heading3"/>
        <w:keepNext/>
        <w:spacing w:after="140"/>
      </w:pPr>
      <w:r>
        <w:t>Lernweg und methodische Gestaltung</w:t>
      </w:r>
    </w:p>
    <w:p>
      <w:pPr>
        <w:pStyle w:val="ListBullet"/>
        <w:spacing w:after="100"/>
      </w:pPr>
      <w:r>
        <w:t>Mineralien und Salze untersuchen; Leitfähigkeit und Kristalleigenschaften durch den Teilchenaufbau erklären.</w:t>
      </w:r>
    </w:p>
    <w:p>
      <w:pPr>
        <w:pStyle w:val="ListBullet"/>
        <w:spacing w:after="100"/>
      </w:pPr>
      <w:r>
        <w:t>Die Salzbildung aus Atomen mithilfe der in 08.3 erarbeiteten Elektronenkonfiguration darstellen und energetisch deuten.</w:t>
      </w:r>
    </w:p>
    <w:p>
      <w:pPr>
        <w:pStyle w:val="ListBullet"/>
        <w:spacing w:after="100"/>
      </w:pPr>
      <w:r>
        <w:t>Salzgehalt durch Eindampfen bestimmen; aus gegebenen oder experimentellen Massenverhältnissen eine Verhältnisformel herleiten.</w:t>
      </w:r>
    </w:p>
    <w:p>
      <w:pPr>
        <w:pStyle w:val="ListBullet"/>
        <w:spacing w:after="100"/>
      </w:pPr>
      <w:r>
        <w:t>Streusalz oder Salz in Lebensmitteln anhand fachlicher Daten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ausgewählte Eigenschaften von Salzen mit ihrem Aufbau aus Ionen und der Ionenbindung erläutern (UF1), </w:t>
      </w:r>
      <w:r>
        <w:t>SI2-6-01</w:t>
      </w:r>
    </w:p>
    <w:p>
      <w:pPr>
        <w:pStyle w:val="ListBullet"/>
        <w:spacing w:after="100"/>
      </w:pPr>
      <w:r>
        <w:t xml:space="preserve">an einem Beispiel die Salzbildung unter Einbezug energetischer Betrachtungen auch mit Angabe einer Reaktionsgleichung in Ionenschreibweise erläutern (UF2). </w:t>
      </w:r>
      <w:r>
        <w:t>SI2-6-02</w:t>
      </w:r>
    </w:p>
    <w:p>
      <w:pPr>
        <w:pStyle w:val="ListBullet"/>
        <w:spacing w:after="100"/>
      </w:pPr>
      <w:r>
        <w:t xml:space="preserve">den Gehalt von Salzen in einer Lösung durch Eindampfen ermitteln (E4), </w:t>
      </w:r>
      <w:r>
        <w:t>SI2-6-03</w:t>
      </w:r>
    </w:p>
    <w:p>
      <w:pPr>
        <w:pStyle w:val="ListBullet"/>
        <w:spacing w:after="100"/>
      </w:pPr>
      <w:r>
        <w:t xml:space="preserve">an einem Beispiel das Gesetz der konstanten Massenverhältnisse erklären und eine chemische Verhältnisformel herleiten (E6, E7, K1). </w:t>
      </w:r>
      <w:r>
        <w:t>SI2-6-04</w:t>
      </w:r>
    </w:p>
    <w:p>
      <w:pPr>
        <w:pStyle w:val="ListBullet"/>
        <w:spacing w:after="100"/>
      </w:pPr>
      <w:r>
        <w:t xml:space="preserve">unter Umwelt- und Gesundheitsaspekten die Verwendung von Salzen im Alltag reflektieren (B1). </w:t>
      </w:r>
      <w:r>
        <w:t>SI2-6-05</w:t>
      </w:r>
    </w:p>
    <w:p>
      <w:pPr>
        <w:pStyle w:val="Heading3"/>
        <w:keepNext/>
        <w:spacing w:after="140"/>
      </w:pPr>
      <w:r>
        <w:t>Übergreifende Lernleistungen</w:t>
      </w:r>
    </w:p>
    <w:p>
      <w:pPr>
        <w:pStyle w:val="ListBullet"/>
        <w:spacing w:after="100"/>
      </w:pPr>
      <w:r>
        <w:t xml:space="preserve">Salzeigenschaften mit Ionenbindung und Teilchenaufbau strukturiert erklären. </w:t>
      </w:r>
      <w:r>
        <w:t>SI2-UF1</w:t>
      </w:r>
    </w:p>
    <w:p>
      <w:pPr>
        <w:pStyle w:val="ListBullet"/>
        <w:spacing w:after="100"/>
      </w:pPr>
      <w:r>
        <w:t xml:space="preserve">Messdaten zum Salzgehalt analog und digital mit Einheiten dokumentieren. </w:t>
      </w:r>
      <w:r>
        <w:t>SI2-K1</w:t>
      </w:r>
    </w:p>
    <w:p>
      <w:pPr>
        <w:pStyle w:val="Heading3"/>
        <w:keepNext/>
        <w:spacing w:after="140"/>
      </w:pPr>
      <w:r>
        <w:t>Lernaufgabe und Überprüfung</w:t>
      </w:r>
    </w:p>
    <w:p>
      <w:pPr>
        <w:spacing w:after="140"/>
      </w:pPr>
      <w:r>
        <w:t>Untersuchungsbericht zu einer Salzlösung, Herleitung einer Verhältnisformel und begründete Bewertung eines Salzeinsatzes.</w:t>
      </w:r>
    </w:p>
    <w:p>
      <w:bookmarkStart w:id="7009" w:name="uv_09_1"/>
      <w:pPr>
        <w:pStyle w:val="Heading2"/>
        <w:keepNext/>
        <w:spacing w:after="140"/>
      </w:pPr>
      <w:r>
        <w:t>09.1 Elementfamilien</w:t>
      </w:r>
      <w:bookmarkEnd w:id="7009"/>
    </w:p>
    <w:p>
      <w:pPr>
        <w:spacing w:after="140"/>
      </w:pPr>
      <w:r>
        <w:t xml:space="preserve">Jahrgang 9 · Sekundarstufe I · ca. 24 Unterrichtsstunden zu 45 Minuten</w:t>
      </w:r>
    </w:p>
    <w:p>
      <w:pPr>
        <w:spacing w:after="140"/>
      </w:pPr>
      <w:r>
        <w:rPr>
          <w:b/>
        </w:rPr>
        <w:t xml:space="preserve">Leitfrage </w:t>
      </w:r>
      <w:r>
        <w:t>Warum reagiert Natrium heftig mit Wasser, während ein Edelgas scheinbar gar nichts tut?</w:t>
      </w:r>
    </w:p>
    <w:p>
      <w:pPr>
        <w:pStyle w:val="Heading3"/>
        <w:keepNext/>
        <w:spacing w:after="140"/>
      </w:pPr>
      <w:r>
        <w:t>Inhalte und Schwerpunkte</w:t>
      </w:r>
    </w:p>
    <w:p>
      <w:pPr>
        <w:spacing w:after="140"/>
      </w:pPr>
      <w:r>
        <w:t>IF 5 Elemente und ihre Ordnung — Schwerpunkt Elementfamilien</w:t>
      </w:r>
    </w:p>
    <w:p>
      <w:pPr>
        <w:pStyle w:val="ListBullet"/>
        <w:spacing w:after="100"/>
      </w:pPr>
      <w:r>
        <w:t>Alkalimetalle, Halogene und Edelgase: Eigenschaften, Vorkommen und Verwendung.</w:t>
      </w:r>
    </w:p>
    <w:p>
      <w:pPr>
        <w:pStyle w:val="ListBullet"/>
        <w:spacing w:after="100"/>
      </w:pPr>
      <w:r>
        <w:t>Ordnung des Periodensystems, Wiederholung des differenzierten Atombaus; Eigenschaftsvorhersagen aus der Stellung im PSE.</w:t>
      </w:r>
    </w:p>
    <w:p>
      <w:pPr>
        <w:pStyle w:val="ListBullet"/>
        <w:spacing w:after="100"/>
      </w:pPr>
      <w:r>
        <w:t>Begrenzte Verfügbarkeit von Elementen und ressourcenschonendes Konsumverhalten.</w:t>
      </w:r>
    </w:p>
    <w:p>
      <w:pPr>
        <w:pStyle w:val="Heading3"/>
        <w:keepNext/>
        <w:spacing w:after="140"/>
      </w:pPr>
      <w:r>
        <w:t>Lernweg und methodische Gestaltung</w:t>
      </w:r>
    </w:p>
    <w:p>
      <w:pPr>
        <w:pStyle w:val="ListBullet"/>
        <w:spacing w:after="100"/>
      </w:pPr>
      <w:r>
        <w:t>Eigenschaftsdaten und geeignete Demonstrationsversuche vergleichen, einschließlich charakteristischer Flammenfärbungen.</w:t>
      </w:r>
    </w:p>
    <w:p>
      <w:pPr>
        <w:pStyle w:val="ListBullet"/>
        <w:spacing w:after="100"/>
      </w:pPr>
      <w:r>
        <w:t>Elemente begründet Familien zuordnen und die Eigenschaften unbekannter Vertreter vorhersagen; Vorhersagen anhand von Daten überprüfen.</w:t>
      </w:r>
    </w:p>
    <w:p>
      <w:pPr>
        <w:pStyle w:val="ListBullet"/>
        <w:spacing w:after="100"/>
      </w:pPr>
      <w:r>
        <w:t>Den Unterschied zwischen elementarem Natrium bzw. Chlor und ihren Ionen in Kochsalz erklären.</w:t>
      </w:r>
    </w:p>
    <w:p>
      <w:pPr>
        <w:pStyle w:val="ListBullet"/>
        <w:spacing w:after="100"/>
      </w:pPr>
      <w:r>
        <w:t>Für ein knappes Element in Alltagsgeräten Handlungsoptionen zu Nutzung, Ersatz und Recycling entwickeln.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Vorkommen und Nutzen ausgewählter chemischer Elemente und ihrer Verbindungen in Alltag und Umwelt beschreiben (UF1), </w:t>
      </w:r>
      <w:r>
        <w:t>SI2-5-01</w:t>
      </w:r>
    </w:p>
    <w:p>
      <w:pPr>
        <w:pStyle w:val="ListBullet"/>
        <w:spacing w:after="100"/>
      </w:pPr>
      <w:r>
        <w:t xml:space="preserve">chemische Elemente anhand ihrer charakteristischen physikalischen und chemischen Eigenschaften den Elementfamilien zuordnen (UF3), </w:t>
      </w:r>
      <w:r>
        <w:t>SI2-5-02</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physikalische und chemische Eigenschaften von Alkalimetallen, Halogenen und Edelgasen mithilfe ihrer Stellung im Periodensystem begründet vorhersagen (E3), </w:t>
      </w:r>
      <w:r>
        <w:t>SI2-5-04</w:t>
      </w:r>
    </w:p>
    <w:p>
      <w:pPr>
        <w:pStyle w:val="ListBullet"/>
        <w:spacing w:after="100"/>
      </w:pPr>
      <w:r>
        <w:t xml:space="preserve">vor dem Hintergrund der begrenzten Verfügbarkeit eines chemischen Elements bzw. seiner Verbindungen Handlungsoptionen für ein ressourcenschonendes Konsumverhalten entwickeln (B3). </w:t>
      </w:r>
      <w:r>
        <w:t>SI2-5-07</w:t>
      </w:r>
    </w:p>
    <w:p>
      <w:pPr>
        <w:pStyle w:val="Heading3"/>
        <w:keepNext/>
        <w:spacing w:after="140"/>
      </w:pPr>
      <w:r>
        <w:t>Übergreifende Lernleistungen</w:t>
      </w:r>
    </w:p>
    <w:p>
      <w:pPr>
        <w:pStyle w:val="ListBullet"/>
        <w:spacing w:after="100"/>
      </w:pPr>
      <w:r>
        <w:t xml:space="preserve">Elemente systematisch Elementfamilien und dem Periodensystem zuordnen. </w:t>
      </w:r>
      <w:r>
        <w:t>SI2-UF3</w:t>
      </w:r>
    </w:p>
    <w:p>
      <w:pPr>
        <w:pStyle w:val="Heading3"/>
        <w:keepNext/>
        <w:spacing w:after="140"/>
      </w:pPr>
      <w:r>
        <w:t>Lernaufgabe und Überprüfung</w:t>
      </w:r>
    </w:p>
    <w:p>
      <w:pPr>
        <w:spacing w:after="140"/>
      </w:pPr>
      <w:r>
        <w:t>Ein fehlendes Element in einer Datensammlung einordnen, die Vorhersage mit dem Atombau begründen und eine Rohstoffentscheidung abwägen.</w:t>
      </w:r>
    </w:p>
    <w:p>
      <w:bookmarkStart w:id="7010" w:name="uv_09_2"/>
      <w:pPr>
        <w:pStyle w:val="Heading2"/>
        <w:keepNext/>
        <w:spacing w:after="140"/>
      </w:pPr>
      <w:r>
        <w:t>09.2 Die Batterie und chemische Energiespeicherung</w:t>
      </w:r>
      <w:bookmarkEnd w:id="7010"/>
    </w:p>
    <w:p>
      <w:pPr>
        <w:spacing w:after="140"/>
      </w:pPr>
      <w:r>
        <w:t xml:space="preserve">Jahrgang 9 · Sekundarstufe I · ca. 26 Unterrichtsstunden zu 45 Minuten</w:t>
      </w:r>
    </w:p>
    <w:p>
      <w:pPr>
        <w:spacing w:after="140"/>
      </w:pPr>
      <w:r>
        <w:rPr>
          <w:b/>
        </w:rPr>
        <w:t xml:space="preserve">Leitfrage </w:t>
      </w:r>
      <w:r>
        <w:t>Was muss zwischen zwei Metallen passieren, damit eine Lampe leuchtet?</w:t>
      </w:r>
    </w:p>
    <w:p>
      <w:pPr>
        <w:pStyle w:val="Heading3"/>
        <w:keepNext/>
        <w:spacing w:after="140"/>
      </w:pPr>
      <w:r>
        <w:t>Inhalte und Schwerpunkte</w:t>
      </w:r>
    </w:p>
    <w:p>
      <w:pPr>
        <w:spacing w:after="140"/>
      </w:pPr>
      <w:r>
        <w:t>IF7: Chemische Reaktionen durch Elektronenübertragung</w:t>
      </w:r>
    </w:p>
    <w:p>
      <w:pPr>
        <w:pStyle w:val="ListBullet"/>
        <w:spacing w:after="100"/>
      </w:pPr>
      <w:r>
        <w:t>Wie funktioniert eine einfache Batterie und welche chemischen Reaktionen laufen dabei ab?</w:t>
      </w:r>
    </w:p>
    <w:p>
      <w:pPr>
        <w:pStyle w:val="ListBullet"/>
        <w:spacing w:after="100"/>
      </w:pPr>
      <w:r>
        <w:t>Wie kann elektrische Energie gespeichert werden, Elektrolyse</w:t>
      </w:r>
    </w:p>
    <w:p>
      <w:pPr>
        <w:pStyle w:val="Heading3"/>
        <w:keepNext/>
        <w:spacing w:after="140"/>
      </w:pPr>
      <w:r>
        <w:t>Lernweg und methodische Gestaltung</w:t>
      </w:r>
    </w:p>
    <w:p>
      <w:pPr>
        <w:pStyle w:val="ListBullet"/>
        <w:spacing w:after="100"/>
      </w:pPr>
      <w:r>
        <w:t>Experimente:</w:t>
      </w:r>
    </w:p>
    <w:p>
      <w:pPr>
        <w:pStyle w:val="ListBullet"/>
        <w:spacing w:after="100"/>
      </w:pPr>
      <w:r>
        <w:t>Zitronenbatterie</w:t>
      </w:r>
    </w:p>
    <w:p>
      <w:pPr>
        <w:pStyle w:val="ListBullet"/>
        <w:spacing w:after="100"/>
      </w:pPr>
      <w:r>
        <w:t>Daniell Element</w:t>
      </w:r>
    </w:p>
    <w:p>
      <w:pPr>
        <w:pStyle w:val="ListBullet"/>
        <w:spacing w:after="100"/>
      </w:pPr>
      <w:r>
        <w:t>Elektrolyse von Wasser</w:t>
      </w:r>
    </w:p>
    <w:p>
      <w:pPr>
        <w:pStyle w:val="ListBullet"/>
        <w:spacing w:after="100"/>
      </w:pPr>
      <w:r>
        <w:t>Reaktionen zwischen Metallatomen und Metallionen als Elektronenübertragungs-reaktionen deuten und diese auch mithilfe digitaler Animationen und Teilgleichungen erläutern</w:t>
      </w:r>
    </w:p>
    <w:p>
      <w:pPr>
        <w:pStyle w:val="Normal"/>
        <w:jc w:val="both"/>
      </w:pPr>
      <w:r>
        <w:rPr/>
        <w:t xml:space="preserve">Eine einfache Batterie, einen Akkumulator und eine Brennstoffzelle anhand ihrer Teilreaktionen und Energieumwandlungen vergleichen. Kriterien für die Auswahl eines mobilen Energieträgers entwickeln und Informationen aus geeigneten Quellen prüfen; Elektronenübertragungen durch eine selbst erläuterte digitale Animation darstellen.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Abgabe von Elektronen als Oxidation einordnen (UF3), </w:t>
      </w:r>
      <w:r>
        <w:t>SI2-7-01</w:t>
      </w:r>
    </w:p>
    <w:p>
      <w:pPr>
        <w:pStyle w:val="ListBullet"/>
        <w:spacing w:after="100"/>
      </w:pPr>
      <w:r>
        <w:t xml:space="preserve">die Aufnahme von Elektronen als Reduktion einordnen (UF3), </w:t>
      </w:r>
      <w:r>
        <w:t>SI2-7-02</w:t>
      </w:r>
    </w:p>
    <w:p>
      <w:pPr>
        <w:pStyle w:val="ListBullet"/>
        <w:spacing w:after="100"/>
      </w:pPr>
      <w:r>
        <w:t xml:space="preserve">Reaktionen zwischen Metallatomen und Metallionen als Elektronenübertragungsreaktionen deuten und diese auch mithilfe digitaler Animationen und Teilgleichungen erläutern (UF1), </w:t>
      </w:r>
      <w:r>
        <w:t>SI2-7-03</w:t>
      </w:r>
    </w:p>
    <w:p>
      <w:pPr>
        <w:pStyle w:val="ListBullet"/>
        <w:spacing w:after="100"/>
      </w:pPr>
      <w:r>
        <w:t xml:space="preserve">die chemischen Prozesse eines galvanischen Elements und einer Elektrolyse unter dem Aspekt der Umwandlung in Stoffen gespeicherter Energie in elektrische Energie und umgekehrt erläutern (UF2, UF4), </w:t>
      </w:r>
      <w:r>
        <w:t>SI2-7-04</w:t>
      </w:r>
    </w:p>
    <w:p>
      <w:pPr>
        <w:pStyle w:val="ListBullet"/>
        <w:spacing w:after="100"/>
      </w:pPr>
      <w:r>
        <w:t xml:space="preserve">den grundlegenden Aufbau und die Funktionsweise einer Batterie, eines Akkumulators und einer Brennstoffzelle beschreiben (UF1). </w:t>
      </w:r>
      <w:r>
        <w:t>SI2-7-05</w:t>
      </w:r>
    </w:p>
    <w:p>
      <w:pPr>
        <w:pStyle w:val="ListBullet"/>
        <w:spacing w:after="100"/>
      </w:pPr>
      <w:r>
        <w:t xml:space="preserve">Experimente planen, die eine Einordnung von Metallionen hinsichtlich ihrer Fähigkeit zur Elektronenaufnahme erlauben und diese sachgerecht durchführen (E3, E4), </w:t>
      </w:r>
      <w:r>
        <w:t>SI2-7-06</w:t>
      </w:r>
    </w:p>
    <w:p>
      <w:pPr>
        <w:pStyle w:val="ListBullet"/>
        <w:spacing w:after="100"/>
      </w:pPr>
      <w:r>
        <w:t xml:space="preserve">Elektronenübertragungsreaktionen im Sinne des Donator-Akzeptor-Prinzips modellhaft erklären (E6). </w:t>
      </w:r>
      <w:r>
        <w:t>SI2-7-07</w:t>
      </w:r>
    </w:p>
    <w:p>
      <w:pPr>
        <w:pStyle w:val="ListBullet"/>
        <w:spacing w:after="100"/>
      </w:pPr>
      <w:r>
        <w:t xml:space="preserve">Kriterien für den Gebrauch unterschiedlicher elektrochemischer Energiequellen im Alltag reflektieren (B2, B3, K2). </w:t>
      </w:r>
      <w:r>
        <w:t>SI2-7-08</w:t>
      </w:r>
    </w:p>
    <w:p>
      <w:pPr>
        <w:pStyle w:val="Heading3"/>
        <w:keepNext/>
        <w:spacing w:after="140"/>
      </w:pPr>
      <w:r>
        <w:t>Übergreifende Lernleistungen</w:t>
      </w:r>
    </w:p>
    <w:p>
      <w:pPr>
        <w:pStyle w:val="ListBullet"/>
        <w:spacing w:after="100"/>
      </w:pPr>
      <w:r>
        <w:t xml:space="preserve">Elektronenübertragung und Energieumwandlung mit physikalischen Stromkreisvorstellungen verbinden. </w:t>
      </w:r>
      <w:r>
        <w:t>SI2-UF4</w:t>
      </w:r>
    </w:p>
    <w:p>
      <w:pPr>
        <w:pStyle w:val="ListBullet"/>
        <w:spacing w:after="100"/>
      </w:pPr>
      <w:r>
        <w:t xml:space="preserve">Eine prüfbare Hypothese zur Elektronenaufnahme verschiedener Metallionen formulieren. </w:t>
      </w:r>
      <w:r>
        <w:t>SI2-E3</w:t>
      </w:r>
    </w:p>
    <w:p>
      <w:pPr>
        <w:pStyle w:val="Heading3"/>
        <w:keepNext/>
        <w:spacing w:after="140"/>
      </w:pPr>
      <w:r>
        <w:t>Lernaufgabe und Überprüfung</w:t>
      </w:r>
    </w:p>
    <w:p>
      <w:pPr>
        <w:spacing w:after="140"/>
      </w:pPr>
      <w:r>
        <w:t>Eine Versuchsreihe zur Elektronenaufnahme von Metallionen planen und auswerten. Eine digitale Animation mit Teilgleichungen erläutern; die Wahl eines Energiespeichers anhand offengelegter Kriterien begründen.</w:t>
      </w:r>
    </w:p>
    <w:p>
      <w:bookmarkStart w:id="7011" w:name="uv_09_3"/>
      <w:pPr>
        <w:pStyle w:val="Heading2"/>
        <w:keepNext/>
        <w:spacing w:after="140"/>
      </w:pPr>
      <w:r>
        <w:t>09.3 Wasser als besonderer Stoff und Lösemittel</w:t>
      </w:r>
      <w:bookmarkEnd w:id="7011"/>
    </w:p>
    <w:p>
      <w:pPr>
        <w:spacing w:after="140"/>
      </w:pPr>
      <w:r>
        <w:t xml:space="preserve">Jahrgang 9 · Sekundarstufe I · ca. 26 Unterrichtsstunden zu 45 Minuten</w:t>
      </w:r>
    </w:p>
    <w:p>
      <w:pPr>
        <w:spacing w:after="140"/>
      </w:pPr>
      <w:r>
        <w:rPr>
          <w:b/>
        </w:rPr>
        <w:t xml:space="preserve">Leitfrage </w:t>
      </w:r>
      <w:r>
        <w:t>Warum schwimmt Eis, und warum kann Wasser einen Salzstein verschwinden lassen?</w:t>
      </w:r>
    </w:p>
    <w:p>
      <w:pPr>
        <w:pStyle w:val="Heading3"/>
        <w:keepNext/>
        <w:spacing w:after="140"/>
      </w:pPr>
      <w:r>
        <w:t>Inhalte und Schwerpunkte</w:t>
      </w:r>
    </w:p>
    <w:p>
      <w:pPr>
        <w:spacing w:after="140"/>
      </w:pPr>
      <w:r>
        <w:t>IF8: Molekülverbindungen</w:t>
      </w:r>
    </w:p>
    <w:p>
      <w:pPr>
        <w:pStyle w:val="ListBullet"/>
        <w:spacing w:after="100"/>
      </w:pPr>
      <w:r>
        <w:t>Wie sind Moleküle aufgebaut (Lewis Schreibweise).</w:t>
      </w:r>
    </w:p>
    <w:p>
      <w:pPr>
        <w:pStyle w:val="ListBullet"/>
        <w:spacing w:after="100"/>
      </w:pPr>
      <w:r>
        <w:t>Wieso lässt sich ein Wasserstrahl von einem Kunststoffstab ablenken?</w:t>
      </w:r>
    </w:p>
    <w:p>
      <w:pPr>
        <w:pStyle w:val="ListBullet"/>
        <w:spacing w:after="100"/>
      </w:pPr>
      <w:r>
        <w:t>Wie lässt sich die Anomalie des Wassers erklären?</w:t>
      </w:r>
    </w:p>
    <w:p>
      <w:pPr>
        <w:pStyle w:val="Heading3"/>
        <w:keepNext/>
        <w:spacing w:after="140"/>
      </w:pPr>
      <w:r>
        <w:t>Lernweg und methodische Gestaltung</w:t>
      </w:r>
    </w:p>
    <w:p>
      <w:pPr>
        <w:pStyle w:val="ListBullet"/>
        <w:spacing w:after="100"/>
      </w:pPr>
      <w:r>
        <w:t>Experiment:</w:t>
      </w:r>
    </w:p>
    <w:p>
      <w:pPr>
        <w:pStyle w:val="ListBullet"/>
        <w:spacing w:after="100"/>
      </w:pPr>
      <w:r>
        <w:t>Aufgeladener Kunststoffstab wird an einen Wasserstrahl gehalten</w:t>
      </w:r>
    </w:p>
    <w:p>
      <w:pPr>
        <w:pStyle w:val="ListBullet"/>
        <w:spacing w:after="100"/>
      </w:pPr>
      <w:r>
        <w:t>Hofmannscher Zersetzungsapparat</w:t>
      </w:r>
    </w:p>
    <w:p>
      <w:pPr>
        <w:pStyle w:val="Normal"/>
        <w:jc w:val="both"/>
      </w:pPr>
      <w:r>
        <w:rPr/>
        <w:t xml:space="preserve">Lewis-Formeln und räumliche Molekülmodelle, auch mit einer Molekülsoftware, vergleichend verwenden. Bindungspolarität, räumlichen Bau und Dipoleigenschaften verbinden; Schmelz- und Siedetemperaturen durch zwischenmolekulare Kräfte erklären. Temperaturänderungen beim Lösen geeigneter Salze messen, durch Gitteraufbruch und Hydratation der Ionen erklären und die Grenzen der Darstellungen benennen.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 ausgewählten Beispielen die Elektronenpaarbindung erläutern (UF1), </w:t>
      </w:r>
      <w:r>
        <w:t>SI2-8-01</w:t>
      </w:r>
    </w:p>
    <w:p>
      <w:pPr>
        <w:pStyle w:val="ListBullet"/>
        <w:spacing w:after="100"/>
      </w:pPr>
      <w:r>
        <w:t xml:space="preserve">mithilfe der Lewis-Schreibweise den Aufbau einfacher Moleküle beschreiben (UF1), </w:t>
      </w:r>
      <w:r>
        <w:t>SI2-8-02</w:t>
      </w:r>
    </w:p>
    <w:p>
      <w:pPr>
        <w:pStyle w:val="ListBullet"/>
        <w:spacing w:after="100"/>
      </w:pPr>
      <w:r>
        <w:t xml:space="preserve">die räumliche Struktur von Molekülen mit dem Elektronenpaarabstoßungsmodell veranschaulichen (E6, K1), </w:t>
      </w:r>
      <w:r>
        <w:t>SI2-8-04</w:t>
      </w:r>
    </w:p>
    <w:p>
      <w:pPr>
        <w:pStyle w:val="ListBullet"/>
        <w:spacing w:after="100"/>
      </w:pPr>
      <w:r>
        <w:t xml:space="preserve">die Temperaturänderung beim Lösen von Salzen in Wasser erläutern (E1, E2, E6), </w:t>
      </w:r>
      <w:r>
        <w:t>SI2-8-05</w:t>
      </w:r>
    </w:p>
    <w:p>
      <w:pPr>
        <w:pStyle w:val="ListBullet"/>
        <w:spacing w:after="100"/>
      </w:pPr>
      <w:r>
        <w:t xml:space="preserve">typische Eigenschaften von Wasser mithilfe des Dipol-Charakters der Wassermoleküle und der Ausbildung von Wasserstoffbrücken zwischen den Molekülen erläutern (E2, E6), </w:t>
      </w:r>
      <w:r>
        <w:t>SI2-8-06</w:t>
      </w:r>
    </w:p>
    <w:p>
      <w:pPr>
        <w:pStyle w:val="ListBullet"/>
        <w:spacing w:after="100"/>
      </w:pPr>
      <w:r>
        <w:t xml:space="preserve">unterschiedliche Darstellungen von Modellen kleiner Moleküle auch mithilfe einer Software vergleichend gegenüberstellen (B1, K1, K3). </w:t>
      </w:r>
      <w:r>
        <w:t>SI2-8-09</w:t>
      </w:r>
    </w:p>
    <w:p>
      <w:pPr>
        <w:pStyle w:val="Heading3"/>
        <w:keepNext/>
        <w:spacing w:after="140"/>
      </w:pPr>
      <w:r>
        <w:t>Übergreifende Lernleistungen</w:t>
      </w:r>
    </w:p>
    <w:p>
      <w:pPr>
        <w:pStyle w:val="ListBullet"/>
        <w:spacing w:after="100"/>
      </w:pPr>
      <w:r>
        <w:t xml:space="preserve">Die Ablenkung des Wasserstrahls beschreiben und von der Erklärung getrennt notieren. </w:t>
      </w:r>
      <w:r>
        <w:t>SI2-E2</w:t>
      </w:r>
    </w:p>
    <w:p>
      <w:pPr>
        <w:pStyle w:val="ListBullet"/>
        <w:spacing w:after="100"/>
      </w:pPr>
      <w:r>
        <w:t xml:space="preserve">Wasser mit Lewis- und räumlichem Modell erklären und deren Grenzen vergleichen. </w:t>
      </w:r>
      <w:r>
        <w:t>SI2-E6</w:t>
      </w:r>
    </w:p>
    <w:p>
      <w:pPr>
        <w:pStyle w:val="Heading3"/>
        <w:keepNext/>
        <w:spacing w:after="140"/>
      </w:pPr>
      <w:r>
        <w:t>Lernaufgabe und Überprüfung</w:t>
      </w:r>
    </w:p>
    <w:p>
      <w:pPr>
        <w:spacing w:after="140"/>
      </w:pPr>
      <w:r>
        <w:t>Lewis-Formeln und räumliche Modelle vergleichen; Wasserstrahlablenkung, Dichteanomalie und Temperaturänderung beim Lösen eines Salzes mit Teilchenmodellen erklären.</w:t>
      </w:r>
    </w:p>
    <w:p>
      <w:bookmarkStart w:id="7012" w:name="uv_10_1"/>
      <w:pPr>
        <w:pStyle w:val="Heading2"/>
        <w:keepNext/>
        <w:spacing w:after="140"/>
      </w:pPr>
      <w:r>
        <w:t>10.1 Saure und alkalische Lösungen</w:t>
      </w:r>
      <w:bookmarkEnd w:id="7012"/>
    </w:p>
    <w:p>
      <w:pPr>
        <w:spacing w:after="140"/>
      </w:pPr>
      <w:r>
        <w:t xml:space="preserve">Jahrgang 10 · Sekundarstufe I · ca. 28 Unterrichtsstunden zu 45 Minuten</w:t>
      </w:r>
    </w:p>
    <w:p>
      <w:pPr>
        <w:spacing w:after="140"/>
      </w:pPr>
      <w:r>
        <w:rPr>
          <w:b/>
        </w:rPr>
        <w:t xml:space="preserve">Leitfrage </w:t>
      </w:r>
      <w:r>
        <w:t>Zwei Reiniger, zwei Warnzeichen: Warum ist Zusammenkippen keine gute Idee?</w:t>
      </w:r>
    </w:p>
    <w:p>
      <w:pPr>
        <w:pStyle w:val="Heading3"/>
        <w:keepNext/>
        <w:spacing w:after="140"/>
      </w:pPr>
      <w:r>
        <w:t>Inhalte und Schwerpunkte</w:t>
      </w:r>
    </w:p>
    <w:p>
      <w:pPr>
        <w:spacing w:after="140"/>
      </w:pPr>
      <w:r>
        <w:t>IF9: Saure und alkalische Lösungen</w:t>
      </w:r>
    </w:p>
    <w:p>
      <w:pPr>
        <w:pStyle w:val="ListBullet"/>
        <w:spacing w:after="100"/>
      </w:pPr>
      <w:r>
        <w:t>Woran erkennt man Säuren und Basen, wo kommen sie im Alltag vor und wie geht man sicher mit ihnen um.</w:t>
      </w:r>
    </w:p>
    <w:p>
      <w:pPr>
        <w:pStyle w:val="ListBullet"/>
        <w:spacing w:after="100"/>
      </w:pPr>
      <w:r>
        <w:t>Titration - ein quantitatives Messverfahren zur Bestimmung von Konzentrationen.</w:t>
      </w:r>
    </w:p>
    <w:p>
      <w:pPr>
        <w:pStyle w:val="ListBullet"/>
        <w:spacing w:after="100"/>
      </w:pPr>
      <w:r>
        <w:t>Welche chemischen Reaktionen führen zur Salzbildung.</w:t>
      </w:r>
    </w:p>
    <w:p>
      <w:pPr>
        <w:pStyle w:val="ListBullet"/>
        <w:spacing w:after="100"/>
      </w:pPr>
      <w:r>
        <w:t>Wie lässt sich das Protonendonator-Akzeptor-Prinzip auf Säuren und Basen übertragen.</w:t>
      </w:r>
    </w:p>
    <w:p>
      <w:pPr>
        <w:pStyle w:val="Heading3"/>
        <w:keepNext/>
        <w:spacing w:after="140"/>
      </w:pPr>
      <w:r>
        <w:t>Lernweg und methodische Gestaltung</w:t>
      </w:r>
    </w:p>
    <w:p>
      <w:pPr>
        <w:pStyle w:val="ListBullet"/>
        <w:spacing w:after="100"/>
      </w:pPr>
      <w:r>
        <w:t>Experiment:</w:t>
      </w:r>
    </w:p>
    <w:p>
      <w:pPr>
        <w:pStyle w:val="ListBullet"/>
        <w:spacing w:after="100"/>
      </w:pPr>
      <w:r>
        <w:t>Messung von pH-Werten von Alltagsprodukten</w:t>
      </w:r>
    </w:p>
    <w:p>
      <w:pPr>
        <w:pStyle w:val="ListBullet"/>
        <w:spacing w:after="100"/>
      </w:pPr>
      <w:r>
        <w:t>Titration</w:t>
      </w:r>
    </w:p>
    <w:p>
      <w:pPr>
        <w:pStyle w:val="ListBullet"/>
        <w:spacing w:after="100"/>
      </w:pPr>
      <w:r>
        <w:t>Reaktion von Natrium mit Wasser</w:t>
      </w:r>
    </w:p>
    <w:p>
      <w:pPr>
        <w:pStyle w:val="ListBullet"/>
        <w:spacing w:after="100"/>
      </w:pPr>
      <w:r>
        <w:t>Recherche: Gefahren von Säuren und Basen</w:t>
      </w:r>
    </w:p>
    <w:p>
      <w:pPr>
        <w:pStyle w:val="Normal"/>
        <w:jc w:val="both"/>
      </w:pPr>
      <w:r>
        <w:rPr/>
        <w:t xml:space="preserve">Eine Neutralisationsreaktion auf Teilchenebene als digitale Präsentation gestalten; Stoff- und Teilchenebene fachsprachlich verbinden. Behauptungen zu sauren, alkalischen und neutralen Lösungen aus Werbung oder Internet mit chemischen Belegen prüfen und die Quellen dokumentieren. Quantitative Neutralisationsdaten mit Stoffmenge und Konzentration auswerten.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Eigenschaften von sauren und alkalischen Lösungen mit dem Vorhandensein charakteristischer hydratisierter Ionen erklären (UF1), </w:t>
      </w:r>
      <w:r>
        <w:t>SI2-9-01</w:t>
      </w:r>
    </w:p>
    <w:p>
      <w:pPr>
        <w:pStyle w:val="ListBullet"/>
        <w:spacing w:after="100"/>
      </w:pPr>
      <w:r>
        <w:t xml:space="preserve">Protonendonatoren als Säuren und Protonenakzeptoren als Basen klassifizieren (UF3), </w:t>
      </w:r>
      <w:r>
        <w:t>SI2-9-02</w:t>
      </w:r>
    </w:p>
    <w:p>
      <w:pPr>
        <w:pStyle w:val="ListBullet"/>
        <w:spacing w:after="100"/>
      </w:pPr>
      <w:r>
        <w:t xml:space="preserve">an einfachen Beispielen die Vorgänge der Protonenabgabe und -aufnahme beschreiben (UF1), </w:t>
      </w:r>
      <w:r>
        <w:t>SI2-9-03</w:t>
      </w:r>
    </w:p>
    <w:p>
      <w:pPr>
        <w:pStyle w:val="ListBullet"/>
        <w:spacing w:after="100"/>
      </w:pPr>
      <w:r>
        <w:t xml:space="preserve">Neutralisationsreaktionen und Salzbildungen erläutern (UF1). </w:t>
      </w:r>
      <w:r>
        <w:t>SI2-9-04</w:t>
      </w:r>
    </w:p>
    <w:p>
      <w:pPr>
        <w:pStyle w:val="ListBullet"/>
        <w:spacing w:after="100"/>
      </w:pPr>
      <w:r>
        <w:t xml:space="preserve">charakteristische Eigenschaften von sauren Lösungen (elektrische Leitfähigkeit, Reaktionen mit Metallen, Reaktionen mit Kalk) und alkalischen Lösungen ermitteln und auch unter Angabe von Reaktionsgleichungen erläutern (E4, E5, E6), </w:t>
      </w:r>
      <w:r>
        <w:t>SI2-9-05</w:t>
      </w:r>
    </w:p>
    <w:p>
      <w:pPr>
        <w:pStyle w:val="ListBullet"/>
        <w:spacing w:after="100"/>
      </w:pPr>
      <w:r>
        <w:t xml:space="preserve">den pH-Wert einer Lösung bestimmen und die pH-Wertskala mithilfe von Verdünnungen ableiten (E4, E5, K1), </w:t>
      </w:r>
      <w:r>
        <w:t>SI2-9-06</w:t>
      </w:r>
    </w:p>
    <w:p>
      <w:pPr>
        <w:pStyle w:val="ListBullet"/>
        <w:spacing w:after="100"/>
      </w:pPr>
      <w:r>
        <w:t xml:space="preserve">ausgehend von einfachen stöchiometrischen Berechnungen Hypothesen und Reaktionsgleichungen zur Neutralisation von sauren bzw. alkalischen Lösungen aufstellen und experimentell überprüfen (E3, E4), </w:t>
      </w:r>
      <w:r>
        <w:t>SI2-9-07</w:t>
      </w:r>
    </w:p>
    <w:p>
      <w:pPr>
        <w:pStyle w:val="ListBullet"/>
        <w:spacing w:after="100"/>
      </w:pPr>
      <w:r>
        <w:t xml:space="preserve">eine ausgewählte Neutralisationsreaktion auf Teilchenebene als digitale Präsentation gestalten (E6, K3). </w:t>
      </w:r>
      <w:r>
        <w:t>SI2-9-08</w:t>
      </w:r>
    </w:p>
    <w:p>
      <w:pPr>
        <w:pStyle w:val="ListBullet"/>
        <w:spacing w:after="100"/>
      </w:pPr>
      <w:r>
        <w:t xml:space="preserve">beim Umgang mit sauren und alkalischen Lösungen Risiken und Nutzen abwägen und angemessene Sicherheitsmaßnahmen begründet auswählen (B3), </w:t>
      </w:r>
      <w:r>
        <w:t>SI2-9-09</w:t>
      </w:r>
    </w:p>
    <w:p>
      <w:pPr>
        <w:pStyle w:val="ListBullet"/>
        <w:spacing w:after="100"/>
      </w:pPr>
      <w:r>
        <w:t xml:space="preserve">Aussagen zu sauren, alkalischen und neutralen Lösungen in analogen und digitalen Medien kritisch hinterfragen (B1, K2). </w:t>
      </w:r>
      <w:r>
        <w:t>SI2-9-10</w:t>
      </w:r>
    </w:p>
    <w:p>
      <w:pPr>
        <w:pStyle w:val="Heading3"/>
        <w:keepNext/>
        <w:spacing w:after="140"/>
      </w:pPr>
      <w:r>
        <w:t>Übergreifende Lernleistungen</w:t>
      </w:r>
    </w:p>
    <w:p>
      <w:pPr>
        <w:pStyle w:val="ListBullet"/>
        <w:spacing w:after="100"/>
      </w:pPr>
      <w:r>
        <w:t xml:space="preserve">Eine untersuchbare Frage zur Neutralisation eines Alltagsprodukts formulieren. </w:t>
      </w:r>
      <w:r>
        <w:t>SI2-E1</w:t>
      </w:r>
    </w:p>
    <w:p>
      <w:pPr>
        <w:pStyle w:val="ListBullet"/>
        <w:spacing w:after="100"/>
      </w:pPr>
      <w:r>
        <w:t xml:space="preserve">Eine Neutralisationsuntersuchung mit kontrollierten Variablen sicher planen und protokollieren. </w:t>
      </w:r>
      <w:r>
        <w:t>SI2-E4</w:t>
      </w:r>
    </w:p>
    <w:p>
      <w:pPr>
        <w:pStyle w:val="ListBullet"/>
        <w:spacing w:after="100"/>
      </w:pPr>
      <w:r>
        <w:t xml:space="preserve">Titrationsdaten auswerten und Mess- sowie Ablesefehler reflektieren. </w:t>
      </w:r>
      <w:r>
        <w:t>SI2-E5</w:t>
      </w:r>
    </w:p>
    <w:p>
      <w:pPr>
        <w:pStyle w:val="ListBullet"/>
        <w:spacing w:after="100"/>
      </w:pPr>
      <w:r>
        <w:t xml:space="preserve">Eine Neutralisation auf Teilchenebene für die Lerngruppe digital präsentieren. </w:t>
      </w:r>
      <w:r>
        <w:t>SI2-K3</w:t>
      </w:r>
    </w:p>
    <w:p>
      <w:pPr>
        <w:pStyle w:val="ListBullet"/>
        <w:spacing w:after="100"/>
      </w:pPr>
      <w:r>
        <w:t xml:space="preserve">Eine Werbeaussage zu einem Reiniger prüfen und fehlende chemische Informationen beschaffen. </w:t>
      </w:r>
      <w:r>
        <w:t>SI2-B1</w:t>
      </w:r>
    </w:p>
    <w:p>
      <w:pPr>
        <w:pStyle w:val="Heading3"/>
        <w:keepNext/>
        <w:spacing w:after="140"/>
      </w:pPr>
      <w:r>
        <w:t>Digitale Lernmaterialien</w:t>
      </w:r>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Neutralisation auf Teilchenebene digital darstellen, Titrationsdaten stöchiometrisch auswerten und eine Medienaussage über saure oder alkalische Produkte anhand von Fachwissen und Quellen prüfen.</w:t>
      </w:r>
    </w:p>
    <w:p>
      <w:bookmarkStart w:id="7013" w:name="uv_10_2"/>
      <w:pPr>
        <w:pStyle w:val="Heading2"/>
        <w:keepNext/>
        <w:spacing w:after="140"/>
      </w:pPr>
      <w:r>
        <w:t>10.2 Alkane und Alkanole in Natur und Technik</w:t>
      </w:r>
      <w:bookmarkEnd w:id="7013"/>
    </w:p>
    <w:p>
      <w:pPr>
        <w:spacing w:after="140"/>
      </w:pPr>
      <w:r>
        <w:t xml:space="preserve">Jahrgang 10 · Sekundarstufe I · ca. 24 Unterrichtsstunden zu 45 Minuten</w:t>
      </w:r>
    </w:p>
    <w:p>
      <w:pPr>
        <w:spacing w:after="140"/>
      </w:pPr>
      <w:r>
        <w:rPr>
          <w:b/>
        </w:rPr>
        <w:t xml:space="preserve">Leitfrage </w:t>
      </w:r>
      <w:r>
        <w:t>Wie umweltschonend sind Kraftstoffe aus Pflanzen?</w:t>
      </w:r>
    </w:p>
    <w:p>
      <w:pPr>
        <w:pStyle w:val="Heading3"/>
        <w:keepNext/>
        <w:spacing w:after="140"/>
      </w:pPr>
      <w:r>
        <w:t>Inhalte und Schwerpunkte</w:t>
      </w:r>
    </w:p>
    <w:p>
      <w:pPr>
        <w:spacing w:after="140"/>
      </w:pPr>
      <w:r>
        <w:t>IF10: Organische Chemie</w:t>
      </w:r>
    </w:p>
    <w:p>
      <w:pPr>
        <w:pStyle w:val="ListBullet"/>
        <w:spacing w:after="100"/>
      </w:pPr>
      <w:r>
        <w:t>Multitalent Erdöl - das schwarze Gold!</w:t>
      </w:r>
    </w:p>
    <w:p>
      <w:pPr>
        <w:pStyle w:val="ListBullet"/>
        <w:spacing w:after="100"/>
      </w:pPr>
      <w:r>
        <w:t>Wie sind einfache organische Moleküle aufgebaut, wie benennt man organische - Stoffe und worin unterscheiden sie sich.</w:t>
      </w:r>
    </w:p>
    <w:p>
      <w:pPr>
        <w:pStyle w:val="Heading3"/>
        <w:keepNext/>
        <w:spacing w:after="140"/>
      </w:pPr>
      <w:r>
        <w:t>Lernweg und methodische Gestaltung</w:t>
      </w:r>
    </w:p>
    <w:p>
      <w:pPr>
        <w:pStyle w:val="ListBullet"/>
        <w:spacing w:after="100"/>
      </w:pPr>
      <w:r>
        <w:t>Referate zum Thema Erdöl (Gewinnung, Cracken, Raffination)</w:t>
      </w:r>
    </w:p>
    <w:p>
      <w:pPr>
        <w:pStyle w:val="ListBullet"/>
        <w:spacing w:after="100"/>
      </w:pPr>
      <w:r>
        <w:t>Fluch und Segen der Halogenalkane: Eine Diskussion</w:t>
      </w:r>
    </w:p>
    <w:p>
      <w:pPr>
        <w:pStyle w:val="Normal"/>
        <w:jc w:val="both"/>
      </w:pPr>
      <w:r>
        <w:rPr/>
        <w:t xml:space="preserve">Kohlenwasserstoffmoleküle auch mit digitalen Modellen räumlich darstellen; Alkane und Alkanole anhand von Löslichkeits- und Siededaten vergleichen und ausgewählte Eigenschaften experimentell untersuchen. Treibhausgase und ihre Herkunft erklären, einen Stoffkreislauf mit aufeinanderfolgenden Reaktionen darstellen und digital recherchierte Verbrennungsdaten vergleichen. Fossile und regenerative Energieträger nach ökologischen, ökonomischen und ethischen Kriterien vergleichen.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organische Molekülverbindungen aufgrund ihrer Eigenschaften in Stoffklassen einordnen (UF3), </w:t>
      </w:r>
      <w:r>
        <w:t>SI2-10-01</w:t>
      </w:r>
    </w:p>
    <w:p>
      <w:pPr>
        <w:pStyle w:val="ListBullet"/>
        <w:spacing w:after="100"/>
      </w:pPr>
      <w:r>
        <w:t xml:space="preserve">ausgewählte organische Verbindungen nach der systematischen Nomenklatur benennen (UF2), </w:t>
      </w:r>
      <w:r>
        <w:t>SI2-10-02</w:t>
      </w:r>
    </w:p>
    <w:p>
      <w:pPr>
        <w:pStyle w:val="ListBullet"/>
        <w:spacing w:after="100"/>
      </w:pPr>
      <w:r>
        <w:t xml:space="preserve">Treibhausgase und ihre Ursprünge beschreiben (UF1), </w:t>
      </w:r>
      <w:r>
        <w:t>SI2-10-03</w:t>
      </w:r>
    </w:p>
    <w:p>
      <w:pPr>
        <w:pStyle w:val="ListBullet"/>
        <w:spacing w:after="100"/>
      </w:pPr>
      <w:r>
        <w:t xml:space="preserve">die Abfolge verschiedener Reaktionen in einem Stoffkreislauf erklären (UF4), </w:t>
      </w:r>
      <w:r>
        <w:t>SI2-10-04</w:t>
      </w:r>
    </w:p>
    <w:p>
      <w:pPr>
        <w:pStyle w:val="ListBullet"/>
        <w:spacing w:after="100"/>
      </w:pPr>
      <w:r>
        <w:t xml:space="preserve">räumliche Strukturen von Kohlenwasserstoffmolekülen auch mithilfe von digitalen Modellen veranschaulichen (E6, K1), </w:t>
      </w:r>
      <w:r>
        <w:t>SI2-10-06</w:t>
      </w:r>
    </w:p>
    <w:p>
      <w:pPr>
        <w:pStyle w:val="ListBullet"/>
        <w:spacing w:after="100"/>
      </w:pPr>
      <w:r>
        <w:t xml:space="preserve">typische Stoffeigenschaften wie Löslichkeit und Siedetemperatur von ausgewählten Alkanen und Alkanolen ermitteln und mithilfe ihrer Molekülstrukturen und zwischenmolekularen Wechselwirkungen erklären (E4, E5, E6), </w:t>
      </w:r>
      <w:r>
        <w:t>SI2-10-07</w:t>
      </w:r>
    </w:p>
    <w:p>
      <w:pPr>
        <w:pStyle w:val="ListBullet"/>
        <w:spacing w:after="100"/>
      </w:pPr>
      <w:r>
        <w:t xml:space="preserve">Messdaten von Verbrennungsvorgängen fossiler und regenerativer Energierohstoffe digital beschaffen und vergleichen (E5, K2), </w:t>
      </w:r>
      <w:r>
        <w:t>SI2-10-08</w:t>
      </w:r>
    </w:p>
    <w:p>
      <w:pPr>
        <w:pStyle w:val="ListBullet"/>
        <w:spacing w:after="100"/>
      </w:pPr>
      <w:r>
        <w:t xml:space="preserve">Vor- und Nachteile der Nutzung von fossilen und regenerativen Energieträgern unter ökologischen, ökonomischen und ethischen Gesichtspunkten diskutieren (B4, K4), </w:t>
      </w:r>
      <w:r>
        <w:t>SI2-10-10</w:t>
      </w:r>
    </w:p>
    <w:p>
      <w:pPr>
        <w:pStyle w:val="Heading3"/>
        <w:keepNext/>
        <w:spacing w:after="140"/>
      </w:pPr>
      <w:r>
        <w:t>Übergreifende Lernleistungen</w:t>
      </w:r>
    </w:p>
    <w:p>
      <w:pPr>
        <w:pStyle w:val="ListBullet"/>
        <w:spacing w:after="100"/>
      </w:pPr>
      <w:r>
        <w:t xml:space="preserve">Quellen zu fossilen und regenerativen Energieträgern auf Relevanz, Qualität und Intention prüfen. </w:t>
      </w:r>
      <w:r>
        <w:t>SI2-K2</w:t>
      </w:r>
    </w:p>
    <w:p>
      <w:pPr>
        <w:pStyle w:val="ListBullet"/>
        <w:spacing w:after="100"/>
      </w:pPr>
      <w:r>
        <w:t xml:space="preserve">Eine Entscheidung für einen Energieträger argumentativ vertreten und nach Gegenargumenten überprüfen. </w:t>
      </w:r>
      <w:r>
        <w:t>SI2-B4</w:t>
      </w:r>
    </w:p>
    <w:p>
      <w:pPr>
        <w:pStyle w:val="Heading3"/>
        <w:keepNext/>
        <w:spacing w:after="140"/>
      </w:pPr>
      <w:r>
        <w:t>Digitale Lernmaterialien</w:t>
      </w:r>
    </w:p>
    <w:p>
      <w:pPr>
        <w:pStyle w:val="ListBullet"/>
        <w:spacing w:after="100"/>
      </w:pPr>
      <w:hyperlink r:id="rId13">
        <w:r>
          <w:t>Nomenklaturquiz</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Löslichkeit und Siedetemperatur vergleichend untersuchen; Verbrennungsdaten fossiler und regenerativer Energieträger recherchieren und eine Konsumentscheidung ökologisch, ökonomisch und ethisch begründen.</w:t>
      </w:r>
    </w:p>
    <w:p>
      <w:bookmarkStart w:id="7014" w:name="uv_10_3"/>
      <w:pPr>
        <w:pStyle w:val="Heading2"/>
        <w:keepNext/>
        <w:spacing w:after="140"/>
      </w:pPr>
      <w:r>
        <w:t>10.3 Vielseitige Kunststoffe</w:t>
      </w:r>
      <w:bookmarkEnd w:id="7014"/>
    </w:p>
    <w:p>
      <w:pPr>
        <w:spacing w:after="140"/>
      </w:pPr>
      <w:r>
        <w:t xml:space="preserve">Jahrgang 10 · Sekundarstufe I · ca. 12 Unterrichtsstunden zu 45 Minuten</w:t>
      </w:r>
    </w:p>
    <w:p>
      <w:pPr>
        <w:spacing w:after="140"/>
      </w:pPr>
      <w:r>
        <w:rPr>
          <w:b/>
        </w:rPr>
        <w:t xml:space="preserve">Leitfrage </w:t>
      </w:r>
      <w:r>
        <w:t>Warum wird eine Plastiktüte weich, ein Topfgriff aber nicht?</w:t>
      </w:r>
    </w:p>
    <w:p>
      <w:pPr>
        <w:pStyle w:val="Heading3"/>
        <w:keepNext/>
        <w:spacing w:after="140"/>
      </w:pPr>
      <w:r>
        <w:t>Inhalte und Schwerpunkte</w:t>
      </w:r>
    </w:p>
    <w:p>
      <w:pPr>
        <w:spacing w:after="140"/>
      </w:pPr>
      <w:r>
        <w:t>IF10: Organische Chemie</w:t>
      </w:r>
    </w:p>
    <w:p>
      <w:pPr>
        <w:pStyle w:val="ListBullet"/>
        <w:spacing w:after="100"/>
      </w:pPr>
      <w:r>
        <w:t>Makromoleküle: ausgewählte Kunststoffe</w:t>
      </w:r>
    </w:p>
    <w:p>
      <w:pPr>
        <w:pStyle w:val="Heading3"/>
        <w:keepNext/>
        <w:spacing w:after="140"/>
      </w:pPr>
      <w:r>
        <w:t>Lernweg und methodische Gestaltung</w:t>
      </w:r>
    </w:p>
    <w:p>
      <w:pPr>
        <w:pStyle w:val="ListBullet"/>
        <w:spacing w:after="100"/>
      </w:pPr>
      <w:r>
        <w:t>Experiment:</w:t>
      </w:r>
    </w:p>
    <w:p>
      <w:pPr>
        <w:pStyle w:val="ListBullet"/>
        <w:spacing w:after="100"/>
      </w:pPr>
      <w:r>
        <w:t>Herstellung eines Polykondensats aus Ethandiol und Citronensäure</w:t>
      </w:r>
    </w:p>
    <w:p>
      <w:pPr>
        <w:pStyle w:val="Normal"/>
        <w:jc w:val="both"/>
      </w:pPr>
      <w:r>
        <w:rPr/>
        <w:t xml:space="preserve">Das Verhalten ausgewählter Kunststoffproben beim Erwärmen untersuchen und durch ihren makromolekularen Aufbau erklären. Für ein konkretes Produkt Verwendung, Kosten, Recyclingfähigkeit und Umweltverträglichkeit abwägen und einen eigenen begründeten Standpunkt vertreten.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vielseitige Verwendung von Kunststoffen im Alltag mit ihren Eigenschaften begründen (UF2). </w:t>
      </w:r>
      <w:r>
        <w:t>SI2-10-05</w:t>
      </w:r>
    </w:p>
    <w:p>
      <w:pPr>
        <w:pStyle w:val="ListBullet"/>
        <w:spacing w:after="100"/>
      </w:pPr>
      <w:r>
        <w:t xml:space="preserve">ausgewählte Eigenschaften von Kunststoffen auf deren makromolekulare Struktur und räumliche Anordnung zurückführen (E6). </w:t>
      </w:r>
      <w:r>
        <w:t>SI2-10-09</w:t>
      </w:r>
    </w:p>
    <w:p>
      <w:pPr>
        <w:pStyle w:val="ListBullet"/>
        <w:spacing w:after="100"/>
      </w:pPr>
      <w:r>
        <w:t xml:space="preserve">am Beispiel eines chemischen Produkts Kriterien hinsichtlich Verwendung, Ökonomie, Recyclingfähigkeit und Umweltverträglichkeit abwägen und im Hinblick auf die Verwendung einen eigenen sachlich fundierten Standpunkt beziehen (B3, B4, K4). </w:t>
      </w:r>
      <w:r>
        <w:t>SI2-10-11</w:t>
      </w:r>
    </w:p>
    <w:p>
      <w:pPr>
        <w:pStyle w:val="Heading3"/>
        <w:keepNext/>
        <w:spacing w:after="140"/>
      </w:pPr>
      <w:r>
        <w:t>Übergreifende Lernleistungen</w:t>
      </w:r>
    </w:p>
    <w:p>
      <w:pPr>
        <w:pStyle w:val="ListBullet"/>
        <w:spacing w:after="100"/>
      </w:pPr>
      <w:r>
        <w:t xml:space="preserve">Ein Kunststoffprodukt anhand seiner Struktur und Eigenschaften auswählen. </w:t>
      </w:r>
      <w:r>
        <w:t>SI2-UF2</w:t>
      </w:r>
    </w:p>
    <w:p>
      <w:pPr>
        <w:pStyle w:val="ListBullet"/>
        <w:spacing w:after="100"/>
      </w:pPr>
      <w:r>
        <w:t xml:space="preserve">Einen Produktvergleich faktenbasiert diskutieren und konstruktive Rückmeldung geben. </w:t>
      </w:r>
      <w:r>
        <w:t>SI2-K4</w:t>
      </w:r>
    </w:p>
    <w:p>
      <w:pPr>
        <w:pStyle w:val="ListBullet"/>
        <w:spacing w:after="100"/>
      </w:pPr>
      <w:r>
        <w:t xml:space="preserve">Produktalternativen gewichtet nach Umwelt-, Nutzungs- und gesellschaftlichen Folgen vergleichen. </w:t>
      </w:r>
      <w:r>
        <w:t>SI2-B3</w:t>
      </w:r>
    </w:p>
    <w:p>
      <w:pPr>
        <w:pStyle w:val="Heading3"/>
        <w:keepNext/>
        <w:spacing w:after="140"/>
      </w:pPr>
      <w:r>
        <w:t>Lernaufgabe und Überprüfung</w:t>
      </w:r>
    </w:p>
    <w:p>
      <w:pPr>
        <w:spacing w:after="140"/>
      </w:pPr>
      <w:r>
        <w:t>Eigenschaften ausgewählter Kunststoffe strukturbezogen erklären und zwei Produkte anhand von Verwendung, Kosten, Recyclingfähigkeit und Umweltverträglichkeit vergleichen.</w:t>
      </w:r>
    </w:p>
    <w:p>
      <w:bookmarkStart w:id="7015" w:name="uv_10_4"/>
      <w:pPr>
        <w:pStyle w:val="Heading2"/>
        <w:keepNext/>
        <w:spacing w:after="140"/>
      </w:pPr>
      <w:r>
        <w:t>10.4 Gase als Ausgangsstoffe für Industrierohstoffe</w:t>
      </w:r>
      <w:bookmarkEnd w:id="7015"/>
    </w:p>
    <w:p>
      <w:pPr>
        <w:spacing w:after="140"/>
      </w:pPr>
      <w:r>
        <w:t xml:space="preserve">Jahrgang 10 · Sekundarstufe I · ca. 12 Unterrichtsstunden zu 45 Minuten</w:t>
      </w:r>
    </w:p>
    <w:p>
      <w:pPr>
        <w:spacing w:after="140"/>
      </w:pPr>
      <w:r>
        <w:rPr>
          <w:b/>
        </w:rPr>
        <w:t xml:space="preserve">Leitfrage </w:t>
      </w:r>
      <w:r>
        <w:t>Kann man aus Luft einen Dünger herstellen, und wozu braucht man dabei einen Katalysator?</w:t>
      </w:r>
    </w:p>
    <w:p>
      <w:pPr>
        <w:pStyle w:val="Heading3"/>
        <w:keepNext/>
        <w:spacing w:after="140"/>
      </w:pPr>
      <w:r>
        <w:t>Inhalte und Schwerpunkte</w:t>
      </w:r>
    </w:p>
    <w:p>
      <w:pPr>
        <w:spacing w:after="140"/>
      </w:pPr>
      <w:r>
        <w:t>IF 8 Molekülverbindungen</w:t>
      </w:r>
    </w:p>
    <w:p>
      <w:pPr>
        <w:pStyle w:val="ListBullet"/>
        <w:spacing w:after="100"/>
      </w:pPr>
      <w:r>
        <w:t>Synthese von Ammoniak aus Stickstoff und Wasserstoff mit Reaktionsgleichung.</w:t>
      </w:r>
    </w:p>
    <w:p>
      <w:pPr>
        <w:pStyle w:val="ListBullet"/>
        <w:spacing w:after="100"/>
      </w:pPr>
      <w:r>
        <w:t>Wirkungsweise eines Katalysators im Modell; Reaktionsbedingungen des Haber-Bosch-Verfahrens qualitativ.</w:t>
      </w:r>
    </w:p>
    <w:p>
      <w:pPr>
        <w:pStyle w:val="ListBullet"/>
        <w:spacing w:after="100"/>
      </w:pPr>
      <w:r>
        <w:t>Digitale Recherche zur Rohstoffgewinnung aus Gasen; Kriterien zu Energiebedarf, Energiespeicherung und Ressourcennutzung.</w:t>
      </w:r>
    </w:p>
    <w:p>
      <w:pPr>
        <w:pStyle w:val="Heading3"/>
        <w:keepNext/>
        <w:spacing w:after="140"/>
      </w:pPr>
      <w:r>
        <w:t>Lernweg und methodische Gestaltung</w:t>
      </w:r>
    </w:p>
    <w:p>
      <w:pPr>
        <w:pStyle w:val="ListBullet"/>
        <w:spacing w:after="100"/>
      </w:pPr>
      <w:r>
        <w:t>Den Weg von den gasförmigen Ausgangsstoffen zum Industrierohstoff in einer Verfahrensdarstellung verfolgen.</w:t>
      </w:r>
    </w:p>
    <w:p>
      <w:pPr>
        <w:pStyle w:val="ListBullet"/>
        <w:spacing w:after="100"/>
      </w:pPr>
      <w:r>
        <w:t>Ein Katalysatormodell erklären und kritisch prüfen: Ein Katalysator wird nicht als Energielieferant verstanden.</w:t>
      </w:r>
    </w:p>
    <w:p>
      <w:pPr>
        <w:pStyle w:val="ListBullet"/>
        <w:spacing w:after="100"/>
      </w:pPr>
      <w:r>
        <w:t>Informationen aus digitalen Quellen vergleichen und eine Verfahrensentscheidung mit offengelegten Kriterien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Synthese eines Industrierohstoffs aus Synthesegas (z.B. Methan oder Ammoniak) auch mit Angabe von Reaktionsgleichungen erläutern (UF1, UF2). </w:t>
      </w:r>
      <w:r>
        <w:t>SI2-8-03</w:t>
      </w:r>
    </w:p>
    <w:p>
      <w:pPr>
        <w:pStyle w:val="ListBullet"/>
        <w:spacing w:after="100"/>
      </w:pPr>
      <w:r>
        <w:t xml:space="preserve">die Wirkungsweise eines Katalysators modellhaft an der Synthese eines Industrierohstoffs erläutern (E6). </w:t>
      </w:r>
      <w:r>
        <w:t>SI2-8-07</w:t>
      </w:r>
    </w:p>
    <w:p>
      <w:pPr>
        <w:pStyle w:val="ListBullet"/>
        <w:spacing w:after="100"/>
      </w:pPr>
      <w:r>
        <w:t xml:space="preserve">Informationen für ein technisches Verfahren zur Industrierohstoffgewinnung aus Gasen mithilfe digitaler Medien beschaffen und Bewertungskriterien auch unter Berücksichtigung der Energiespeicherung festlegen (B2, K2), </w:t>
      </w:r>
      <w:r>
        <w:t>SI2-8-08</w:t>
      </w:r>
    </w:p>
    <w:p>
      <w:pPr>
        <w:pStyle w:val="Heading3"/>
        <w:keepNext/>
        <w:spacing w:after="140"/>
      </w:pPr>
      <w:r>
        <w:t>Übergreifende Lernleistungen</w:t>
      </w:r>
    </w:p>
    <w:p>
      <w:pPr>
        <w:pStyle w:val="ListBullet"/>
        <w:spacing w:after="100"/>
      </w:pPr>
      <w:r>
        <w:t xml:space="preserve">Bewertungskriterien und Handlungsoptionen für die Industrierohstoffgewinnung entwickeln. </w:t>
      </w:r>
      <w:r>
        <w:t>SI2-B2</w:t>
      </w:r>
    </w:p>
    <w:p>
      <w:pPr>
        <w:pStyle w:val="Heading3"/>
        <w:keepNext/>
        <w:spacing w:after="140"/>
      </w:pPr>
      <w:r>
        <w:t>Lernaufgabe und Überprüfung</w:t>
      </w:r>
    </w:p>
    <w:p>
      <w:pPr>
        <w:spacing w:after="140"/>
      </w:pPr>
      <w:r>
        <w:t>Digitale Verfahrensdarstellung mit Reaktionsgleichung und Katalysatormodell; begründete Kriterien zur Energie- und Rohstoffnutzung.</w:t>
      </w:r>
    </w:p>
    <w:p>
      <w:bookmarkStart w:id="7016" w:name="ef"/>
      <w:pPr>
        <w:pStyle w:val="Heading1"/>
        <w:keepNext/>
        <w:pageBreakBefore/>
        <w:spacing w:after="140"/>
      </w:pPr>
      <w:r>
        <w:t>5 Unterrichtsvorhaben der Einführungsphase</w:t>
      </w:r>
      <w:bookmarkEnd w:id="7016"/>
    </w:p>
    <w:p>
      <w:pPr>
        <w:spacing w:after="140"/>
      </w:pPr>
      <w:r>
        <w:t>Die vier Vorhaben führen vom Parfum über die Reaktionsgeschwindigkeit zum Gleichgewicht und zum Kohlenstoffkreislauf. Die organischen Pflichtinhalte einschließlich Lebensmittelzusatzstoffen bleiben vollständig in EF.01 verankert. EF.03 greift die Estersynthese für die Gleichgewichtsbetrachtung wieder auf.</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2">
              <w:r>
                <w:rPr>
                  <w:sz w:val="18"/>
                  <w:rFonts w:ascii="Inter"/>
                  <w:rStyle w:val="Hyperlink"/>
                </w:rPr>
                <w:t xml:space="preserve">EF.01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Duftstoffe und Aromastoffe am Beispiel Parfum</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3">
              <w:r>
                <w:rPr>
                  <w:sz w:val="18"/>
                  <w:rFonts w:ascii="Inter"/>
                  <w:rStyle w:val="Hyperlink"/>
                </w:rPr>
                <w:t xml:space="preserve">EF.02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Beeinflussung der Reaktionsgeschwindigkeit</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21</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4">
              <w:r>
                <w:rPr>
                  <w:sz w:val="18"/>
                  <w:rFonts w:ascii="Inter"/>
                  <w:rStyle w:val="Hyperlink"/>
                </w:rPr>
                <w:t xml:space="preserve">EF.03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Das chemische Gleichgewicht</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5">
              <w:r>
                <w:rPr>
                  <w:sz w:val="18"/>
                  <w:rFonts w:ascii="Inter"/>
                  <w:rStyle w:val="Hyperlink"/>
                </w:rPr>
                <w:t xml:space="preserve">EF.04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Kohlenstoffkreislauf und Klima</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bl>
    <w:p>
      <w:pPr>
        <w:spacing w:after="60"/>
      </w:pPr>
    </w:p>
    <w:p>
      <w:bookmarkStart w:id="7017" w:name="uv_EF_01"/>
      <w:pPr>
        <w:pStyle w:val="Heading2"/>
        <w:keepNext/>
        <w:spacing w:after="140"/>
      </w:pPr>
      <w:r>
        <w:t>EF.01 Duftstoffe und Aromastoffe am Beispiel Parfum</w:t>
      </w:r>
      <w:bookmarkEnd w:id="7017"/>
    </w:p>
    <w:p>
      <w:pPr>
        <w:spacing w:after="140"/>
      </w:pPr>
      <w:r>
        <w:t xml:space="preserve">Jahrgang EF · Einführungsphase · ca. 44 Unterrichtsstunden zu 45 Minuten</w:t>
      </w:r>
    </w:p>
    <w:p>
      <w:pPr>
        <w:spacing w:after="140"/>
      </w:pPr>
      <w:r>
        <w:rPr>
          <w:b/>
        </w:rPr>
        <w:t xml:space="preserve">Leitfrage </w:t>
      </w:r>
      <w:r>
        <w:t>Warum verfliegt ein Duft in Minuten, während ein anderer bis zum Abend bleibt, und lässt sich ein Duft gezielt herstellen?</w:t>
      </w:r>
    </w:p>
    <w:p>
      <w:pPr>
        <w:pStyle w:val="Heading3"/>
        <w:keepNext/>
        <w:spacing w:after="140"/>
      </w:pPr>
      <w:r>
        <w:t>Inhalte und Schwerpunkte</w:t>
      </w:r>
    </w:p>
    <w:p>
      <w:pPr>
        <w:spacing w:after="140"/>
      </w:pPr>
      <w:r>
        <w:t>Organische Stoffklassen</w:t>
      </w:r>
    </w:p>
    <w:p>
      <w:pPr>
        <w:pStyle w:val="ListBullet"/>
        <w:spacing w:after="100"/>
      </w:pPr>
      <w:r>
        <w:t>Hydroxy-, Carbonyl-, Carboxy- und Estergruppe, funktionelle Gruppen und Nachweise; systematische Nomenklatur.</w:t>
      </w:r>
    </w:p>
    <w:p>
      <w:pPr>
        <w:pStyle w:val="ListBullet"/>
        <w:spacing w:after="100"/>
      </w:pPr>
      <w:r>
        <w:t>Einfach- und Mehrfachbindungen, EPA-Modell, Konstitutionsisomerie von Alkanolen.</w:t>
      </w:r>
    </w:p>
    <w:p>
      <w:pPr>
        <w:pStyle w:val="ListBullet"/>
        <w:spacing w:after="100"/>
      </w:pPr>
      <w:r>
        <w:t>Löslichkeit, Schmelz- und Siedetemperatur und intermolekulare Wechselwirkungen; Ethanol als Lösemittel.</w:t>
      </w:r>
    </w:p>
    <w:p>
      <w:pPr>
        <w:pStyle w:val="ListBullet"/>
        <w:spacing w:after="100"/>
      </w:pPr>
      <w:r>
        <w:t>Oxidationsreihe der Alkanole, Oxidationszahlen und Donator-Akzeptor-Prinzip; Produktnachweise.</w:t>
      </w:r>
    </w:p>
    <w:p>
      <w:pPr>
        <w:pStyle w:val="ListBullet"/>
        <w:spacing w:after="100"/>
      </w:pPr>
      <w:r>
        <w:t>Experimentelle Estersynthese; Transfer auf Aroma- und Konservierungsstoffe in Lebensmitteln.</w:t>
      </w:r>
    </w:p>
    <w:p>
      <w:pPr>
        <w:pStyle w:val="ListBullet"/>
        <w:spacing w:after="100"/>
      </w:pPr>
      <w:r>
        <w:t>Ethanolabbau und Gesunderhaltung; Lösemittelgebrauch und Entsorgung.</w:t>
      </w:r>
    </w:p>
    <w:p>
      <w:pPr>
        <w:pStyle w:val="Heading3"/>
        <w:keepNext/>
        <w:spacing w:after="140"/>
      </w:pPr>
      <w:r>
        <w:t>Lernweg und methodische Gestaltung</w:t>
      </w:r>
    </w:p>
    <w:p>
      <w:pPr>
        <w:pStyle w:val="ListBullet"/>
        <w:spacing w:after="100"/>
      </w:pPr>
      <w:r>
        <w:t>An Duftnoten und Modelldaten zur Flüchtigkeit Hypothesen entwickeln; Stoffeigenschaften durch Molekülaufbau und Wechselwirkungen erklären.</w:t>
      </w:r>
    </w:p>
    <w:p>
      <w:pPr>
        <w:pStyle w:val="ListBullet"/>
        <w:spacing w:after="100"/>
      </w:pPr>
      <w:r>
        <w:t>Löslichkeitsversuche planen, Moleküle und Isomere auch digital darstellen und systematisch benennen.</w:t>
      </w:r>
    </w:p>
    <w:p>
      <w:pPr>
        <w:pStyle w:val="ListBullet"/>
        <w:spacing w:after="100"/>
      </w:pPr>
      <w:r>
        <w:t>Die Oxidationsreihe geeigneter Alkanole experimentell untersuchen und Produkte nachweisen; den Ethanolabbau im Körper fachlich beurteilen.</w:t>
      </w:r>
    </w:p>
    <w:p>
      <w:pPr>
        <w:pStyle w:val="ListBullet"/>
        <w:spacing w:after="100"/>
      </w:pPr>
      <w:r>
        <w:t>Einen Ester im geeigneten Schulversuch herstellen und aus den Produkteigenschaften Hypothesen zur Estergruppe ableiten. Kosmetische Anwendung der Versuchsprodukte ist nicht Ziel des Experiments.</w:t>
      </w:r>
    </w:p>
    <w:p>
      <w:pPr>
        <w:pStyle w:val="ListBullet"/>
        <w:spacing w:after="100"/>
      </w:pPr>
      <w:r>
        <w:t>Die Duftwerkstatt durch eine verbindliche Lebensmittel-Fallstudie ergänzen: Nutzen und Risiken von Aroma- und Konservierungsstoffen aus gesundheitlicher und ökonomischer Sicht diskutieren; eine Konsumentscheidung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ordnen organische Verbindungen aufgrund ihrer funktionellen Gruppen in Stoffklassen ein und benennen diese nach systematischer Nomenklatur (S1, S6, S11), </w:t>
      </w:r>
      <w:r>
        <w:t>EF-OS-01</w:t>
      </w:r>
    </w:p>
    <w:p>
      <w:pPr>
        <w:pStyle w:val="ListBullet"/>
        <w:spacing w:after="100"/>
      </w:pPr>
      <w:r>
        <w:t xml:space="preserve">erläutern intermolekulare Wechselwirkungen organischer Verbindungen und erklären ausgewählte Eigenschaften sowie die Verwendung organischer Stoffe auf dieser Grundlage (S2, S13, E7), </w:t>
      </w:r>
      <w:r>
        <w:t>EF-OS-02</w:t>
      </w:r>
    </w:p>
    <w:p>
      <w:pPr>
        <w:pStyle w:val="ListBullet"/>
        <w:spacing w:after="100"/>
      </w:pPr>
      <w:r>
        <w:t xml:space="preserve">erläutern das Donator-Akzeptor-Prinzip unter Verwendung der Oxidationszahlen am Beispiel der Oxidationsreihe der Alkanole (S4, S12, S14, S16), </w:t>
      </w:r>
      <w:r>
        <w:t>EF-OS-03</w:t>
      </w:r>
    </w:p>
    <w:p>
      <w:pPr>
        <w:pStyle w:val="ListBullet"/>
        <w:spacing w:after="100"/>
      </w:pPr>
      <w:r>
        <w:t xml:space="preserve">stellen Isomere von Alkanolen dar und erklären die Konstitutionsisomerie (S11, E7). </w:t>
      </w:r>
      <w:r>
        <w:t>EF-OS-04</w:t>
      </w:r>
    </w:p>
    <w:p>
      <w:pPr>
        <w:pStyle w:val="ListBullet"/>
        <w:spacing w:after="100"/>
      </w:pPr>
      <w:r>
        <w:t xml:space="preserve">stellen auch unter Nutzung digitaler Werkzeuge die Molekülgeometrie von Kohlenstoffverbindungen dar und erklären die Molekülgeometrie mithilfe des EPA-Modells (E7, S13), </w:t>
      </w:r>
      <w:r>
        <w:t>EF-OS-05</w:t>
      </w:r>
    </w:p>
    <w:p>
      <w:pPr>
        <w:pStyle w:val="ListBullet"/>
        <w:spacing w:after="100"/>
      </w:pPr>
      <w:r>
        <w:t xml:space="preserve">deuten die Beobachtungen von Experimenten zur Oxidationsreihe der Alkanole und weisen die jeweiligen Produkte nach (E2, E5, S14), </w:t>
      </w:r>
      <w:r>
        <w:t>EF-OS-06</w:t>
      </w:r>
    </w:p>
    <w:p>
      <w:pPr>
        <w:pStyle w:val="ListBullet"/>
        <w:spacing w:after="100"/>
      </w:pPr>
      <w:r>
        <w:t xml:space="preserve">führen Estersynthesen durch und leiten aus Stoffeigenschaften der erhaltenen Produkte Hypothesen zum strukturellen Aufbau der Estergruppe ab (E3, E5), </w:t>
      </w:r>
      <w:r>
        <w:t>EF-OS-07</w:t>
      </w:r>
    </w:p>
    <w:p>
      <w:pPr>
        <w:pStyle w:val="ListBullet"/>
        <w:spacing w:after="100"/>
      </w:pPr>
      <w:r>
        <w:t xml:space="preserve">stellen Hypothesen zu Struktureigenschaftsbeziehungen einer ausgewählten Stoffklasse auf und untersuchen diese experimentell (E3, E4). </w:t>
      </w:r>
      <w:r>
        <w:t>EF-OS-08</w:t>
      </w:r>
    </w:p>
    <w:p>
      <w:pPr>
        <w:pStyle w:val="ListBullet"/>
        <w:spacing w:after="100"/>
      </w:pPr>
      <w:r>
        <w:t xml:space="preserve">beurteilen die Auswirkungen der Aufnahme von Ethanol hinsichtlich oxidativer Abbauprozesse im menschlichen Körper unter Aspekten der Gesunderhaltung (B6, B7, E1, E11, K6), </w:t>
      </w:r>
      <w:r>
        <w:t>EF-OS-09</w:t>
      </w:r>
    </w:p>
    <w:p>
      <w:pPr>
        <w:pStyle w:val="ListBullet"/>
        <w:spacing w:after="100"/>
      </w:pPr>
      <w:r>
        <w:t xml:space="preserve">diskutieren den Einsatz von Konservierungs- und Aromastoffen in der Lebensmittelindustrie aus gesundheitlicher und ökonomischer Perspektive und leiten entsprechende Handlungsoptionen zu deren Konsum ab (B5, B9, B10, K5, K8, K13), </w:t>
      </w:r>
      <w:r>
        <w:t>EF-OS-10</w:t>
      </w:r>
    </w:p>
    <w:p>
      <w:pPr>
        <w:pStyle w:val="ListBullet"/>
        <w:spacing w:after="100"/>
      </w:pPr>
      <w:r>
        <w:t xml:space="preserve">beurteilen die Verwendung von Lösemitteln in Produkten des Alltags auch im Hinblick auf die Entsorgung aus chemischer und ökologischer Perspektive (B1, B7, B8, B11, B14, S2, S10, E11). </w:t>
      </w:r>
      <w:r>
        <w:t>EF-OS-11</w:t>
      </w:r>
    </w:p>
    <w:p>
      <w:pPr>
        <w:pStyle w:val="Heading3"/>
        <w:keepNext/>
        <w:spacing w:after="140"/>
      </w:pPr>
      <w:r>
        <w:t>Übergreifende Lernleistungen</w:t>
      </w:r>
    </w:p>
    <w:p>
      <w:pPr>
        <w:pStyle w:val="ListBullet"/>
        <w:spacing w:after="100"/>
      </w:pPr>
      <w:r>
        <w:t xml:space="preserve">Alkohole und ihre Oxidationsprodukte nach funktionellen Gruppen ordnen. </w:t>
      </w:r>
      <w:r>
        <w:t>EF-S1</w:t>
      </w:r>
    </w:p>
    <w:p>
      <w:pPr>
        <w:pStyle w:val="ListBullet"/>
        <w:spacing w:after="100"/>
      </w:pPr>
      <w:r>
        <w:t xml:space="preserve">Löslichkeit und Siedetemperatur aus Struktur und Wechselwirkungen vorhersagen. </w:t>
      </w:r>
      <w:r>
        <w:t>EF-S2</w:t>
      </w:r>
    </w:p>
    <w:p>
      <w:pPr>
        <w:pStyle w:val="ListBullet"/>
        <w:spacing w:after="100"/>
      </w:pPr>
      <w:r>
        <w:t xml:space="preserve">Oxidationen der Alkanole als Redoxreaktionen bestimmen. </w:t>
      </w:r>
      <w:r>
        <w:t>EF-S4</w:t>
      </w:r>
    </w:p>
    <w:p>
      <w:pPr>
        <w:pStyle w:val="ListBullet"/>
        <w:spacing w:after="100"/>
      </w:pPr>
      <w:r>
        <w:t xml:space="preserve">Beobachtbare Stoffeigenschaft und Erklärung auf Teilchenebene trennen. </w:t>
      </w:r>
      <w:r>
        <w:t>EF-S6</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Ethanolabbau mit biologischen Vorgängen verknüpfen. </w:t>
      </w:r>
      <w:r>
        <w:t>EF-S10</w:t>
      </w:r>
    </w:p>
    <w:p>
      <w:pPr>
        <w:pStyle w:val="ListBullet"/>
        <w:spacing w:after="100"/>
      </w:pPr>
      <w:r>
        <w:t xml:space="preserve">Konstitutionsisomere und funktionelle Gruppen zur Erklärung der Stoffvielfalt nutzen. </w:t>
      </w:r>
      <w:r>
        <w:t>EF-S11</w:t>
      </w:r>
    </w:p>
    <w:p>
      <w:pPr>
        <w:pStyle w:val="ListBullet"/>
        <w:spacing w:after="100"/>
      </w:pPr>
      <w:r>
        <w:t xml:space="preserve">Oxidation anhand von Teilchenänderung, Bindungen und Oxidationszahlen deuten. </w:t>
      </w:r>
      <w:r>
        <w:t>EF-S12</w:t>
      </w:r>
    </w:p>
    <w:p>
      <w:pPr>
        <w:pStyle w:val="ListBullet"/>
        <w:spacing w:after="100"/>
      </w:pPr>
      <w:r>
        <w:t xml:space="preserve">EPA-Modell und Wechselwirkungsmodelle auf Alkohole anwenden. </w:t>
      </w:r>
      <w:r>
        <w:t>EF-S13</w:t>
      </w:r>
    </w:p>
    <w:p>
      <w:pPr>
        <w:pStyle w:val="ListBullet"/>
        <w:spacing w:after="100"/>
      </w:pPr>
      <w:r>
        <w:t xml:space="preserve">Die Oxidationsreihe der Alkanole auf Teilchenebene darstellen. </w:t>
      </w:r>
      <w:r>
        <w:t>EF-S14</w:t>
      </w:r>
    </w:p>
    <w:p>
      <w:pPr>
        <w:pStyle w:val="ListBullet"/>
        <w:spacing w:after="100"/>
      </w:pPr>
      <w:r>
        <w:t xml:space="preserve">Reaktionsgleichungen für die Oxidationsreihe entwickeln. </w:t>
      </w:r>
      <w:r>
        <w:t>EF-S16</w:t>
      </w:r>
    </w:p>
    <w:p>
      <w:pPr>
        <w:pStyle w:val="ListBullet"/>
        <w:spacing w:after="100"/>
      </w:pPr>
      <w:r>
        <w:t xml:space="preserve">Eine Estersynthese sicher durchführen, protokollieren und angeleitet auswerten. </w:t>
      </w:r>
      <w:r>
        <w:t>EF-E5</w:t>
      </w:r>
    </w:p>
    <w:p>
      <w:pPr>
        <w:pStyle w:val="ListBullet"/>
        <w:spacing w:after="100"/>
      </w:pPr>
      <w:r>
        <w:t xml:space="preserve">Ein EPA-Modell für Molekülgeometrie und Stoffeigenschaften nutzen. </w:t>
      </w:r>
      <w:r>
        <w:t>EF-E7</w:t>
      </w:r>
    </w:p>
    <w:p>
      <w:pPr>
        <w:pStyle w:val="ListBullet"/>
        <w:spacing w:after="100"/>
      </w:pPr>
      <w:r>
        <w:t xml:space="preserve">Befunde zum Ethanolabbau mit biologischen Kenntnissen verknüpfen. </w:t>
      </w:r>
      <w:r>
        <w:t>EF-E11</w:t>
      </w:r>
    </w:p>
    <w:p>
      <w:pPr>
        <w:pStyle w:val="ListBullet"/>
        <w:spacing w:after="100"/>
      </w:pPr>
      <w:r>
        <w:t xml:space="preserve">Informationen für einen verständlichen Blogbeitrag zu Aromastoffen auswählen. </w:t>
      </w:r>
      <w:r>
        <w:t>EF-K5</w:t>
      </w:r>
    </w:p>
    <w:p>
      <w:pPr>
        <w:pStyle w:val="ListBullet"/>
        <w:spacing w:after="100"/>
      </w:pPr>
      <w:r>
        <w:t xml:space="preserve">Alltagsbegriff Alkohol und chemische Stoffklasse unterscheiden. </w:t>
      </w:r>
      <w:r>
        <w:t>EF-K6</w:t>
      </w:r>
    </w:p>
    <w:p>
      <w:pPr>
        <w:pStyle w:val="ListBullet"/>
        <w:spacing w:after="100"/>
      </w:pPr>
      <w:r>
        <w:t xml:space="preserve">Informationen zu Konservierungsstoffen ordnen und Schlussfolgerungen formulieren. </w:t>
      </w:r>
      <w:r>
        <w:t>EF-K8</w:t>
      </w:r>
    </w:p>
    <w:p>
      <w:pPr>
        <w:pStyle w:val="ListBullet"/>
        <w:spacing w:after="100"/>
      </w:pPr>
      <w:r>
        <w:t xml:space="preserve">Einen Informationstext digital gemeinsam überarbeiten und eigene Positionen nach Rückmeldung reflektieren. </w:t>
      </w:r>
      <w:r>
        <w:t>EF-K13</w:t>
      </w:r>
    </w:p>
    <w:p>
      <w:pPr>
        <w:pStyle w:val="ListBullet"/>
        <w:spacing w:after="100"/>
      </w:pPr>
      <w:r>
        <w:t xml:space="preserve">Lösemittelverwendung aus Sicht von Anwendung und Entsorgung beurteilen. </w:t>
      </w:r>
      <w:r>
        <w:t>EF-B1</w:t>
      </w:r>
    </w:p>
    <w:p>
      <w:pPr>
        <w:pStyle w:val="ListBullet"/>
        <w:spacing w:after="100"/>
      </w:pPr>
      <w:r>
        <w:t xml:space="preserve">Kriterien für den Konsum aromatisierter und konservierter Produkte entwickeln. </w:t>
      </w:r>
      <w:r>
        <w:t>EF-B5</w:t>
      </w:r>
    </w:p>
    <w:p>
      <w:pPr>
        <w:pStyle w:val="ListBullet"/>
        <w:spacing w:after="100"/>
      </w:pPr>
      <w:r>
        <w:t xml:space="preserve">Chancen und Risiken der Ethanolverwendung fachlich bewerten. </w:t>
      </w:r>
      <w:r>
        <w:t>EF-B6</w:t>
      </w:r>
    </w:p>
    <w:p>
      <w:pPr>
        <w:pStyle w:val="ListBullet"/>
        <w:spacing w:after="100"/>
      </w:pPr>
      <w:r>
        <w:t xml:space="preserve">Eine Entscheidung zum Lösemittelgebrauch mit fachlichen Kriterien begründen. </w:t>
      </w:r>
      <w:r>
        <w:t>EF-B7</w:t>
      </w:r>
    </w:p>
    <w:p>
      <w:pPr>
        <w:pStyle w:val="ListBullet"/>
        <w:spacing w:after="100"/>
      </w:pPr>
      <w:r>
        <w:t xml:space="preserve">Die Bedeutung chemischer Kenntnisse für die sichere Produktverwendung erläutern. </w:t>
      </w:r>
      <w:r>
        <w:t>EF-B8</w:t>
      </w:r>
    </w:p>
    <w:p>
      <w:pPr>
        <w:pStyle w:val="ListBullet"/>
        <w:spacing w:after="100"/>
      </w:pPr>
      <w:r>
        <w:t xml:space="preserve">Chemische Produktbewertung von Geschmack, Kosten und persönlichen Präferenzen abgrenzen. </w:t>
      </w:r>
      <w:r>
        <w:t>EF-B9</w:t>
      </w:r>
    </w:p>
    <w:p>
      <w:pPr>
        <w:pStyle w:val="ListBullet"/>
        <w:spacing w:after="100"/>
      </w:pPr>
      <w:r>
        <w:t xml:space="preserve">Gefahren und Schutzmaßnahmen beim Umgang mit Alkoholen und Lösemitteln begründen. </w:t>
      </w:r>
      <w:r>
        <w:t>EF-B11</w:t>
      </w:r>
    </w:p>
    <w:p>
      <w:pPr>
        <w:pStyle w:val="ListBullet"/>
        <w:spacing w:after="100"/>
      </w:pPr>
      <w:r>
        <w:t xml:space="preserve">Chemische Kriterien für eine Entscheidung zur Verwendung und Entsorgung eines Lösemittels identifizieren. </w:t>
      </w:r>
      <w:r>
        <w:t>EF-B14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4">
        <w:r>
          <w:t>Tempo und Balance zu Kinetik und Gleichgewicht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Duftstoff-Dossier mit Strukturformeln, Stoffeigenschaftserklärung, Oxidationsreihe und Estersyntheseprotokoll. Fachlich begründete Beurteilungen zu Ethanol, Lösemitteln sowie Aroma- und Konservierungsstoffen.</w:t>
      </w:r>
    </w:p>
    <w:p>
      <w:bookmarkStart w:id="7018" w:name="uv_EF_02"/>
      <w:pPr>
        <w:pStyle w:val="Heading2"/>
        <w:keepNext/>
        <w:spacing w:after="140"/>
      </w:pPr>
      <w:r>
        <w:t>EF.02 Beeinflussung der Reaktionsgeschwindigkeit</w:t>
      </w:r>
      <w:bookmarkEnd w:id="7018"/>
    </w:p>
    <w:p>
      <w:pPr>
        <w:spacing w:after="140"/>
      </w:pPr>
      <w:r>
        <w:t xml:space="preserve">Jahrgang EF · Einführungsphase · ca. 21 Unterrichtsstunden zu 45 Minuten</w:t>
      </w:r>
    </w:p>
    <w:p>
      <w:pPr>
        <w:spacing w:after="140"/>
      </w:pPr>
      <w:r>
        <w:rPr>
          <w:b/>
        </w:rPr>
        <w:t xml:space="preserve">Leitfrage </w:t>
      </w:r>
      <w:r>
        <w:t>Wie kann ein Wasserkocher möglichst schnell entkalkt werden?</w:t>
      </w:r>
      <w:r>
        <w:br/>
      </w:r>
      <w:r>
        <w:br/>
      </w:r>
      <w:r>
        <w:t>Wie lässt sich die Reaktionsgeschwindigkeit bestimmen und beeinflussen?</w:t>
      </w:r>
    </w:p>
    <w:p>
      <w:pPr>
        <w:pStyle w:val="Heading3"/>
        <w:keepNext/>
        <w:spacing w:after="140"/>
      </w:pPr>
      <w:r>
        <w:t>Inhalte und Schwerpunkte</w:t>
      </w:r>
    </w:p>
    <w:p>
      <w:pPr>
        <w:spacing w:after="140"/>
      </w:pPr>
      <w:r>
        <w:t>Reaktionsgeschwindigkeit und chemisches Gleichgewicht — Schwerpunkt Kinetik</w:t>
      </w:r>
    </w:p>
    <w:p>
      <w:pPr>
        <w:pStyle w:val="ListBullet"/>
        <w:spacing w:after="100"/>
      </w:pPr>
      <w:r>
        <w:t>Mittlere Reaktionsgeschwindigkeit; Konzentrations-Zeit-Diagramme.</w:t>
      </w:r>
    </w:p>
    <w:p>
      <w:pPr>
        <w:pStyle w:val="ListBullet"/>
        <w:spacing w:after="100"/>
      </w:pPr>
      <w:r>
        <w:t>Einfluss von Oberfläche, Konzentration, Temperatur und bei Gasreaktionen Druck; Variablenkontrolle.</w:t>
      </w:r>
    </w:p>
    <w:p>
      <w:pPr>
        <w:pStyle w:val="ListBullet"/>
        <w:spacing w:after="100"/>
      </w:pPr>
      <w:r>
        <w:t>Stoßtheorie, Aktivierungsenergie und Katalyse.</w:t>
      </w:r>
    </w:p>
    <w:p>
      <w:pPr>
        <w:pStyle w:val="Heading3"/>
        <w:keepNext/>
        <w:spacing w:after="140"/>
      </w:pPr>
      <w:r>
        <w:t>Lernweg und methodische Gestaltung</w:t>
      </w:r>
    </w:p>
    <w:p>
      <w:pPr>
        <w:pStyle w:val="ListBullet"/>
        <w:spacing w:after="100"/>
      </w:pPr>
      <w:r>
        <w:t>Die ursprüngliche Entkalkungsfrage bleibt Ausgangspunkt. Jeweils nur einen Einflussfaktor variieren und den zeitlichen Verlauf messen.</w:t>
      </w:r>
    </w:p>
    <w:p>
      <w:pPr>
        <w:pStyle w:val="ListBullet"/>
        <w:spacing w:after="100"/>
      </w:pPr>
      <w:r>
        <w:t>Aus Messreihen Diagramme erstellen und Durchschnittsgeschwindigkeiten grafisch bestimmen.</w:t>
      </w:r>
    </w:p>
    <w:p>
      <w:pPr>
        <w:pStyle w:val="ListBullet"/>
        <w:spacing w:after="100"/>
      </w:pPr>
      <w:r>
        <w:t>Stoßtheorie und Katalysatorwirkung durch Modelle bzw. digitale Simulationen darstellen; Modelle mit den Versuchsdaten vergleichen und 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den Einfluss eines Katalysators auf die Reaktionsgeschwindigkeit auch anhand grafischer Darstellungen (S3, S8, S9), </w:t>
      </w:r>
      <w:r>
        <w:t>EF-RG-01</w:t>
      </w:r>
    </w:p>
    <w:p>
      <w:pPr>
        <w:pStyle w:val="ListBullet"/>
        <w:spacing w:after="100"/>
      </w:pPr>
      <w:r>
        <w:t xml:space="preserve">definieren die Durchschnittsgeschwindigkeit chemischer Reaktionen und ermitteln diese grafisch aus experimentellen Daten (E5, K7, K9), </w:t>
      </w:r>
      <w:r>
        <w:t>EF-RG-05</w:t>
      </w:r>
    </w:p>
    <w:p>
      <w:pPr>
        <w:pStyle w:val="ListBullet"/>
        <w:spacing w:after="100"/>
      </w:pPr>
      <w:r>
        <w:t xml:space="preserve">überprüfen aufgestellte Hypothesen zum Einfluss verschiedener Faktoren auf die Reaktionsgeschwindigkeit durch Untersuchungen des zeitlichen Ablaufs einer chemischen Reaktion (E3, E4, E10, S9), </w:t>
      </w:r>
      <w:r>
        <w:t>EF-RG-06</w:t>
      </w:r>
    </w:p>
    <w:p>
      <w:pPr>
        <w:pStyle w:val="ListBullet"/>
        <w:spacing w:after="100"/>
      </w:pPr>
      <w:r>
        <w:t xml:space="preserve">stellen den zeitlichen Ablauf chemischer Reaktionen auf molekularer Ebene mithilfe der Stoßtheorie auch unter Nutzung digitaler Werkzeuge dar und deuten die Ergebnisse (E6, E7, E8, K11), </w:t>
      </w:r>
      <w:r>
        <w:t>EF-RG-07</w:t>
      </w:r>
    </w:p>
    <w:p>
      <w:pPr>
        <w:pStyle w:val="Heading3"/>
        <w:keepNext/>
        <w:spacing w:after="140"/>
      </w:pPr>
      <w:r>
        <w:t>Übergreifende Lernleistungen</w:t>
      </w:r>
    </w:p>
    <w:p>
      <w:pPr>
        <w:pStyle w:val="ListBullet"/>
        <w:spacing w:after="100"/>
      </w:pPr>
      <w:r>
        <w:t xml:space="preserve">Energieprofile einer katalysierten und unkatalysierten Reaktion erklären. </w:t>
      </w:r>
      <w:r>
        <w:t>EF-S3</w:t>
      </w:r>
    </w:p>
    <w:p>
      <w:pPr>
        <w:pStyle w:val="ListBullet"/>
        <w:spacing w:after="100"/>
      </w:pPr>
      <w:r>
        <w:t xml:space="preserve">Einfluss von Konzentration, Oberfläche, Temperatur und Katalysator untersuchen. </w:t>
      </w:r>
      <w:r>
        <w:t>EF-S8</w:t>
      </w:r>
    </w:p>
    <w:p>
      <w:pPr>
        <w:pStyle w:val="ListBullet"/>
        <w:spacing w:after="100"/>
      </w:pPr>
      <w:r>
        <w:t xml:space="preserve">Unterschiedliche Reaktionsverläufe mit der Stoßtheorie erklären. </w:t>
      </w:r>
      <w:r>
        <w:t>EF-S9</w:t>
      </w:r>
    </w:p>
    <w:p>
      <w:pPr>
        <w:pStyle w:val="ListBullet"/>
        <w:spacing w:after="100"/>
      </w:pPr>
      <w:r>
        <w:t xml:space="preserve">Entkalken als chemisch untersuchbare Alltagssituation erschließen. </w:t>
      </w:r>
      <w:r>
        <w:t>EF-E1</w:t>
      </w:r>
    </w:p>
    <w:p>
      <w:pPr>
        <w:pStyle w:val="ListBullet"/>
        <w:spacing w:after="100"/>
      </w:pPr>
      <w:r>
        <w:t xml:space="preserve">Eine Frage zum Einfluss der Temperatur auf die Entkalkung entwickeln. </w:t>
      </w:r>
      <w:r>
        <w:t>EF-E2</w:t>
      </w:r>
    </w:p>
    <w:p>
      <w:pPr>
        <w:pStyle w:val="ListBullet"/>
        <w:spacing w:after="100"/>
      </w:pPr>
      <w:r>
        <w:t xml:space="preserve">Eine überprüfbare Hypothese zum Konzentrationseinfluss aufstellen. </w:t>
      </w:r>
      <w:r>
        <w:t>EF-E3</w:t>
      </w:r>
    </w:p>
    <w:p>
      <w:pPr>
        <w:pStyle w:val="ListBullet"/>
        <w:spacing w:after="100"/>
      </w:pPr>
      <w:r>
        <w:t xml:space="preserve">Eine Messreihe mit kontrollierten Variablen planen. </w:t>
      </w:r>
      <w:r>
        <w:t>EF-E4</w:t>
      </w:r>
    </w:p>
    <w:p>
      <w:pPr>
        <w:pStyle w:val="ListBullet"/>
        <w:spacing w:after="100"/>
      </w:pPr>
      <w:r>
        <w:t xml:space="preserve">Messwerte digital auswerten und eine Teilchensimulation verwenden. </w:t>
      </w:r>
      <w:r>
        <w:t>EF-E6</w:t>
      </w:r>
    </w:p>
    <w:p>
      <w:pPr>
        <w:pStyle w:val="ListBullet"/>
        <w:spacing w:after="100"/>
      </w:pPr>
      <w:r>
        <w:t xml:space="preserve">Trends in Zeitreihen erkennen und mit der Stoßtheorie erklären. </w:t>
      </w:r>
      <w:r>
        <w:t>EF-E8</w:t>
      </w:r>
    </w:p>
    <w:p>
      <w:pPr>
        <w:pStyle w:val="ListBullet"/>
        <w:spacing w:after="100"/>
      </w:pPr>
      <w:r>
        <w:t xml:space="preserve">Messverfahren, eigene Ergebnisse und mögliche Störgrößen besprechen. </w:t>
      </w:r>
      <w:r>
        <w:t>EF-E10</w:t>
      </w:r>
    </w:p>
    <w:p>
      <w:pPr>
        <w:pStyle w:val="ListBullet"/>
        <w:spacing w:after="100"/>
      </w:pPr>
      <w:r>
        <w:t xml:space="preserve">Messwerttabelle in ein Diagramm und dessen Verlauf in einen Erklärungstext übertragen. </w:t>
      </w:r>
      <w:r>
        <w:t>EF-K7</w:t>
      </w:r>
    </w:p>
    <w:p>
      <w:pPr>
        <w:pStyle w:val="ListBullet"/>
        <w:spacing w:after="100"/>
      </w:pPr>
      <w:r>
        <w:t xml:space="preserve">Reaktionsgeschwindigkeit mit korrekten Begriffen und Einheiten erläutern. </w:t>
      </w:r>
      <w:r>
        <w:t>EF-K9</w:t>
      </w:r>
    </w:p>
    <w:p>
      <w:pPr>
        <w:pStyle w:val="ListBullet"/>
        <w:spacing w:after="100"/>
      </w:pPr>
      <w:r>
        <w:t xml:space="preserve">Eine digitale Simulation zur Stoßtheorie erläutern. </w:t>
      </w:r>
      <w:r>
        <w:t>EF-K11</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Versuchsplanung mit Variablenkontrolle, Messreihe und Diagramm; Geschwindigkeit bestimmen und eine Entkalkungsempfehlung chemisch begründen.</w:t>
      </w:r>
    </w:p>
    <w:p>
      <w:bookmarkStart w:id="7019" w:name="uv_EF_03"/>
      <w:pPr>
        <w:pStyle w:val="Heading2"/>
        <w:keepNext/>
        <w:spacing w:after="140"/>
      </w:pPr>
      <w:r>
        <w:t>EF.03 Das chemische Gleichgewicht</w:t>
      </w:r>
      <w:bookmarkEnd w:id="7019"/>
    </w:p>
    <w:p>
      <w:pPr>
        <w:spacing w:after="140"/>
      </w:pPr>
      <w:r>
        <w:t xml:space="preserve">Jahrgang EF · Einführungsphase · ca. 24 Unterrichtsstunden zu 45 Minuten</w:t>
      </w:r>
    </w:p>
    <w:p>
      <w:pPr>
        <w:spacing w:after="140"/>
      </w:pPr>
      <w:r>
        <w:rPr>
          <w:b/>
        </w:rPr>
        <w:t xml:space="preserve">Leitfrage </w:t>
      </w:r>
      <w:r>
        <w:t>Warum bleibt bei der Duftstoffherstellung Ausgangsstoff übrig, obwohl wir lange genug warten?</w:t>
      </w:r>
    </w:p>
    <w:p>
      <w:pPr>
        <w:pStyle w:val="Heading3"/>
        <w:keepNext/>
        <w:spacing w:after="140"/>
      </w:pPr>
      <w:r>
        <w:t>Inhalte und Schwerpunkte</w:t>
      </w:r>
    </w:p>
    <w:p>
      <w:pPr>
        <w:spacing w:after="140"/>
      </w:pPr>
      <w:r>
        <w:t>Reaktionsgeschwindigkeit und chemisches Gleichgewicht — Schwerpunkt Gleichgewicht</w:t>
      </w:r>
    </w:p>
    <w:p>
      <w:pPr>
        <w:pStyle w:val="ListBullet"/>
        <w:spacing w:after="100"/>
      </w:pPr>
      <w:r>
        <w:t>Umkehrbare Reaktionen und dynamisches Gleichgewicht; konstante Konzentrationen bei fortlaufender Hin- und Rückreaktion.</w:t>
      </w:r>
    </w:p>
    <w:p>
      <w:pPr>
        <w:pStyle w:val="ListBullet"/>
        <w:spacing w:after="100"/>
      </w:pPr>
      <w:r>
        <w:t>Massenwirkungsgesetz und Kc; Gleichgewichtslagen berechnen und deuten.</w:t>
      </w:r>
    </w:p>
    <w:p>
      <w:pPr>
        <w:pStyle w:val="ListBullet"/>
        <w:spacing w:after="100"/>
      </w:pPr>
      <w:r>
        <w:t>Prinzip von Le Chatelier: Konzentration, Temperatur und Druck; Katalyse verändert die Einstellungsgeschwindigkeit, nicht die Gleichgewichtslage.</w:t>
      </w:r>
    </w:p>
    <w:p>
      <w:pPr>
        <w:pStyle w:val="ListBullet"/>
        <w:spacing w:after="100"/>
      </w:pPr>
      <w:r>
        <w:t>Technisches Verfahren am Beispiel der Ammoniaksynthese; ökonomische und ökologische Grenzen der Ausbeuteoptimierung.</w:t>
      </w:r>
    </w:p>
    <w:p>
      <w:pPr>
        <w:pStyle w:val="Heading3"/>
        <w:keepNext/>
        <w:spacing w:after="140"/>
      </w:pPr>
      <w:r>
        <w:t>Lernweg und methodische Gestaltung</w:t>
      </w:r>
    </w:p>
    <w:p>
      <w:pPr>
        <w:pStyle w:val="ListBullet"/>
        <w:spacing w:after="100"/>
      </w:pPr>
      <w:r>
        <w:t>Die Estersynthese aus EF.01 erneut betrachten und Hin- und Rückreaktion in einem Modellversuch sowie digital simulieren.</w:t>
      </w:r>
    </w:p>
    <w:p>
      <w:pPr>
        <w:pStyle w:val="ListBullet"/>
        <w:spacing w:after="100"/>
      </w:pPr>
      <w:r>
        <w:t>Aus Gleichgewichtsdaten das Massenwirkungsgesetz erarbeiten und Konzentrationen bzw. Kc berechnen.</w:t>
      </w:r>
    </w:p>
    <w:p>
      <w:pPr>
        <w:pStyle w:val="ListBullet"/>
        <w:spacing w:after="100"/>
      </w:pPr>
      <w:r>
        <w:t>Hypothesen zur Verschiebung ausgewählter Gleichgewichte überprüfen.</w:t>
      </w:r>
    </w:p>
    <w:p>
      <w:pPr>
        <w:pStyle w:val="ListBullet"/>
        <w:spacing w:after="100"/>
      </w:pPr>
      <w:r>
        <w:t>Für die Ammoniaksynthese Reaktionsbedingungen gegeneinander abwägen: Ausbeute, Geschwindigkeit, Energiebedarf und technische Grenzen.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beschreiben die Merkmale eines chemischen Gleichgewichtes anhand ausgewählter Reaktionen (S7, S15, K10), </w:t>
      </w:r>
      <w:r>
        <w:t>EF-RG-02</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bestimmen rechnerisch Gleichgewichtslagen ausgewählter Reaktionen mithilfe des Massenwirkungsgesetzes und interpretieren die Ergebnisse (S7, S8, S17). </w:t>
      </w:r>
      <w:r>
        <w:t>EF-RG-04</w:t>
      </w:r>
    </w:p>
    <w:p>
      <w:pPr>
        <w:pStyle w:val="ListBullet"/>
        <w:spacing w:after="100"/>
      </w:pPr>
      <w:r>
        <w:t xml:space="preserve">simulieren den chemischen Gleichgewichtszustand als dynamisches Gleichgewicht auch unter Nutzung digitaler Werkzeuge (E6, E9, S15, K10). </w:t>
      </w:r>
      <w:r>
        <w:t>EF-RG-08</w:t>
      </w:r>
    </w:p>
    <w:p>
      <w:pPr>
        <w:pStyle w:val="ListBullet"/>
        <w:spacing w:after="100"/>
      </w:pPr>
      <w:r>
        <w:t xml:space="preserve">beurteilen den ökologischen wie ökonomischen Nutzen und die Grenzen der Beeinflussbarkeit chemischer Gleichgewichtslagen in einem technischen Verfahren (B3, B10, B12, E12), </w:t>
      </w:r>
      <w:r>
        <w:t>EF-RG-09</w:t>
      </w:r>
    </w:p>
    <w:p>
      <w:pPr>
        <w:pStyle w:val="Heading3"/>
        <w:keepNext/>
        <w:spacing w:after="140"/>
      </w:pPr>
      <w:r>
        <w:t>Übergreifende Lernleistungen</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Konstante Stoffmengen im dynamischen Gleichgewicht von fortlaufenden Teilchenreaktionen unterscheiden. </w:t>
      </w:r>
      <w:r>
        <w:t>EF-S15</w:t>
      </w:r>
    </w:p>
    <w:p>
      <w:pPr>
        <w:pStyle w:val="ListBullet"/>
        <w:spacing w:after="100"/>
      </w:pPr>
      <w:r>
        <w:t xml:space="preserve">Gleichgewichtslage aus vorgegebenen Stoffmengen mit dem Massenwirkungsgesetz berechnen. </w:t>
      </w:r>
      <w:r>
        <w:t>EF-S17</w:t>
      </w:r>
    </w:p>
    <w:p>
      <w:pPr>
        <w:pStyle w:val="ListBullet"/>
        <w:spacing w:after="100"/>
      </w:pPr>
      <w:r>
        <w:t xml:space="preserve">Möglichkeiten und Grenzen eines Gleichgewichtsmodells diskutieren. </w:t>
      </w:r>
      <w:r>
        <w:t>EF-E9</w:t>
      </w:r>
    </w:p>
    <w:p>
      <w:pPr>
        <w:pStyle w:val="ListBullet"/>
        <w:spacing w:after="100"/>
      </w:pPr>
      <w:r>
        <w:t xml:space="preserve">Das dynamische Gleichgewicht mit fachlich schlüssigen Argumenten erklären. </w:t>
      </w:r>
      <w:r>
        <w:t>EF-K10</w:t>
      </w:r>
    </w:p>
    <w:p>
      <w:pPr>
        <w:pStyle w:val="ListBullet"/>
        <w:spacing w:after="100"/>
      </w:pPr>
      <w:r>
        <w:t xml:space="preserve">Die Reichweite von Daten zur industriellen Gleichgewichtssteuerung beurteilen. </w:t>
      </w:r>
      <w:r>
        <w:t>EF-B3</w:t>
      </w:r>
    </w:p>
    <w:p>
      <w:pPr>
        <w:pStyle w:val="ListBullet"/>
        <w:spacing w:after="100"/>
      </w:pPr>
      <w:r>
        <w:t xml:space="preserve">Gesellschaftlichen und ökologischen Nutzen der Ammoniaksynthese beurteilen. </w:t>
      </w:r>
      <w:r>
        <w:t>EF-B10</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3">
        <w:r>
          <w:t>Nomenklaturquiz</w:t>
        </w:r>
      </w:hyperlink>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Gleichgewichtsstörung vorhersagen und quantitativ auswerten; Modellgrenzen diskutieren und eine industrielle Verfahrensentscheidung begründen.</w:t>
      </w:r>
    </w:p>
    <w:p>
      <w:bookmarkStart w:id="7020" w:name="uv_EF_04"/>
      <w:pPr>
        <w:pStyle w:val="Heading2"/>
        <w:keepNext/>
        <w:spacing w:after="140"/>
      </w:pPr>
      <w:r>
        <w:t>EF.04 Kohlenstoffkreislauf und Klima</w:t>
      </w:r>
      <w:bookmarkEnd w:id="7020"/>
    </w:p>
    <w:p>
      <w:pPr>
        <w:spacing w:after="140"/>
      </w:pPr>
      <w:r>
        <w:t xml:space="preserve">Jahrgang EF · Einführungsphase · ca. 24 Unterrichtsstunden zu 45 Minuten</w:t>
      </w:r>
    </w:p>
    <w:p>
      <w:pPr>
        <w:spacing w:after="140"/>
      </w:pPr>
      <w:r>
        <w:rPr>
          <w:b/>
        </w:rPr>
        <w:t xml:space="preserve">Leitfrage </w:t>
      </w:r>
      <w:r>
        <w:t>Die Ozeane nehmen Kohlendioxid auf. Warum löst sich das Klimaproblem damit nicht von selbst?</w:t>
      </w:r>
    </w:p>
    <w:p>
      <w:pPr>
        <w:pStyle w:val="Heading3"/>
        <w:keepNext/>
        <w:spacing w:after="140"/>
      </w:pPr>
      <w:r>
        <w:t>Inhalte und Schwerpunkte</w:t>
      </w:r>
    </w:p>
    <w:p>
      <w:pPr>
        <w:spacing w:after="140"/>
      </w:pPr>
      <w:r>
        <w:t>Reaktionsgeschwindigkeit und chemisches Gleichgewicht — natürlicher Stoffkreislauf</w:t>
      </w:r>
    </w:p>
    <w:p>
      <w:pPr>
        <w:pStyle w:val="ListBullet"/>
        <w:spacing w:after="100"/>
      </w:pPr>
      <w:r>
        <w:t>Natürlicher Kohlenstoffkreislauf und anthropogene Eingriffe; Speicher und Stoffflüsse.</w:t>
      </w:r>
    </w:p>
    <w:p>
      <w:pPr>
        <w:pStyle w:val="ListBullet"/>
        <w:spacing w:after="100"/>
      </w:pPr>
      <w:r>
        <w:t>Kohlenstoffdioxid-Löslichkeit und Carbonatgleichgewichte; Temperatur- und Konzentrationseinflüsse.</w:t>
      </w:r>
    </w:p>
    <w:p>
      <w:pPr>
        <w:pStyle w:val="ListBullet"/>
        <w:spacing w:after="100"/>
      </w:pPr>
      <w:r>
        <w:t>Folgen für Klima und Ozeane; Quellenkritik, Perspektiven und Grenzen von Modellen.</w:t>
      </w:r>
    </w:p>
    <w:p>
      <w:pPr>
        <w:pStyle w:val="ListBullet"/>
        <w:spacing w:after="100"/>
      </w:pPr>
      <w:r>
        <w:t>Maßnahmen zum Klimaschutz aus ökologischer und ökonomischer Perspektive.</w:t>
      </w:r>
    </w:p>
    <w:p>
      <w:pPr>
        <w:pStyle w:val="Heading3"/>
        <w:keepNext/>
        <w:spacing w:after="140"/>
      </w:pPr>
      <w:r>
        <w:t>Lernweg und methodische Gestaltung</w:t>
      </w:r>
    </w:p>
    <w:p>
      <w:pPr>
        <w:pStyle w:val="ListBullet"/>
        <w:spacing w:after="100"/>
      </w:pPr>
      <w:r>
        <w:t>Kohlenstoffflüsse modellieren und die Systemgrenzen offenlegen.</w:t>
      </w:r>
    </w:p>
    <w:p>
      <w:pPr>
        <w:pStyle w:val="ListBullet"/>
        <w:spacing w:after="100"/>
      </w:pPr>
      <w:r>
        <w:t>CO₂-Löslichkeit und Gleichgewichtsverschiebungen anhand geeigneter Versuche oder Daten untersuchen; Befunde chemisch deuten.</w:t>
      </w:r>
    </w:p>
    <w:p>
      <w:pPr>
        <w:pStyle w:val="ListBullet"/>
        <w:spacing w:after="100"/>
      </w:pPr>
      <w:r>
        <w:t>Verschiedene Darstellungen zum Einfluss des Menschen auf den Kohlenstoffkreislauf auf Datenbasis, Herkunft und Absicht prüfen.</w:t>
      </w:r>
    </w:p>
    <w:p>
      <w:pPr>
        <w:pStyle w:val="ListBullet"/>
        <w:spacing w:after="100"/>
      </w:pPr>
      <w:r>
        <w:t>Handlungsoptionen entwickeln, Kriterien gewichten und Folgen für Gleichgewichte sowie Nachhaltigkeit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analysieren und beurteilen im Zusammenhang mit der jeweiligen Intention der Urheberschaft verschiedene Quellen und Darstellungsformen zu den Folgen anthropogener Einflüsse in einen natürlichen Stoffkreislauf (B2, B4, S5, K1, K2, K3, K4, K12), </w:t>
      </w:r>
      <w:r>
        <w:t>EF-RG-10</w:t>
      </w:r>
    </w:p>
    <w:p>
      <w:pPr>
        <w:pStyle w:val="ListBullet"/>
        <w:spacing w:after="100"/>
      </w:pPr>
      <w:r>
        <w:t xml:space="preserve">bewerten die Folgen eines Eingriffs in einen Stoffkreislauf mit Blick auf Gleichgewichtsprozesse in aktuell-gesellschaftlichen Zusammenhängen (B12, B13, B14, S5, E12, K13). </w:t>
      </w:r>
      <w:r>
        <w:t>EF-RG-11</w:t>
      </w:r>
    </w:p>
    <w:p>
      <w:pPr>
        <w:pStyle w:val="Heading3"/>
        <w:keepNext/>
        <w:spacing w:after="140"/>
      </w:pPr>
      <w:r>
        <w:t>Übergreifende Lernleistungen</w:t>
      </w:r>
    </w:p>
    <w:p>
      <w:pPr>
        <w:pStyle w:val="ListBullet"/>
        <w:spacing w:after="100"/>
      </w:pPr>
      <w:r>
        <w:t xml:space="preserve">Den Kohlenstoffkreislauf als Folge chemischer Reaktionen darstellen. </w:t>
      </w:r>
      <w:r>
        <w:t>EF-S5</w:t>
      </w:r>
    </w:p>
    <w:p>
      <w:pPr>
        <w:pStyle w:val="ListBullet"/>
        <w:spacing w:after="100"/>
      </w:pPr>
      <w:r>
        <w:t xml:space="preserve">Aussagegrenzen des Modellversuchs zur Meeresversauerung reflektieren. </w:t>
      </w:r>
      <w:r>
        <w:t>EF-E12</w:t>
      </w:r>
    </w:p>
    <w:p>
      <w:pPr>
        <w:pStyle w:val="ListBullet"/>
        <w:spacing w:after="100"/>
      </w:pPr>
      <w:r>
        <w:t xml:space="preserve">Angeleitet Quellen zum Kohlenstoffkreislauf recherchieren. </w:t>
      </w:r>
      <w:r>
        <w:t>EF-K1</w:t>
      </w:r>
    </w:p>
    <w:p>
      <w:pPr>
        <w:pStyle w:val="ListBullet"/>
        <w:spacing w:after="100"/>
      </w:pPr>
      <w:r>
        <w:t xml:space="preserve">Relevante Angaben aus Text, Diagramm und Reaktionsschema auswählen. </w:t>
      </w:r>
      <w:r>
        <w:t>EF-K2</w:t>
      </w:r>
    </w:p>
    <w:p>
      <w:pPr>
        <w:pStyle w:val="ListBullet"/>
        <w:spacing w:after="100"/>
      </w:pPr>
      <w:r>
        <w:t xml:space="preserve">Aussagen zweier Quellen zum selben Kohlenstoffdioxid-Datensatz vergleichen. </w:t>
      </w:r>
      <w:r>
        <w:t>EF-K3</w:t>
      </w:r>
    </w:p>
    <w:p>
      <w:pPr>
        <w:pStyle w:val="ListBullet"/>
        <w:spacing w:after="100"/>
      </w:pPr>
      <w:r>
        <w:t xml:space="preserve">Urheberschaft, Aktualität und fachliche Belege einer Quelle prüfen. </w:t>
      </w:r>
      <w:r>
        <w:t>EF-K4</w:t>
      </w:r>
    </w:p>
    <w:p>
      <w:pPr>
        <w:pStyle w:val="ListBullet"/>
        <w:spacing w:after="100"/>
      </w:pPr>
      <w:r>
        <w:t xml:space="preserve">Quellen angeben und Zitate in der Klimadarstellung kennzeichnen. </w:t>
      </w:r>
      <w:r>
        <w:t>EF-K12</w:t>
      </w:r>
    </w:p>
    <w:p>
      <w:pPr>
        <w:pStyle w:val="ListBullet"/>
        <w:spacing w:after="100"/>
      </w:pPr>
      <w:r>
        <w:t xml:space="preserve">Quellen nach vorgegebenen fachlichen Kriterien beurteilen. </w:t>
      </w:r>
      <w:r>
        <w:t>EF-B2</w:t>
      </w:r>
    </w:p>
    <w:p>
      <w:pPr>
        <w:pStyle w:val="ListBullet"/>
        <w:spacing w:after="100"/>
      </w:pPr>
      <w:r>
        <w:t xml:space="preserve">Auswahl von Diagrammen mit der Intention ihrer Urheber in Beziehung setzen. </w:t>
      </w:r>
      <w:r>
        <w:t>EF-B4</w:t>
      </w:r>
    </w:p>
    <w:p>
      <w:pPr>
        <w:pStyle w:val="ListBullet"/>
        <w:spacing w:after="100"/>
      </w:pPr>
      <w:r>
        <w:t xml:space="preserve">Eingriffe in den Kohlenstoffkreislauf im gesellschaftlichen Zusammenhang bewerten. </w:t>
      </w:r>
      <w:r>
        <w:t>EF-B12</w:t>
      </w:r>
    </w:p>
    <w:p>
      <w:pPr>
        <w:pStyle w:val="ListBullet"/>
        <w:spacing w:after="100"/>
      </w:pPr>
      <w:r>
        <w:t xml:space="preserve">Folgen eigener Mobilitätsentscheidungen ökologisch und ökonomisch abwägen. </w:t>
      </w:r>
      <w:r>
        <w:t>EF-B13</w:t>
      </w:r>
    </w:p>
    <w:p>
      <w:pPr>
        <w:pStyle w:val="Heading3"/>
        <w:keepNext/>
        <w:spacing w:after="140"/>
      </w:pPr>
      <w:r>
        <w:t>Digitale Lernmaterialien</w:t>
      </w:r>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Quellenbasiertes Klimadossier mit Kreislaufdarstellung, chemischer Gleichgewichtserklärung und begründeter Bewertung einer Maßnahme.</w:t>
      </w:r>
    </w:p>
    <w:p>
      <w:bookmarkStart w:id="7021" w:name="gk"/>
      <w:pPr>
        <w:pStyle w:val="Heading1"/>
        <w:keepNext/>
        <w:pageBreakBefore/>
        <w:spacing w:after="140"/>
      </w:pPr>
      <w:r>
        <w:t>6 Unterrichtsvorhaben im Grundkurs</w:t>
      </w:r>
      <w:bookmarkEnd w:id="7021"/>
    </w:p>
    <w:p>
      <w:pPr>
        <w:spacing w:after="140"/>
      </w:pPr>
      <w:r>
        <w:t xml:space="preserve">Q1 beginnt mit Säure-Base-Analytik (28 UStd), gefolgt von Thermodynamik, Elektrochemie und Korrosion. Mit 11 UStd zur Stoffklassensystematik und zu organischen Reaktionswegen beginnt GK.05 bereits am Ende der Q1; 18 UStd zur Weiterführung, Estersynthese und Produktbewertung folgen zu Beginn der Q2. Danach schließen Fette und Kunststoffe an. Der Säure-Base-Block beansprucht damit etwa neun bis zehn Unterrichtswochen und knapp ein Viertel der Q1-Zeit. Salze werden in GK.01 und GK.02 behandelt.</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6">
              <w:r>
                <w:rPr>
                  <w:sz w:val="18"/>
                  <w:rFonts w:ascii="Inter"/>
                  <w:rStyle w:val="Hyperlink"/>
                </w:rPr>
                <w:t xml:space="preserve">GK.01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Säuren und Basen mit analytischen Verfahren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7">
              <w:r>
                <w:rPr>
                  <w:sz w:val="18"/>
                  <w:rFonts w:ascii="Inter"/>
                  <w:rStyle w:val="Hyperlink"/>
                </w:rPr>
                <w:t xml:space="preserve">GK.02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Thermodynamik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8">
              <w:r>
                <w:rPr>
                  <w:sz w:val="18"/>
                  <w:rFonts w:ascii="Inter"/>
                  <w:rStyle w:val="Hyperlink"/>
                </w:rPr>
                <w:t xml:space="preserve">GK.03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Elektrochemie mit galvanischer Zelle und Elektrolyse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9">
              <w:r>
                <w:rPr>
                  <w:sz w:val="18"/>
                  <w:rFonts w:ascii="Inter"/>
                  <w:rStyle w:val="Hyperlink"/>
                </w:rPr>
                <w:t xml:space="preserve">GK.04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Korrosion von Metallen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0">
              <w:r>
                <w:rPr>
                  <w:sz w:val="18"/>
                  <w:rFonts w:ascii="Inter"/>
                  <w:rStyle w:val="Hyperlink"/>
                </w:rPr>
                <w:t xml:space="preserve">GK.05</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Organische Chemie: verschiedene Reaktionswege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 / 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29 (11 + 18)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1">
              <w:r>
                <w:rPr>
                  <w:sz w:val="18"/>
                  <w:rFonts w:ascii="Inter"/>
                  <w:rStyle w:val="Hyperlink"/>
                </w:rPr>
                <w:t xml:space="preserve">GK.06</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Fette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2">
              <w:r>
                <w:rPr>
                  <w:sz w:val="18"/>
                  <w:rFonts w:ascii="Inter"/>
                  <w:rStyle w:val="Hyperlink"/>
                </w:rPr>
                <w:t xml:space="preserve">GK.07</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Kunststoffe und funktionale Werkstoffe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34</w:t>
            </w:r>
          </w:p>
        </w:tc>
      </w:tr>
    </w:tbl>
    <w:p>
      <w:pPr>
        <w:spacing w:after="60"/>
      </w:pPr>
    </w:p>
    <w:p>
      <w:bookmarkStart w:id="7022" w:name="uv_GK_01"/>
      <w:pPr>
        <w:pStyle w:val="Heading2"/>
        <w:keepNext/>
        <w:spacing w:after="140"/>
      </w:pPr>
      <w:r>
        <w:t>GK.01 Säuren und Basen mit analytischen Verfahren</w:t>
      </w:r>
      <w:bookmarkEnd w:id="7022"/>
    </w:p>
    <w:p>
      <w:pPr>
        <w:spacing w:after="140"/>
      </w:pPr>
      <w:r>
        <w:t xml:space="preserve">Jahrgang Q1 · Grundkurs · ca. 28 Unterrichtsstunden zu 45 Minuten</w:t>
      </w:r>
    </w:p>
    <w:p>
      <w:pPr>
        <w:spacing w:after="140"/>
      </w:pPr>
      <w:r>
        <w:rPr>
          <w:b/>
        </w:rPr>
        <w:t xml:space="preserve">Leitfrage </w:t>
      </w:r>
      <w:r>
        <w:t>Gleicher pH-Wert, gleiche Wirkung? Wie entlarven wir die Versprechen auf einer Reinigerflasche?</w:t>
      </w:r>
    </w:p>
    <w:p>
      <w:pPr>
        <w:pStyle w:val="Heading3"/>
        <w:keepNext/>
      </w:pPr>
      <w:r>
        <w:rPr/>
        <w:t xml:space="preserve">Zeitliche Gliederung</w:t>
      </w:r>
    </w:p>
    <w:tbl>
      <w:tblPr>
        <w:tblW w:type="dxa" w:w="9074"/>
        <w:tblLayout w:type="fixed"/>
        <w:tblLook w:firstColumn="1" w:firstRow="1" w:lastColumn="0" w:lastRow="0" w:noHBand="0" w:noVBand="1" w:val="04A0"/>
      </w:tblPr>
      <w:tblGrid>
        <w:gridCol w:w="7200"/>
        <w:gridCol w:w="1870"/>
      </w:tblGrid>
      <w:tr>
        <w:trPr>
          <w:cantSplit/>
          <w:tblHeader/>
        </w:trPr>
        <w:tc>
          <w:tcPr>
            <w:tcW w:w="7200" w:type="dxa"/>
            <w:shd w:fill="DDE9EC"/>
            <w:tcMar>
              <w:top w:w="90" w:type="dxa"/>
              <w:bottom w:w="90" w:type="dxa"/>
              <w:left w:w="95" w:type="dxa"/>
              <w:right w:w="95" w:type="dxa"/>
            </w:tcMar>
          </w:tcPr>
          <w:p>
            <w:pPr>
              <w:jc w:val="left"/>
              <w:spacing w:after="0" w:line="264" w:lineRule="auto"/>
              <w:keepNext/>
            </w:pPr>
            <w:r>
              <w:rPr>
                <w:b/>
                <w:sz w:val="18"/>
                <w:rFonts w:ascii="Inter"/>
              </w:rPr>
              <w:t xml:space="preserve">Arbeitsphase</w:t>
            </w:r>
          </w:p>
        </w:tc>
        <w:tc>
          <w:tcPr>
            <w:tcW w:w="18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Diagnose, Brønsted-Konzept und Protolysegleichgewichte</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Säure-/Basestärke und pH-Berechnungen</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Titration, Durchführung und Auswertung</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8</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Ionennachweise, Produktbewertung und Lernkontrolle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8</w:t>
            </w:r>
          </w:p>
        </w:tc>
      </w:tr>
    </w:tbl>
    <w:p/>
    <w:p>
      <w:pPr>
        <w:pStyle w:val="Normal"/>
        <w:jc w:val="both"/>
      </w:pPr>
      <w:r>
        <w:rPr/>
        <w:t xml:space="preserve">Die Diagnose aktiviert vorhandene Grundlagen gezielt. Wiederholungen werden bedarfsgerecht in die folgenden Aufgaben integriert. Kalorimetrie und Lösungsenthalpien werden im anschließenden Thermodynamikvorhaben vertieft; im LK wird die elektrochemische Erklärung der pH-Elektrode in LK.03 erarbeitet.</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Protolyse starker Säuren und Basen.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Alltagsprodukten identifizierten Säuren und Basen mithilfe des Säure-Base-Konzepts von Brønsted und erläutern ihr Reaktionsverhalten unter Berücksichtigung von Protolysegleichungen (S1, S6, S7, S16, K6), </w:t>
      </w:r>
      <w:r>
        <w:t>GK-SB-01</w:t>
      </w:r>
    </w:p>
    <w:p>
      <w:pPr>
        <w:pStyle w:val="ListBullet"/>
        <w:spacing w:after="100"/>
      </w:pPr>
      <w:r>
        <w:t xml:space="preserve">erklären die unterschiedlichen Reaktionsgeschwindigkeiten von starken und schwachen Säuren mit unedlen Metallen oder Salzen anhand der Protolysereaktionen (S3, S7, S16), </w:t>
      </w:r>
      <w:r>
        <w:t>GK-SB-02</w:t>
      </w:r>
    </w:p>
    <w:p>
      <w:pPr>
        <w:pStyle w:val="ListBullet"/>
        <w:spacing w:after="100"/>
      </w:pPr>
      <w:r>
        <w:t xml:space="preserve">interpretieren die Gleichgewichtslage von Protolysereaktionen mithilfe des Massenwirkungsgesetzes und die daraus resultierenden Säure-/Base-Konstanten (S2, S7), </w:t>
      </w:r>
      <w:r>
        <w:t>GK-SB-03</w:t>
      </w:r>
    </w:p>
    <w:p>
      <w:pPr>
        <w:pStyle w:val="ListBullet"/>
        <w:spacing w:after="100"/>
      </w:pPr>
      <w:r>
        <w:t xml:space="preserve">berechnen pH-Werte wässriger Lösungen von Säuren und Basen bei vollständiger Protolyse (S17), </w:t>
      </w:r>
      <w:r>
        <w:t>GK-SB-04</w:t>
      </w:r>
    </w:p>
    <w:p>
      <w:pPr>
        <w:pStyle w:val="ListBullet"/>
        <w:spacing w:after="100"/>
      </w:pPr>
      <w:r>
        <w:t xml:space="preserve">weisen ausgewählte Ionensorten (Halogenid-Ionen, Ammonium-Ionen, Carbonat-Ionen) salzartiger Verbindungen qualitativ nach (E5), </w:t>
      </w:r>
      <w:r>
        <w:t>GK-SB-09</w:t>
      </w:r>
    </w:p>
    <w:p>
      <w:pPr>
        <w:pStyle w:val="ListBullet"/>
        <w:spacing w:after="100"/>
      </w:pPr>
      <w:r>
        <w:t xml:space="preserve">planen hypothesengeleitet Experimente zur Konzentrationsbestimmung von Säuren und Basen auch in Alltagsprodukten (E1, E2, E3, E4), </w:t>
      </w:r>
      <w:r>
        <w:t>GK-SB-10</w:t>
      </w:r>
    </w:p>
    <w:p>
      <w:pPr>
        <w:pStyle w:val="ListBullet"/>
        <w:spacing w:after="100"/>
      </w:pPr>
      <w:r>
        <w:t xml:space="preserve">führen das Verfahren einer Säure-Base-Titration mit Endpunktbestimmung mittels Indikator am Beispiel starker Säuren und Basen durch und werten die Ergebnisse auch unter Berücksichtigung einer Fehleranalyse aus (E5, E10, K10), </w:t>
      </w:r>
      <w:r>
        <w:t>GK-SB-11</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GK-SB-13</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GK-SB-14</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w:t>
      </w:r>
    </w:p>
    <w:p>
      <w:bookmarkStart w:id="7023" w:name="uv_GK_02"/>
      <w:pPr>
        <w:pStyle w:val="Heading2"/>
        <w:keepNext/>
        <w:spacing w:after="140"/>
      </w:pPr>
      <w:r>
        <w:t>GK.02 Thermodynamik</w:t>
      </w:r>
      <w:bookmarkEnd w:id="7023"/>
    </w:p>
    <w:p>
      <w:pPr>
        <w:spacing w:after="140"/>
      </w:pPr>
      <w:r>
        <w:t xml:space="preserve">Jahrgang Q1 · Grundkurs · ca. 24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GK-SB-05</w:t>
      </w:r>
    </w:p>
    <w:p>
      <w:pPr>
        <w:pStyle w:val="ListBullet"/>
        <w:spacing w:after="100"/>
      </w:pPr>
      <w:r>
        <w:t xml:space="preserve">erklären im Zusammenhang mit der Neutralisationsreaktion den ersten Hauptsatz der Thermodynamik (Prinzip der Energieerhaltung) (S3, S10), </w:t>
      </w:r>
      <w:r>
        <w:t>GK-SB-06</w:t>
      </w:r>
    </w:p>
    <w:p>
      <w:pPr>
        <w:pStyle w:val="ListBullet"/>
        <w:spacing w:after="100"/>
      </w:pPr>
      <w:r>
        <w:t xml:space="preserve">erläutern die Neutralisationsreaktion unter Berücksichtigung der Neutralisationsenthalpie (S3, S12), </w:t>
      </w:r>
      <w:r>
        <w:t>GK-SB-07</w:t>
      </w:r>
    </w:p>
    <w:p>
      <w:pPr>
        <w:pStyle w:val="ListBullet"/>
        <w:spacing w:after="100"/>
      </w:pPr>
      <w:r>
        <w:t xml:space="preserve">deuten endotherme und exotherme Lösungsvorgänge bei Salzen unter Berücksichtigung der Gitter- und Solvatationsenergie (S12, K8). </w:t>
      </w:r>
      <w:r>
        <w:t>GK-SB-08</w:t>
      </w:r>
    </w:p>
    <w:p>
      <w:pPr>
        <w:pStyle w:val="ListBullet"/>
        <w:spacing w:after="100"/>
      </w:pPr>
      <w:r>
        <w:t xml:space="preserve">bestimmen die Reaktionsenthalpie der Neutralisationsreaktion von starken Säuren mit starken Basen kalorimetrisch und vergleichen das Ergebnis mit Literaturdaten (E5, K1). </w:t>
      </w:r>
      <w:r>
        <w:t>GK-SB-12</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ermitteln auch rechnerisch die Standardreaktionsenthalpien ausgewählter Redoxreaktionen unter Anwendung des Satzes von Hess (E4, E7, S17, K2). </w:t>
      </w:r>
      <w:r>
        <w:t>GK-EC-12</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w:t>
      </w:r>
    </w:p>
    <w:p>
      <w:bookmarkStart w:id="7024" w:name="uv_GK_03"/>
      <w:pPr>
        <w:pStyle w:val="Heading2"/>
        <w:keepNext/>
        <w:spacing w:after="140"/>
      </w:pPr>
      <w:r>
        <w:t>GK.03 Elektrochemie mit galvanischer Zelle und Elektrolyse</w:t>
      </w:r>
      <w:bookmarkEnd w:id="7024"/>
    </w:p>
    <w:p>
      <w:pPr>
        <w:spacing w:after="140"/>
      </w:pPr>
      <w:r>
        <w:t xml:space="preserve">Jahrgang Q1 · Grundkurs · ca. 40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GK-EC-01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GK-EC-02</w:t>
      </w:r>
    </w:p>
    <w:p>
      <w:pPr>
        <w:pStyle w:val="ListBullet"/>
        <w:spacing w:after="100"/>
      </w:pPr>
      <w:r>
        <w:t xml:space="preserve">erläutern den Aufbau und die Funktionsweise einer galvanischen Zelle hinsichtlich der chemischen Prozesse auch mit digitalen Werkzeugen und berechnen die jeweilige Zellspannung (S3, S17, E6, K11), </w:t>
      </w:r>
      <w:r>
        <w:t>GK-EC-03</w:t>
      </w:r>
    </w:p>
    <w:p>
      <w:pPr>
        <w:pStyle w:val="ListBullet"/>
        <w:spacing w:after="100"/>
      </w:pPr>
      <w:r>
        <w:t xml:space="preserve">erläutern den Aufbau und die Funktion ausgewählter elektrochemischer Spannungsquellen aus Alltag und Technik (Batterie, Akkumulator, Brennstoffzelle) unter Berücksichtigung der Teilreaktionen und möglicher Zellspannungen (S10, S12, K9), </w:t>
      </w:r>
      <w:r>
        <w:t>GK-EC-04</w:t>
      </w:r>
    </w:p>
    <w:p>
      <w:pPr>
        <w:pStyle w:val="ListBullet"/>
        <w:spacing w:after="100"/>
      </w:pPr>
      <w:r>
        <w:t xml:space="preserve">erklären am Beispiel einer Brennstoffzelle die Funktion der heterogenen Katalyse unter Verwendung geeigneter Medien (S8, S12, K11), </w:t>
      </w:r>
      <w:r>
        <w:t>GK-EC-05</w:t>
      </w:r>
    </w:p>
    <w:p>
      <w:pPr>
        <w:pStyle w:val="ListBullet"/>
        <w:spacing w:after="100"/>
      </w:pPr>
      <w:r>
        <w:t xml:space="preserve">erläutern die Reaktionen einer Elektrolyse auf stofflicher und energetischer Ebene als Umkehr der Reaktionen eines galvanischen Elements (S7, S12, K8), </w:t>
      </w:r>
      <w:r>
        <w:t>GK-EC-06</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entwickeln Hypothesen zum Auftreten von Redoxreaktionen zwischen Metallatomen und -ionen und überprüfen diese experimentell (E3, E4, E5, E10), </w:t>
      </w:r>
      <w:r>
        <w:t>GK-EC-09</w:t>
      </w:r>
    </w:p>
    <w:p>
      <w:pPr>
        <w:pStyle w:val="ListBullet"/>
        <w:spacing w:after="100"/>
      </w:pPr>
      <w:r>
        <w:t xml:space="preserve">ermitteln Messdaten ausgewählter galvanischer Zellen zur Einordnung in die elektrochemische Spannungsreihe (E6, E8), </w:t>
      </w:r>
      <w:r>
        <w:t>GK-EC-11</w:t>
      </w:r>
    </w:p>
    <w:p>
      <w:pPr>
        <w:pStyle w:val="ListBullet"/>
        <w:spacing w:after="100"/>
      </w:pPr>
      <w:r>
        <w:t xml:space="preserve">bewerten die Verbrennung fossiler Energieträger und elektrochemische Energiewandler hinsichtlich Effizienz und Nachhaltigkeit auch mithilfe von recherchierten thermodynamischen Daten (B2, B4, E8, K3, K12), </w:t>
      </w:r>
      <w:r>
        <w:t>GK-EC-13</w:t>
      </w:r>
    </w:p>
    <w:p>
      <w:pPr>
        <w:pStyle w:val="ListBullet"/>
        <w:spacing w:after="100"/>
      </w:pPr>
      <w:r>
        <w:t xml:space="preserve">diskutieren Möglichkeiten und Grenzen bei der Umwandlung, Speicherung und Nutzung elektrischer Energie auf Grundlage der relevanten chemischen und thermodynamischen Aspekte im Hinblick auf nachhaltiges Handeln (B3, B10, B13, E12, K8), </w:t>
      </w:r>
      <w:r>
        <w:t>GK-EC-14</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w:t>
      </w:r>
    </w:p>
    <w:p>
      <w:bookmarkStart w:id="7025" w:name="uv_GK_04"/>
      <w:pPr>
        <w:pStyle w:val="Heading2"/>
        <w:keepNext/>
        <w:spacing w:after="140"/>
      </w:pPr>
      <w:r>
        <w:t>GK.04 Korrosion von Metallen</w:t>
      </w:r>
      <w:bookmarkEnd w:id="7025"/>
    </w:p>
    <w:p>
      <w:pPr>
        <w:spacing w:after="140"/>
      </w:pPr>
      <w:r>
        <w:t xml:space="preserve">Jahrgang Q1 · Grundkurs · ca. 10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die Bildung eines Lokalelements bei Korrosionsvorgängen auch mithilfe von Reaktionsgleichungen (S3, S16, E1), </w:t>
      </w:r>
      <w:r>
        <w:t>GK-EC-07</w:t>
      </w:r>
    </w:p>
    <w:p>
      <w:pPr>
        <w:pStyle w:val="ListBullet"/>
        <w:spacing w:after="100"/>
      </w:pPr>
      <w:r>
        <w:t xml:space="preserve">entwickeln eigenständig ausgewählte Experimente zum Korrosionsschutz (Galvanik, Opferanode) und führen sie durch (E1, E4, E5), </w:t>
      </w:r>
      <w:r>
        <w:t>GK-EC-10</w:t>
      </w:r>
    </w:p>
    <w:p>
      <w:pPr>
        <w:pStyle w:val="ListBullet"/>
        <w:spacing w:after="100"/>
      </w:pPr>
      <w:r>
        <w:t xml:space="preserve">beurteilen Folgen von Korrosionsvorgängen und adäquate Korrosionsschutzmaßnahmen unter ökologischen und ökonomischen Aspekten (B12, B14, E1). </w:t>
      </w:r>
      <w:r>
        <w:t>GK-EC-15</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w:t>
      </w:r>
    </w:p>
    <w:p>
      <w:bookmarkStart w:id="7026" w:name="uv_GK_05"/>
      <w:pPr>
        <w:pStyle w:val="Heading2"/>
        <w:keepNext/>
        <w:spacing w:after="140"/>
      </w:pPr>
      <w:r>
        <w:t>GK.05 Organische Chemie: verschiedene Reaktionswege</w:t>
      </w:r>
      <w:bookmarkEnd w:id="7026"/>
    </w:p>
    <w:p>
      <w:pPr>
        <w:spacing w:after="140"/>
      </w:pPr>
      <w:r>
        <w:t xml:space="preserve">Jahrgang Q1/Q2 · Grundkurs · ca. 29 Unterrichtsstunden zu 45 Minuten; davon 11 UStd in Q1 und 18 UStd in Q2.</w:t>
      </w:r>
    </w:p>
    <w:p>
      <w:pPr>
        <w:spacing w:after="140"/>
      </w:pPr>
      <w:r>
        <w:rPr>
          <w:b/>
        </w:rPr>
        <w:t xml:space="preserve">Leitfrage </w:t>
      </w:r>
      <w:r>
        <w:t>Vom Rohstoff zum Duftstoff: Welche Reaktionswege führen zum gewünschten Molekül?</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Estersynthese, homogene Katalyse und Optimierung der Ausbeute nach Le Chatelier.</w:t>
      </w:r>
    </w:p>
    <w:p>
      <w:pPr>
        <w:pStyle w:val="Heading3"/>
        <w:keepNext/>
        <w:spacing w:after="140"/>
      </w:pPr>
      <w:r>
        <w:t>Lernweg und methodische Gestaltung</w:t>
      </w:r>
    </w:p>
    <w:p>
      <w:pPr>
        <w:pStyle w:val="ListBullet"/>
        <w:spacing w:after="100"/>
      </w:pPr>
      <w:r>
        <w:t>Einen Syntheseweg ausgehend von Rohölfraktionen und Crackprodukten planen; Stoffklassen einschließlich der Amine systematisieren und Modelle digital darstellen.</w:t>
      </w:r>
    </w:p>
    <w:p>
      <w:pPr>
        <w:pStyle w:val="ListBullet"/>
        <w:spacing w:after="100"/>
      </w:pPr>
      <w:r>
        <w:t>Radikalische Substitution und elektrophile Addition schrittweise erklären; Reaktionsbedingungen und Nachweise vergleichen. Cis-trans-Isomerie an geeigneten Alkenen untersuchen.</w:t>
      </w:r>
    </w:p>
    <w:p>
      <w:pPr>
        <w:pStyle w:val="ListBullet"/>
        <w:spacing w:after="100"/>
      </w:pPr>
      <w:r>
        <w:t>Organische Redoxwege mit Oxidationszahlen erklären und Produkte durch Doppelbindungs-, Carbonyl- und Carboxy-Nachweise prüfen.</w:t>
      </w:r>
    </w:p>
    <w:p>
      <w:pPr>
        <w:pStyle w:val="ListBullet"/>
        <w:spacing w:after="100"/>
      </w:pPr>
      <w:r>
        <w:t>Eine Estersynthese planen und durchführen; die homogene Katalyse erklären und die Ausbeute nach Le Chatelier optimieren.</w:t>
      </w:r>
    </w:p>
    <w:p>
      <w:pPr>
        <w:pStyle w:val="ListBullet"/>
        <w:spacing w:after="100"/>
      </w:pPr>
      <w:r>
        <w:t>Nutzen und Risiken eines organischen Produkts bewerten; die Synthese seiner Bausteine als Brücke zu Kunststoffen nutzen.</w:t>
      </w:r>
    </w:p>
    <w:p>
      <w:pPr>
        <w:pStyle w:val="Normal"/>
        <w:jc w:val="both"/>
      </w:pPr>
      <w:r>
        <w:rPr/>
        <w:t xml:space="preserve">Die Reaktionsmechanismen der radikalischen Substitution und elektrophilen Addition auch mit digitalen Werkzeugen schrittweise erläutern. Q1 erarbeitet Stoffklassen und Grundmechanismen; Q2 führt Syntheseplanung, Nachweise und Estersynthese zusammen.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von Vertretern der Stoffklassen der Alkane, Halogenalkane, Alkene, Alkine, Alkanole, Alkanale, Alkanone, Carbonsäuren, Ester und Amine auch mit digitalen Werkzeugen dar und berücksichtigen dabei auch ausgewählte Isomere (S1, E7, K11), </w:t>
      </w:r>
      <w:r>
        <w:t>GK-OC-01</w:t>
      </w:r>
    </w:p>
    <w:p>
      <w:pPr>
        <w:pStyle w:val="ListBullet"/>
        <w:spacing w:after="100"/>
      </w:pPr>
      <w:r>
        <w:t xml:space="preserve">erklären Stoffeigenschaften und Reaktionsverhalten mit dem Einfluss der jeweiligen funktionellen Gruppen unter Berücksichtigung von inter- und intramolekularen Wechselwirkungen (S2, S13), </w:t>
      </w:r>
      <w:r>
        <w:t>GK-OC-03</w:t>
      </w:r>
    </w:p>
    <w:p>
      <w:pPr>
        <w:pStyle w:val="ListBullet"/>
        <w:spacing w:after="100"/>
      </w:pPr>
      <w:r>
        <w:t xml:space="preserve">erklären Redoxreaktionen in organischen Synthesewegen unter Berücksichtigung der Oxidationszahlen (S3, S11, S16), </w:t>
      </w:r>
      <w:r>
        <w:t>GK-OC-04</w:t>
      </w:r>
    </w:p>
    <w:p>
      <w:pPr>
        <w:pStyle w:val="ListBullet"/>
        <w:spacing w:after="100"/>
      </w:pPr>
      <w:r>
        <w:t xml:space="preserve">erklären die Estersynthese aus Alkanolen und Carbonsäuren unter Berücksichtigung der Katalyse (S4, S8, S9, K7), </w:t>
      </w:r>
      <w:r>
        <w:t>GK-OC-05</w:t>
      </w:r>
    </w:p>
    <w:p>
      <w:pPr>
        <w:pStyle w:val="ListBullet"/>
        <w:spacing w:after="100"/>
      </w:pPr>
      <w:r>
        <w:t xml:space="preserve">erläutern die Reaktionsmechanismen der radikalischen Substitutions- und elektrophilen Additionsreaktion unter Berücksichtigung der spezifischen Reaktionsbedingungen auch mit digitalen Werkzeugen (S8, S9, S14, E9, K11). </w:t>
      </w:r>
      <w:r>
        <w:t>GK-OC-06</w:t>
      </w:r>
    </w:p>
    <w:p>
      <w:pPr>
        <w:pStyle w:val="ListBullet"/>
        <w:spacing w:after="100"/>
      </w:pPr>
      <w:r>
        <w:t xml:space="preserve">schließen mithilfe von spezifischen Nachweisen der Reaktionsprodukte (Doppelbindung zwischen Kohlenstoff-Atomen, Carbonyl- und Carboxy-Gruppe) auf den Reaktionsverlauf und bestimmen den Reaktionstyp (E5, E7, S4, K10), </w:t>
      </w:r>
      <w:r>
        <w:t>GK-OC-07</w:t>
      </w:r>
    </w:p>
    <w:p>
      <w:pPr>
        <w:pStyle w:val="ListBullet"/>
        <w:spacing w:after="100"/>
      </w:pPr>
      <w:r>
        <w:t xml:space="preserve">erläutern die Planung und Durchführung einer Estersynthese in Bezug auf die Optimierung der Ausbeute auf der Grundlage des Prinzips von Le Chatelier (E4, E5, K13), </w:t>
      </w:r>
      <w:r>
        <w:t>GK-OC-08</w:t>
      </w:r>
    </w:p>
    <w:p>
      <w:pPr>
        <w:pStyle w:val="ListBullet"/>
        <w:spacing w:after="100"/>
      </w:pPr>
      <w:r>
        <w:t xml:space="preserve">recherchieren und bewerten Nutzen und Risiken ausgewählter Produkte der organischen Chemie unter vorgegebenen Fragestellungen (B1, B11, K2, K4), </w:t>
      </w:r>
      <w:r>
        <w:t>GK-OC-10</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9">
        <w:r>
          <w:t>Nährstoff Navigator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Syntheseportfolio mit Mechanismenvergleich, Nachweisen und Esterprotokoll. Die Pflichtmechanismen des GK sind radikalische Substitution und elektrophile Addition; eine vertiefte SN1/SN2-Behandlung ist nicht Voraussetzung.</w:t>
      </w:r>
    </w:p>
    <w:p>
      <w:bookmarkStart w:id="7027" w:name="uv_GK_06"/>
      <w:pPr>
        <w:pStyle w:val="Heading2"/>
        <w:keepNext/>
        <w:spacing w:after="140"/>
      </w:pPr>
      <w:r>
        <w:t>GK.06 Fette</w:t>
      </w:r>
      <w:bookmarkEnd w:id="7027"/>
    </w:p>
    <w:p>
      <w:pPr>
        <w:spacing w:after="140"/>
      </w:pPr>
      <w:r>
        <w:t xml:space="preserve">Jahrgang Q2 · Grundkurs · ca. 10 Unterrichtsstunden zu 45 Minuten</w:t>
      </w:r>
    </w:p>
    <w:p>
      <w:pPr>
        <w:spacing w:after="140"/>
      </w:pPr>
      <w:r>
        <w:rPr>
          <w:b/>
        </w:rPr>
        <w:t xml:space="preserve">Leitfrage </w:t>
      </w:r>
      <w:r>
        <w:t>Warum ist Olivenöl flüssig und Butter streichfest, und was verrät das über ihre Zusammensetzung?</w:t>
      </w:r>
    </w:p>
    <w:p>
      <w:pPr>
        <w:pStyle w:val="Heading3"/>
        <w:keepNext/>
        <w:spacing w:after="140"/>
      </w:pPr>
      <w:r>
        <w:t>Inhalte und Schwerpunkte</w:t>
      </w:r>
    </w:p>
    <w:p>
      <w:pPr>
        <w:spacing w:after="140"/>
      </w:pPr>
      <w:r>
        <w:t>Reaktionswege in der organischen Chemie — Schwerpunkt Fette</w:t>
      </w:r>
    </w:p>
    <w:p>
      <w:pPr>
        <w:pStyle w:val="ListBullet"/>
        <w:spacing w:after="100"/>
      </w:pPr>
      <w:r>
        <w:t>Fette als Triester des Glycerins mit Fettsäuren; gesättigte und ungesättigte Fettsäurereste.</w:t>
      </w:r>
    </w:p>
    <w:p>
      <w:pPr>
        <w:pStyle w:val="ListBullet"/>
        <w:spacing w:after="100"/>
      </w:pPr>
      <w:r>
        <w:t>Zusammenhang von Molekülstruktur, zwischenmolekularen Wechselwirkungen und Schmelzverhalten; cis-trans-Anordnung an Fettsäureresten.</w:t>
      </w:r>
    </w:p>
    <w:p>
      <w:pPr>
        <w:pStyle w:val="ListBullet"/>
        <w:spacing w:after="100"/>
      </w:pPr>
      <w:r>
        <w:t>Experimentelle Unterscheidung gesättigter und ungesättigter Fettsäuren; Verarbeitung von Fetten und ernährungsbezogene Bewertung.</w:t>
      </w:r>
    </w:p>
    <w:p>
      <w:pPr>
        <w:pStyle w:val="Heading3"/>
        <w:keepNext/>
        <w:spacing w:after="140"/>
      </w:pPr>
      <w:r>
        <w:t>Lernweg und methodische Gestaltung</w:t>
      </w:r>
    </w:p>
    <w:p>
      <w:pPr>
        <w:pStyle w:val="ListBullet"/>
        <w:spacing w:after="100"/>
      </w:pPr>
      <w:r>
        <w:t>Molekülmodelle und Zusammensetzungsdaten ausgewählter Speisefette vergleichen; Schmelzverhalten und Konsistenz chemisch erklären.</w:t>
      </w:r>
    </w:p>
    <w:p>
      <w:pPr>
        <w:pStyle w:val="ListBullet"/>
        <w:spacing w:after="100"/>
      </w:pPr>
      <w:r>
        <w:t>Eine freigegebene Untersuchung zur Unterscheidung gesättigter und ungesättigter Fettsäuren durchführen und ihre Aussagegrenzen benennen.</w:t>
      </w:r>
    </w:p>
    <w:p>
      <w:pPr>
        <w:pStyle w:val="ListBullet"/>
        <w:spacing w:after="100"/>
      </w:pPr>
      <w:r>
        <w:t>Die Auswirkungen der Verarbeitung, etwa der Fetthärtung, auf Struktur und Eigenschaften untersuchen; eine Auswahl von Speisefetten anhand offengelegter chemischer Kriterien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den Aufbau und die Eigenschaften von gesättigten und ungesättigten Fetten (S1, S11, S13), </w:t>
      </w:r>
      <w:r>
        <w:t>GK-OC-02</w:t>
      </w:r>
    </w:p>
    <w:p>
      <w:pPr>
        <w:pStyle w:val="ListBullet"/>
        <w:spacing w:after="100"/>
      </w:pPr>
      <w:r>
        <w:t xml:space="preserve">unterscheiden experimentell zwischen gesättigten und ungesättigten Fettsäuren (E5, E11). </w:t>
      </w:r>
      <w:r>
        <w:t>GK-OC-09</w:t>
      </w:r>
    </w:p>
    <w:p>
      <w:pPr>
        <w:pStyle w:val="ListBullet"/>
        <w:spacing w:after="100"/>
      </w:pPr>
      <w:r>
        <w:t xml:space="preserve">beurteilen die Qualität von Fetten hinsichtlich ihrer Zusammensetzung und Verarbeitung im Bereich der Lebensmitteltechnik und der eigenen Ernährung (B7, B8, K8). </w:t>
      </w:r>
      <w:r>
        <w:t>GK-OC-11</w:t>
      </w:r>
    </w:p>
    <w:p>
      <w:pPr>
        <w:pStyle w:val="Heading3"/>
        <w:keepNext/>
        <w:spacing w:after="140"/>
      </w:pPr>
      <w:r>
        <w:t>Übergreifende Lernleistungen</w:t>
      </w:r>
    </w:p>
    <w:p>
      <w:pPr>
        <w:pStyle w:val="ListBullet"/>
        <w:spacing w:after="100"/>
      </w:pPr>
      <w:r>
        <w:t xml:space="preserve">Fetteigenschaften mit Modellen intra- und intermolekularer Wechselwirkungen erklären. </w:t>
      </w:r>
      <w:r>
        <w:t>Q-S13</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9">
        <w:r>
          <w:t>Nährstoff Navigator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Untersuchungsbericht zu Speisefetten mit Struktur-Eigenschafts-Erklärung und begründeter Bewertung ihrer Zusammensetzung und Verarbeitung. Die allgemeine Veresterung und ihre Ausbeuteoptimierung werden in GK.05 erarbeitet, nicht als eigener Schwerpunkt dieses Vorhabens.</w:t>
      </w:r>
    </w:p>
    <w:p>
      <w:bookmarkStart w:id="7028" w:name="uv_GK_07"/>
      <w:pPr>
        <w:pStyle w:val="Heading2"/>
        <w:keepNext/>
        <w:spacing w:after="140"/>
      </w:pPr>
      <w:r>
        <w:t>GK.07 Kunststoffe und funktionale Werkstoffe</w:t>
      </w:r>
      <w:bookmarkEnd w:id="7028"/>
    </w:p>
    <w:p>
      <w:pPr>
        <w:spacing w:after="140"/>
      </w:pPr>
      <w:r>
        <w:t xml:space="preserve">Jahrgang Q2 · Grundkurs · ca. 34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ihrer molekularen Strukturen (Kettenlänge, Vernetzungsgrad) (S11, S13), </w:t>
      </w:r>
      <w:r>
        <w:t>GK-MW-01</w:t>
      </w:r>
    </w:p>
    <w:p>
      <w:pPr>
        <w:pStyle w:val="ListBullet"/>
        <w:spacing w:after="100"/>
      </w:pPr>
      <w:r>
        <w:t xml:space="preserve">klassifizieren Kunststoffe anhand ihrer Eigenschaften begründet nach Thermoplasten, Duroplasten und Elastomeren (S1, S2), </w:t>
      </w:r>
      <w:r>
        <w:t>GK-MW-02</w:t>
      </w:r>
    </w:p>
    <w:p>
      <w:pPr>
        <w:pStyle w:val="ListBullet"/>
        <w:spacing w:after="100"/>
      </w:pPr>
      <w:r>
        <w:t xml:space="preserve">erläutern die Verknüpfung von Monomermolekülen zu Makromolekülen mithilfe von Reaktionsgleichungen an einem Beispiel (S4, S12, S16), </w:t>
      </w:r>
      <w:r>
        <w:t>GK-MW-03</w:t>
      </w:r>
    </w:p>
    <w:p>
      <w:pPr>
        <w:pStyle w:val="ListBullet"/>
        <w:spacing w:after="100"/>
      </w:pPr>
      <w:r>
        <w:t xml:space="preserve">beschreiben den Weg eines Anwendungsproduktes von der Rohstoffgewinnung über die Produktion bis zur Verwertung (S5, S10, K1, K2). </w:t>
      </w:r>
      <w:r>
        <w:t>GK-MW-04</w:t>
      </w:r>
    </w:p>
    <w:p>
      <w:pPr>
        <w:pStyle w:val="ListBullet"/>
        <w:spacing w:after="100"/>
      </w:pPr>
      <w:r>
        <w:t xml:space="preserve">führen eigenständig geplante Experimente zur Untersuchung von Eigenschaften organischer Werkstoffe durch und werten diese aus (E4, E5), </w:t>
      </w:r>
      <w:r>
        <w:t>GK-MW-05</w:t>
      </w:r>
    </w:p>
    <w:p>
      <w:pPr>
        <w:pStyle w:val="ListBullet"/>
        <w:spacing w:after="100"/>
      </w:pPr>
      <w:r>
        <w:t xml:space="preserve">planen zielgerichtet anhand der Eigenschaften verschiedener Kunststoffe Experimente zur Trennung und Verwertung von Verpackungsabfällen (E4, S2), </w:t>
      </w:r>
      <w:r>
        <w:t>GK-MW-06</w:t>
      </w:r>
    </w:p>
    <w:p>
      <w:pPr>
        <w:pStyle w:val="ListBullet"/>
        <w:spacing w:after="100"/>
      </w:pPr>
      <w:r>
        <w:t xml:space="preserve">erklären ermittelte Stoffeigenschaften am Beispiel eines Funktionspolymers mit geeigneten Modellen (E1, E5, E7, S2). </w:t>
      </w:r>
      <w:r>
        <w:t>GK-MW-07</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GK-MW-08</w:t>
      </w:r>
    </w:p>
    <w:p>
      <w:pPr>
        <w:pStyle w:val="ListBullet"/>
        <w:spacing w:after="100"/>
      </w:pPr>
      <w:r>
        <w:t xml:space="preserve">vergleichen anhand von Bewertungskriterien Produkte aus unterschiedlichen Kunststoffen und leiten daraus Handlungsoptionen für die alltägliche Nutzung ab (B5, B14, K2, K8, K13), </w:t>
      </w:r>
      <w:r>
        <w:t>GK-MW-09</w:t>
      </w:r>
    </w:p>
    <w:p>
      <w:pPr>
        <w:pStyle w:val="ListBullet"/>
        <w:spacing w:after="100"/>
      </w:pPr>
      <w:r>
        <w:t xml:space="preserve">bewerten stoffliche und energetische Verfahren der Kunststoffverwertung unter Berücksichtigung ausgewählter Nachhaltigkeitsziele (B6, B13, S3, K5, K8). </w:t>
      </w:r>
      <w:r>
        <w:t>GK-MW-10</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8">
        <w:r>
          <w:t>Klausuratelier Polymere und Aromaten</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w:t>
      </w:r>
    </w:p>
    <w:p>
      <w:bookmarkStart w:id="7029" w:name="lk"/>
      <w:pPr>
        <w:pStyle w:val="Heading1"/>
        <w:keepNext/>
        <w:pageBreakBefore/>
        <w:spacing w:after="140"/>
      </w:pPr>
      <w:r>
        <w:t>7 Unterrichtsvorhaben im Leistungskurs</w:t>
      </w:r>
      <w:bookmarkEnd w:id="7029"/>
    </w:p>
    <w:p>
      <w:pPr>
        <w:spacing w:after="140"/>
      </w:pPr>
      <w:r>
        <w:t xml:space="preserve">Q1 beginnt mit Säure-Base-Analytik (42 UStd), Thermodynamik, Elektrochemie und Korrosion. Der Säure-Base-Block umfasst damit gut acht Unterrichtswochen und rund 22 Prozent der Q1-Zeit. Die organischen Reaktionswege einschließlich Aromaten werden überwiegend in Q1 erarbeitet (52 UStd); 8 UStd zu Beginn der Q2 sichern Wiederaufnahme, experimentelle Estersynthese und vernetzenden Transfer. Es folgen Fette, Kunststoffe einschließlich Nanochemie und Farbstoffe. Salze bleiben in Säure-Base-Analytik und Thermodynamik verankert.</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3">
              <w:r>
                <w:rPr>
                  <w:sz w:val="18"/>
                  <w:rFonts w:ascii="Inter"/>
                  <w:rStyle w:val="Hyperlink"/>
                </w:rPr>
                <w:t xml:space="preserve">LK.01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Säuren und Basen mit analytischen Verfahren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42</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4">
              <w:r>
                <w:rPr>
                  <w:sz w:val="18"/>
                  <w:rFonts w:ascii="Inter"/>
                  <w:rStyle w:val="Hyperlink"/>
                </w:rPr>
                <w:t xml:space="preserve">LK.02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Thermodynamik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32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5">
              <w:r>
                <w:rPr>
                  <w:sz w:val="18"/>
                  <w:rFonts w:ascii="Inter"/>
                  <w:rStyle w:val="Hyperlink"/>
                </w:rPr>
                <w:t xml:space="preserve">LK.03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Elektrochemie mit galvanischer Zelle und Elektrolyse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50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6">
              <w:r>
                <w:rPr>
                  <w:sz w:val="18"/>
                  <w:rFonts w:ascii="Inter"/>
                  <w:rStyle w:val="Hyperlink"/>
                </w:rPr>
                <w:t xml:space="preserve">LK.04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Korrosion von Metallen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7">
              <w:r>
                <w:rPr>
                  <w:sz w:val="18"/>
                  <w:rFonts w:ascii="Inter"/>
                  <w:rStyle w:val="Hyperlink"/>
                </w:rPr>
                <w:t xml:space="preserve">LK.05</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Organische Chemie: verschiedene Reaktionswege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 / 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60 (52 + 8)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8">
              <w:r>
                <w:rPr>
                  <w:sz w:val="18"/>
                  <w:rFonts w:ascii="Inter"/>
                  <w:rStyle w:val="Hyperlink"/>
                </w:rPr>
                <w:t xml:space="preserve">LK.06</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Fette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9">
              <w:r>
                <w:rPr>
                  <w:sz w:val="18"/>
                  <w:rFonts w:ascii="Inter"/>
                  <w:rStyle w:val="Hyperlink"/>
                </w:rPr>
                <w:t xml:space="preserve">LK.07</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Kunststoffe und funktionale Werkstoffe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59</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10">
              <w:r>
                <w:rPr>
                  <w:sz w:val="18"/>
                  <w:rFonts w:ascii="Inter"/>
                  <w:rStyle w:val="Hyperlink"/>
                </w:rPr>
                <w:t xml:space="preserve">LK.08</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Farbstoffe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bl>
    <w:p>
      <w:pPr>
        <w:spacing w:after="60"/>
      </w:pPr>
    </w:p>
    <w:p>
      <w:bookmarkStart w:id="7030" w:name="uv_LK_01"/>
      <w:pPr>
        <w:pStyle w:val="Heading2"/>
        <w:keepNext/>
        <w:spacing w:after="140"/>
      </w:pPr>
      <w:r>
        <w:t>LK.01 Säuren und Basen mit analytischen Verfahren</w:t>
      </w:r>
      <w:bookmarkEnd w:id="7030"/>
    </w:p>
    <w:p>
      <w:pPr>
        <w:spacing w:after="140"/>
      </w:pPr>
      <w:r>
        <w:t xml:space="preserve">Jahrgang Q1 · Leistungskurs · ca. 42 Unterrichtsstunden zu 45 Minuten</w:t>
      </w:r>
    </w:p>
    <w:p>
      <w:pPr>
        <w:spacing w:after="140"/>
      </w:pPr>
      <w:r>
        <w:rPr>
          <w:b/>
        </w:rPr>
        <w:t xml:space="preserve">Leitfrage </w:t>
      </w:r>
      <w:r>
        <w:t>Gleicher pH-Wert, gleiche Wirkung? Wie entlarven wir die Versprechen auf einer Reinigerflasche?</w:t>
      </w:r>
    </w:p>
    <w:p>
      <w:pPr>
        <w:pStyle w:val="Heading3"/>
        <w:keepNext/>
      </w:pPr>
      <w:r>
        <w:rPr/>
        <w:t xml:space="preserve">Zeitliche Gliederung</w:t>
      </w:r>
    </w:p>
    <w:tbl>
      <w:tblPr>
        <w:tblW w:type="dxa" w:w="9074"/>
        <w:tblLayout w:type="fixed"/>
        <w:tblLook w:firstColumn="1" w:firstRow="1" w:lastColumn="0" w:lastRow="0" w:noHBand="0" w:noVBand="1" w:val="04A0"/>
      </w:tblPr>
      <w:tblGrid>
        <w:gridCol w:w="7200"/>
        <w:gridCol w:w="1870"/>
      </w:tblGrid>
      <w:tr>
        <w:trPr>
          <w:cantSplit/>
          <w:tblHeader/>
        </w:trPr>
        <w:tc>
          <w:tcPr>
            <w:tcW w:w="7200" w:type="dxa"/>
            <w:shd w:fill="DDE9EC"/>
            <w:tcMar>
              <w:top w:w="90" w:type="dxa"/>
              <w:bottom w:w="90" w:type="dxa"/>
              <w:left w:w="95" w:type="dxa"/>
              <w:right w:w="95" w:type="dxa"/>
            </w:tcMar>
          </w:tcPr>
          <w:p>
            <w:pPr>
              <w:jc w:val="left"/>
              <w:spacing w:after="0" w:line="264" w:lineRule="auto"/>
              <w:keepNext/>
            </w:pPr>
            <w:r>
              <w:rPr>
                <w:b/>
                <w:sz w:val="18"/>
                <w:rFonts w:ascii="Inter"/>
              </w:rPr>
              <w:t xml:space="preserve">Arbeitsphase</w:t>
            </w:r>
          </w:p>
        </w:tc>
        <w:tc>
          <w:tcPr>
            <w:tcW w:w="18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Diagnose, Protolysegleichgewichte und pH-Berechnungen</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Puffer und Löslichkeitsgleichgewichte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Indikator- und pH-metrische Titration mit Auswertung</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Ionennachweise, Produktbewertung und Lernkontrolle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8</w:t>
            </w:r>
          </w:p>
        </w:tc>
      </w:tr>
    </w:tbl>
    <w:p/>
    <w:p>
      <w:pPr>
        <w:pStyle w:val="Normal"/>
        <w:jc w:val="both"/>
      </w:pPr>
      <w:r>
        <w:rPr/>
        <w:t xml:space="preserve">Die Diagnose aktiviert vorhandene Grundlagen gezielt. Wiederholungen werden bedarfsgerecht in die folgenden Aufgaben integriert. Kalorimetrie und Lösungsenthalpien werden im anschließenden Thermodynamikvorhaben vertieft; im LK wird die elektrochemische Erklärung der pH-Elektrode in LK.03 erarbeitet.</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und unvollständiger Protolyse; Näherungen und Gültigkeitsbedingungen.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ListBullet"/>
        <w:spacing w:after="100"/>
      </w:pPr>
      <w:r>
        <w:t>Puffer und Henderson-Hasselbalch-Gleichung; Löslichkeitsgleichgewichte und Löslichkeitsprodukt.</w:t>
      </w:r>
    </w:p>
    <w:p>
      <w:pPr>
        <w:pStyle w:val="ListBullet"/>
        <w:spacing w:after="100"/>
      </w:pPr>
      <w:r>
        <w:t>pH-metrische Titration ein- und mehrprotoniger Säuren; Kurven mit Anfangs-pH, Halbäquivalenz- und Äquivalenzpunkt; Auswahl eines geeigneten Indikators.</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Puffer im Kontext von Körperflüssigkeiten untersuchen und berechnen; Fällungsreaktionen quantitativ mit Löslichkeitsgleichgewichten erklären.</w:t>
      </w:r>
    </w:p>
    <w:p>
      <w:pPr>
        <w:pStyle w:val="ListBullet"/>
        <w:spacing w:after="100"/>
      </w:pPr>
      <w:r>
        <w:t>Titrationskurven rechnerisch vorhersagen und mit pH-metrischen Daten vergleichen; Verfahren auf Eignung und Grenzen prüfen. Die elektrochemische Funktionsweise der pH-Elektrode folgt in LK.03.</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Produkten des Alltags identifizierten Säuren und Basen mithilfe des Säure-Base-Konzepts von Brønsted und erläutern ihr Reaktionsverhalten unter Berücksichtigung von Protolysegleichungen (S1, S6, S7, S16, K6), </w:t>
      </w:r>
      <w:r>
        <w:t>LK-SB-01</w:t>
      </w:r>
    </w:p>
    <w:p>
      <w:pPr>
        <w:pStyle w:val="ListBullet"/>
        <w:spacing w:after="100"/>
      </w:pPr>
      <w:r>
        <w:t xml:space="preserve">erläutern die unterschiedlichen Reaktionsgeschwindigkeiten von starken und schwachen Säuren mit unedlen Metallen oder Salzen anhand der unterschiedlichen Gleichgewichtslage der Protolysereaktionen (S3, S7, S16), </w:t>
      </w:r>
      <w:r>
        <w:t>LK-SB-02</w:t>
      </w:r>
    </w:p>
    <w:p>
      <w:pPr>
        <w:pStyle w:val="ListBullet"/>
        <w:spacing w:after="100"/>
      </w:pPr>
      <w:r>
        <w:t xml:space="preserve">leiten die Säure-/Base-Konstante und den pKS/pKB-Wert von Säuren und Basen mithilfe des Massenwirkungsgesetzes ab und berechnen diese (S7, S17), </w:t>
      </w:r>
      <w:r>
        <w:t>LK-SB-03</w:t>
      </w:r>
    </w:p>
    <w:p>
      <w:pPr>
        <w:pStyle w:val="ListBullet"/>
        <w:spacing w:after="100"/>
      </w:pPr>
      <w:r>
        <w:t xml:space="preserve">interpretieren die Gleichgewichtslage von Protolysereaktionen mithilfe des Massenwirkungsgesetzes und die daraus resultierenden Säure-/Base-Konstanten (S2, S7), </w:t>
      </w:r>
      <w:r>
        <w:t>LK-SB-04</w:t>
      </w:r>
    </w:p>
    <w:p>
      <w:pPr>
        <w:pStyle w:val="ListBullet"/>
        <w:spacing w:after="100"/>
      </w:pPr>
      <w:r>
        <w:t xml:space="preserve">berechnen pH-Werte wässriger Lösungen von Säuren und Basen auch bei nicht vollständiger Protolyse (S17), </w:t>
      </w:r>
      <w:r>
        <w:t>LK-SB-05</w:t>
      </w:r>
    </w:p>
    <w:p>
      <w:pPr>
        <w:pStyle w:val="ListBullet"/>
        <w:spacing w:after="100"/>
      </w:pPr>
      <w:r>
        <w:t xml:space="preserve">sagen den Verlauf von Titrationskurven von starken und schwachen Säuren und Basen anhand der Berechnung der charakteristischen Punkte (AnfangspH-Wert, Halbäquivalenzpunkt, Äquivalenzpunkt) voraus (S10, S17), </w:t>
      </w:r>
      <w:r>
        <w:t>LK-SB-06</w:t>
      </w:r>
    </w:p>
    <w:p>
      <w:pPr>
        <w:pStyle w:val="ListBullet"/>
        <w:spacing w:after="100"/>
      </w:pPr>
      <w:r>
        <w:t xml:space="preserve">erläutern die Wirkung eines Puffersystems auf Grundlage seiner Zusammensetzung (S2, S7, S16), </w:t>
      </w:r>
      <w:r>
        <w:t>LK-SB-07</w:t>
      </w:r>
    </w:p>
    <w:p>
      <w:pPr>
        <w:pStyle w:val="ListBullet"/>
        <w:spacing w:after="100"/>
      </w:pPr>
      <w:r>
        <w:t xml:space="preserve">berechnen den pH-Wert von Puffersystemen anhand der Henderson-Hasselbalch-Gleichung (S17), </w:t>
      </w:r>
      <w:r>
        <w:t>LK-SB-08</w:t>
      </w:r>
    </w:p>
    <w:p>
      <w:pPr>
        <w:pStyle w:val="ListBullet"/>
        <w:spacing w:after="100"/>
      </w:pPr>
      <w:r>
        <w:t xml:space="preserve">erklären Fällungsreaktionen auf der Grundlage von Löslichkeitsgleichgewichten (S2, S7). </w:t>
      </w:r>
      <w:r>
        <w:t>LK-SB-13</w:t>
      </w:r>
    </w:p>
    <w:p>
      <w:pPr>
        <w:pStyle w:val="ListBullet"/>
        <w:spacing w:after="100"/>
      </w:pPr>
      <w:r>
        <w:t xml:space="preserve">weisen ausgewählte Ionensorten (Halogenid-Ionen, Ammonium-Ionen, Carbonat-Ionen) salzartiger Verbindungen qualitativ nach (E5), </w:t>
      </w:r>
      <w:r>
        <w:t>LK-SB-14</w:t>
      </w:r>
    </w:p>
    <w:p>
      <w:pPr>
        <w:pStyle w:val="ListBullet"/>
        <w:spacing w:after="100"/>
      </w:pPr>
      <w:r>
        <w:t xml:space="preserve">planen hypothesengeleitet Experimente zur Konzentrationsbestimmung von Säuren und Basen auch in Alltagsprodukten (E1, E2, E3, E4), </w:t>
      </w:r>
      <w:r>
        <w:t>LK-SB-15</w:t>
      </w:r>
    </w:p>
    <w:p>
      <w:pPr>
        <w:pStyle w:val="ListBullet"/>
        <w:spacing w:after="100"/>
      </w:pPr>
      <w:r>
        <w:t xml:space="preserve">führen das Verfahren einer Säure-Base-Titration mit Endpunktbestimmung mittels Indikator durch und werten die Ergebnisse auch unter Berücksichtigung einer Fehleranalyse aus (E5, E10, K10), </w:t>
      </w:r>
      <w:r>
        <w:t>LK-SB-16</w:t>
      </w:r>
    </w:p>
    <w:p>
      <w:pPr>
        <w:pStyle w:val="ListBullet"/>
        <w:spacing w:after="100"/>
      </w:pPr>
      <w:r>
        <w:t xml:space="preserve">werten pH-metrische Titrationen von ein- und mehrprotonigen Säuren aus und erläutern den Verlauf der Titrationskurven auch bei unvollständiger Protolyse (S9, E8, E10, K7), </w:t>
      </w:r>
      <w:r>
        <w:t>LK-SB-17</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LK-SB-20</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LK-SB-21</w:t>
      </w:r>
    </w:p>
    <w:p>
      <w:pPr>
        <w:pStyle w:val="ListBullet"/>
        <w:spacing w:after="100"/>
      </w:pPr>
      <w:r>
        <w:t xml:space="preserve">beurteilen verschiedene Säure-Base-Titrationsverfahren hinsichtlich ihrer Angemessenheit und Grenzen (B3, K8, K9). </w:t>
      </w:r>
      <w:r>
        <w:t>LK-SB-22</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 Zusätzlich Pufferberechnung, Auswertung einer mehrprotonigen Titration und Löslichkeitsgleichgewicht.</w:t>
      </w:r>
    </w:p>
    <w:p>
      <w:bookmarkStart w:id="7031" w:name="uv_LK_02"/>
      <w:pPr>
        <w:pStyle w:val="Heading2"/>
        <w:keepNext/>
        <w:spacing w:after="140"/>
      </w:pPr>
      <w:r>
        <w:t>LK.02 Thermodynamik</w:t>
      </w:r>
      <w:bookmarkEnd w:id="7031"/>
    </w:p>
    <w:p>
      <w:pPr>
        <w:spacing w:after="140"/>
      </w:pPr>
      <w:r>
        <w:t xml:space="preserve">Jahrgang Q1 · Leistungskurs · ca. 32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ListBullet"/>
        <w:spacing w:after="100"/>
      </w:pPr>
      <w:r>
        <w:t>Entropie, zweiter Hauptsatz und spontaner endothermer Lösungsvorgang.</w:t>
      </w:r>
    </w:p>
    <w:p>
      <w:pPr>
        <w:pStyle w:val="ListBullet"/>
        <w:spacing w:after="100"/>
      </w:pPr>
      <w:r>
        <w:t>Freie Enthalpie und Gibbs-Helmholtz-Gleichung; Einfluss der Temperatur. Thermodynamische Begünstigung und Reaktionsgeschwindigkeit unterscheiden.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Spontane endotherme Lösungsvorgänge als Anlass für Entropie und zweiten Hauptsatz nutzen; freie Enthalpien temperaturabhängig berechnen.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LK-SB-09</w:t>
      </w:r>
    </w:p>
    <w:p>
      <w:pPr>
        <w:pStyle w:val="ListBullet"/>
        <w:spacing w:after="100"/>
      </w:pPr>
      <w:r>
        <w:t xml:space="preserve">erklären im Zusammenhang mit der Neutralisationsreaktion den ersten Hauptsatz der Thermodynamik (Prinzip der Energieerhaltung) (S3, S10), </w:t>
      </w:r>
      <w:r>
        <w:t>LK-SB-10</w:t>
      </w:r>
    </w:p>
    <w:p>
      <w:pPr>
        <w:pStyle w:val="ListBullet"/>
        <w:spacing w:after="100"/>
      </w:pPr>
      <w:r>
        <w:t xml:space="preserve">erläutern die Neutralisationsreaktion unter Berücksichtigung der Neutralisationsenthalpie (S3, S12), </w:t>
      </w:r>
      <w:r>
        <w:t>LK-SB-11</w:t>
      </w:r>
    </w:p>
    <w:p>
      <w:pPr>
        <w:pStyle w:val="ListBullet"/>
        <w:spacing w:after="100"/>
      </w:pPr>
      <w:r>
        <w:t xml:space="preserve">erklären endotherme und exotherme Lösungsvorgänge bei Salzen unter Einbeziehung der Gitter- und Solvatationsenergie und führen den spontanen Ablauf eines endothermen Lösungsvorgangs auf die Entropieänderung zurück (S12, K8), </w:t>
      </w:r>
      <w:r>
        <w:t>LK-SB-12</w:t>
      </w:r>
    </w:p>
    <w:p>
      <w:pPr>
        <w:pStyle w:val="ListBullet"/>
        <w:spacing w:after="100"/>
      </w:pPr>
      <w:r>
        <w:t xml:space="preserve">bestimmen die Reaktionsenthalpie der Neutralisationsreaktion von starken Säuren mit starken Basen kalorimetrisch und vergleichen das Ergebnis mit Literaturdaten (E5, K1), </w:t>
      </w:r>
      <w:r>
        <w:t>LK-SB-18</w:t>
      </w:r>
    </w:p>
    <w:p>
      <w:pPr>
        <w:pStyle w:val="ListBullet"/>
        <w:spacing w:after="100"/>
      </w:pPr>
      <w:r>
        <w:t xml:space="preserve">interpretieren die Messdaten von Lösungsenthalpien verschiedener Salze unter Berücksichtigung der Entropie (S12, E8). </w:t>
      </w:r>
      <w:r>
        <w:t>LK-SB-19</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Standardreaktionsenthalpien ausgewählter Redoxreaktionen unter Anwendung des Satzes von Hess auch rechnerisch (E2, E4, E7, S16, S17, K2). </w:t>
      </w:r>
      <w:r>
        <w:t>LK-EC-19</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 Entropie und freie Enthalpie zur Erklärung der Reaktionsrichtung nutzen.</w:t>
      </w:r>
    </w:p>
    <w:p>
      <w:bookmarkStart w:id="7032" w:name="uv_LK_03"/>
      <w:pPr>
        <w:pStyle w:val="Heading2"/>
        <w:keepNext/>
        <w:spacing w:after="140"/>
      </w:pPr>
      <w:r>
        <w:t>LK.03 Elektrochemie mit galvanischer Zelle und Elektrolyse</w:t>
      </w:r>
      <w:bookmarkEnd w:id="7032"/>
    </w:p>
    <w:p>
      <w:pPr>
        <w:spacing w:after="140"/>
      </w:pPr>
      <w:r>
        <w:t xml:space="preserve">Jahrgang Q1 · Leistungskurs · ca. 50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ListBullet"/>
        <w:spacing w:after="100"/>
      </w:pPr>
      <w:r>
        <w:t>Konzentrationszellen und Nernst-Gleichung, Konzentrationsbestimmung von Metall- und Nichtmetallionen; pH-Elektrode.</w:t>
      </w:r>
    </w:p>
    <w:p>
      <w:pPr>
        <w:pStyle w:val="ListBullet"/>
        <w:spacing w:after="100"/>
      </w:pPr>
      <w:r>
        <w:t>Faraday-Gesetze, Zersetzungsspannung und Überspannung; Stoffumsatz und Leistung.</w:t>
      </w:r>
    </w:p>
    <w:p>
      <w:pPr>
        <w:pStyle w:val="ListBullet"/>
        <w:spacing w:after="100"/>
      </w:pPr>
      <w:r>
        <w:t>Redoxtitration; freie Enthalpie bei Redoxreaktionen und Gibbs-Helmholtz-Zusammenhang aus experimentellen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Konzentrationszellen vermessen, die Nernst-Gleichung datenbasiert erschließen und Ionenkonzentrationen bestimmen; die Funktionsweise der pH-Elektrode an LK.01 rückbinden.</w:t>
      </w:r>
    </w:p>
    <w:p>
      <w:pPr>
        <w:pStyle w:val="ListBullet"/>
        <w:spacing w:after="100"/>
      </w:pPr>
      <w:r>
        <w:t>Stoffumsatz bei Elektrolyse mit Ladung verknüpfen und Faraday-Gesetze erschließen; Zersetzungs- und Überspannung unterscheiden.</w:t>
      </w:r>
    </w:p>
    <w:p>
      <w:pPr>
        <w:pStyle w:val="ListBullet"/>
        <w:spacing w:after="100"/>
      </w:pPr>
      <w:r>
        <w:t>Eine Redoxtitration an einer geeigneten Probe auswerten; Leistung einer Spannungsquelle messen und Temperaturdaten thermodynamisch deuten.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LK-EC-01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LK-EC-02</w:t>
      </w:r>
    </w:p>
    <w:p>
      <w:pPr>
        <w:pStyle w:val="ListBullet"/>
        <w:spacing w:after="100"/>
      </w:pPr>
      <w:r>
        <w:t xml:space="preserve">erläutern den Aufbau und die Funktionsweise galvanischer Zellen hinsichtlich der chemischen Prozesse auch mithilfe digitaler Werkzeuge und berechnen auch unter Berücksichtigung der Nernst-Gleichung die jeweilige Zellspannung (S3, S17, E6, K11), </w:t>
      </w:r>
      <w:r>
        <w:t>LK-EC-03</w:t>
      </w:r>
    </w:p>
    <w:p>
      <w:pPr>
        <w:pStyle w:val="ListBullet"/>
        <w:spacing w:after="100"/>
      </w:pPr>
      <w:r>
        <w:t xml:space="preserve">erläutern und vergleichen den Aufbau und die Funktion ausgewählter elektrochemischer Spannungsquellen aus Alltag und Technik (Batterie, Akkumulator, Brennstoffzelle) unter Berücksichtigung der Teilreaktionen sowie möglicher Zellspannungen (S10, S12, S16, K9), </w:t>
      </w:r>
      <w:r>
        <w:t>LK-EC-04</w:t>
      </w:r>
    </w:p>
    <w:p>
      <w:pPr>
        <w:pStyle w:val="ListBullet"/>
        <w:spacing w:after="100"/>
      </w:pPr>
      <w:r>
        <w:t xml:space="preserve">erklären am Beispiel einer Brennstoffzelle die Funktion der heterogenen Katalyse unter Verwendung geeigneter Medien (S8, S12, K11), </w:t>
      </w:r>
      <w:r>
        <w:t>LK-EC-05</w:t>
      </w:r>
    </w:p>
    <w:p>
      <w:pPr>
        <w:pStyle w:val="ListBullet"/>
        <w:spacing w:after="100"/>
      </w:pPr>
      <w:r>
        <w:t xml:space="preserve">erläutern die Reaktionen einer Elektrolyse auf stofflicher und energetischer Ebene als Umkehr der Reaktionen eines galvanischen Elements (S7, S16, K10), </w:t>
      </w:r>
      <w:r>
        <w:t>LK-EC-06</w:t>
      </w:r>
    </w:p>
    <w:p>
      <w:pPr>
        <w:pStyle w:val="ListBullet"/>
        <w:spacing w:after="100"/>
      </w:pPr>
      <w:r>
        <w:t xml:space="preserve">erklären die für die Elektrolyse benötigte Zersetzungsspannung unter Berücksichtigung des Phänomens der Überspannung (S12, K8), </w:t>
      </w:r>
      <w:r>
        <w:t>LK-EC-07</w:t>
      </w:r>
    </w:p>
    <w:p>
      <w:pPr>
        <w:pStyle w:val="ListBullet"/>
        <w:spacing w:after="100"/>
      </w:pPr>
      <w:r>
        <w:t xml:space="preserve">berechnen Stoffumsätze unter Anwendung der Faraday-Gesetze (S3, S17), </w:t>
      </w:r>
      <w:r>
        <w:t>LK-EC-08</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entwickeln Hypothesen zum Auftreten von Redoxreaktionen zwischen Metallund Nichtmetallatomen sowie Ionen und überprüfen diese experimentell (E3, E4, E5, E10), </w:t>
      </w:r>
      <w:r>
        <w:t>LK-EC-11</w:t>
      </w:r>
    </w:p>
    <w:p>
      <w:pPr>
        <w:pStyle w:val="ListBullet"/>
        <w:spacing w:after="100"/>
      </w:pPr>
      <w:r>
        <w:t xml:space="preserve">wenden das Verfahren der Redoxtitration zur Ermittlung der Konzentration eines Stoffes begründet an (E5, S3, K10), </w:t>
      </w:r>
      <w:r>
        <w:t>LK-EC-12</w:t>
      </w:r>
    </w:p>
    <w:p>
      <w:pPr>
        <w:pStyle w:val="ListBullet"/>
        <w:spacing w:after="100"/>
      </w:pPr>
      <w:r>
        <w:t xml:space="preserve">ermitteln Messdaten ausgewählter galvanischer Zellen zur Einordnung in die elektrochemische Spannungsreihe (E6, E8), </w:t>
      </w:r>
      <w:r>
        <w:t>LK-EC-13</w:t>
      </w:r>
    </w:p>
    <w:p>
      <w:pPr>
        <w:pStyle w:val="ListBullet"/>
        <w:spacing w:after="100"/>
      </w:pPr>
      <w:r>
        <w:t xml:space="preserve">ermitteln die Ionenkonzentration von ausgewählten Metall- und Nichtmetallionen mithilfe der Nernst-Gleichung aus Messdaten galvanischer Zellen (E6, E8, S17, K5), </w:t>
      </w:r>
      <w:r>
        <w:t>LK-EC-14</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Leistung einer elektrochemischen Spannungsquelle an einem Beispiel (E5, E10, S17), </w:t>
      </w:r>
      <w:r>
        <w:t>LK-EC-16</w:t>
      </w:r>
    </w:p>
    <w:p>
      <w:pPr>
        <w:pStyle w:val="ListBullet"/>
        <w:spacing w:after="100"/>
      </w:pPr>
      <w:r>
        <w:t xml:space="preserve">bewerten auch unter Berücksichtigung des energetischen Wirkungsgrads fossile und elektrochemische Energiequellen (B2, B4, K3, K12), </w:t>
      </w:r>
      <w:r>
        <w:t>LK-EC-20</w:t>
      </w:r>
    </w:p>
    <w:p>
      <w:pPr>
        <w:pStyle w:val="ListBullet"/>
        <w:spacing w:after="100"/>
      </w:pPr>
      <w:r>
        <w:t xml:space="preserve">diskutieren Möglichkeiten und Grenzen bei der Umwandlung, Speicherung und Nutzung elektrischer Energie auch unter Berücksichtigung thermodynamischer Gesetzmäßigkeiten im Hinblick auf nachhaltiges Handeln (B3, B10, B13, E12, K8), </w:t>
      </w:r>
      <w:r>
        <w:t>LK-EC-21</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pStyle w:val="ListBullet"/>
        <w:spacing w:after="100"/>
      </w:pPr>
      <w:hyperlink r:id="rId12">
        <w:r>
          <w:t>Mol Mission zur Stöchiometrie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 Zusätzlich Nernst- und Faraday-Rechnung, Redoxtitration sowie datenbasierte Herleitung der thermodynamischen Zusammenhänge.</w:t>
      </w:r>
    </w:p>
    <w:p>
      <w:bookmarkStart w:id="7033" w:name="uv_LK_04"/>
      <w:pPr>
        <w:pStyle w:val="Heading2"/>
        <w:keepNext/>
        <w:spacing w:after="140"/>
      </w:pPr>
      <w:r>
        <w:t>LK.04 Korrosion von Metallen</w:t>
      </w:r>
      <w:bookmarkEnd w:id="7033"/>
    </w:p>
    <w:p>
      <w:pPr>
        <w:spacing w:after="140"/>
      </w:pPr>
      <w:r>
        <w:t xml:space="preserve">Jahrgang Q1 · Leistungskurs · ca. 12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ListBullet"/>
        <w:spacing w:after="100"/>
      </w:pPr>
      <w:r>
        <w:t>Elektrolytische Metallgewinnung; Ausbeute und Energieaufwand mit Faraday-Gesetzen.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ListBullet"/>
        <w:spacing w:after="100"/>
      </w:pPr>
      <w:r>
        <w:t>Abgeschiedene Metallmasse und Ladungsbedarf berechnen; elektrolytische Metallgewinnung ökologisch und ökonomisch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berechnen Stoffumsätze unter Anwendung der Faraday-Gesetze (S3, S17), </w:t>
      </w:r>
      <w:r>
        <w:t>LK-EC-08</w:t>
      </w:r>
    </w:p>
    <w:p>
      <w:pPr>
        <w:pStyle w:val="ListBullet"/>
        <w:spacing w:after="100"/>
      </w:pPr>
      <w:r>
        <w:t xml:space="preserve">entwickeln Hypothesen zur Bildung von Lokalelementen als Grundlage von Korrosionsvorgängen und überprüfen diese experimentell (E1, E3, E5, S15), </w:t>
      </w:r>
      <w:r>
        <w:t>LK-EC-17</w:t>
      </w:r>
    </w:p>
    <w:p>
      <w:pPr>
        <w:pStyle w:val="ListBullet"/>
        <w:spacing w:after="100"/>
      </w:pPr>
      <w:r>
        <w:t xml:space="preserve">entwickeln ausgewählte Verfahren zum Korrosionsschutz (Galvanik, Opferanode) und führen diese durch (E1, E4, E5, K13), </w:t>
      </w:r>
      <w:r>
        <w:t>LK-EC-18</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ListBullet"/>
        <w:spacing w:after="100"/>
      </w:pPr>
      <w:r>
        <w:t xml:space="preserve">beurteilen Folgen von Korrosionsvorgängen und adäquate Korrosionsschutzmaßnahmen unter ökologischen und ökonomischen Aspekten (B12, B14, E1). </w:t>
      </w:r>
      <w:r>
        <w:t>LK-EC-23</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 Eine quantitative Bilanz zur Galvanik ergänzen.</w:t>
      </w:r>
    </w:p>
    <w:p>
      <w:bookmarkStart w:id="7034" w:name="uv_LK_05"/>
      <w:pPr>
        <w:pStyle w:val="Heading2"/>
        <w:keepNext/>
        <w:spacing w:after="140"/>
      </w:pPr>
      <w:r>
        <w:t>LK.05 Organische Chemie: verschiedene Reaktionswege</w:t>
      </w:r>
      <w:bookmarkEnd w:id="7034"/>
    </w:p>
    <w:p>
      <w:pPr>
        <w:spacing w:after="140"/>
      </w:pPr>
      <w:r>
        <w:t xml:space="preserve">Jahrgang Q1/Q2 · Leistungskurs · ca. 60 Unterrichtsstunden zu 45 Minuten; davon 52 UStd in Q1 und 8 UStd in Q2.</w:t>
      </w:r>
    </w:p>
    <w:p>
      <w:pPr>
        <w:spacing w:after="140"/>
      </w:pPr>
      <w:r>
        <w:rPr>
          <w:b/>
        </w:rPr>
        <w:t xml:space="preserve">Leitfrage </w:t>
      </w:r>
      <w:r>
        <w:t>Ein Zielmolekül, mehrere Wege: Wie entscheiden wir, welche Synthese geeignet ist?</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Chiralität am asymmetrischen C-Atom; nucleophile Substitution erster und zweiter Ordnung.</w:t>
      </w:r>
    </w:p>
    <w:p>
      <w:pPr>
        <w:pStyle w:val="ListBullet"/>
        <w:spacing w:after="100"/>
      </w:pPr>
      <w:r>
        <w:t>Estersynthese, homogene Katalyse und Optimierung der Ausbeute nach Le Chatelier.</w:t>
      </w:r>
    </w:p>
    <w:p>
      <w:pPr>
        <w:pStyle w:val="ListBullet"/>
        <w:spacing w:after="100"/>
      </w:pPr>
      <w:r>
        <w:t>Mechanismus der säurekatalysierten Veresterung als Kondensationsreaktion.</w:t>
      </w:r>
    </w:p>
    <w:p>
      <w:pPr>
        <w:pStyle w:val="ListBullet"/>
        <w:spacing w:after="100"/>
      </w:pPr>
      <w:r>
        <w:t>Aromatisches System, Mesomerie und Reaktivität; elektrophile Erstsubstitution.</w:t>
      </w:r>
    </w:p>
    <w:p>
      <w:pPr>
        <w:pStyle w:val="ListBullet"/>
        <w:spacing w:after="100"/>
      </w:pPr>
      <w:r>
        <w:t>Koordinative Bindung bei Katalysatoren; technische Synthese und Katalysatorwirkung.</w:t>
      </w:r>
    </w:p>
    <w:p>
      <w:pPr>
        <w:pStyle w:val="Heading3"/>
        <w:keepNext/>
        <w:spacing w:after="140"/>
      </w:pPr>
      <w:r>
        <w:t>Lernweg und methodische Gestaltung</w:t>
      </w:r>
    </w:p>
    <w:p>
      <w:pPr>
        <w:pStyle w:val="ListBullet"/>
        <w:spacing w:after="100"/>
      </w:pPr>
      <w:r>
        <w:t>Stoffklassen, Nomenklatur, Molekülgeometrie, Konstitutions- und Stereoisomerie einschließlich Chiralität anhand geeigneter Modellprodukte untersuchen.</w:t>
      </w:r>
    </w:p>
    <w:p>
      <w:pPr>
        <w:pStyle w:val="ListBullet"/>
        <w:spacing w:after="100"/>
      </w:pPr>
      <w:r>
        <w:t>Aus Strukturen Hypothesen zum Reaktionsverhalten ableiten; radikalische Substitution, elektrophile Addition sowie SN1 und SN2 mit Bedingungen und Zwischenstufen erklären.</w:t>
      </w:r>
    </w:p>
    <w:p>
      <w:pPr>
        <w:pStyle w:val="ListBullet"/>
        <w:spacing w:after="100"/>
      </w:pPr>
      <w:r>
        <w:t>Reaktionsprodukte durch spezifische Nachweise für Doppelbindungen, Halogenid-Ionen, Carbonyl- und Carboxygruppen untersuchen; Oxidationszahlen zur Deutung organischer Redoxwege verwenden.</w:t>
      </w:r>
    </w:p>
    <w:p>
      <w:pPr>
        <w:pStyle w:val="ListBullet"/>
        <w:spacing w:after="100"/>
      </w:pPr>
      <w:r>
        <w:t>Verschiedene Synthesewege hinsichtlich Reaktionstyp, Bedingungen und geeigneter Nachweise vergleichen; Nutzen und Risiken organischer Produkte recherchieren.</w:t>
      </w:r>
    </w:p>
    <w:p>
      <w:pPr>
        <w:pStyle w:val="ListBullet"/>
        <w:spacing w:after="100"/>
      </w:pPr>
      <w:r>
        <w:t>Die in Q1 geplante Estersynthese in Q2 durchführen, mechanistisch erklären und ihre Ausbeute optimieren.</w:t>
      </w:r>
    </w:p>
    <w:p>
      <w:pPr>
        <w:pStyle w:val="ListBullet"/>
        <w:spacing w:after="100"/>
      </w:pPr>
      <w:r>
        <w:t>Benzol- und Alkenreaktivität vergleichen; Mesomerie und elektrophile Erstsubstitution erläutern.</w:t>
      </w:r>
    </w:p>
    <w:p>
      <w:pPr>
        <w:pStyle w:val="ListBullet"/>
        <w:spacing w:after="100"/>
      </w:pPr>
      <w:r>
        <w:t>Koordinative Katalysatorbindung an einem technischen Synthesebeispiel erklären; die Produktentwicklung auf geeignete Monomerbausteine beziehen.</w:t>
      </w:r>
    </w:p>
    <w:p>
      <w:pPr>
        <w:pStyle w:val="Normal"/>
        <w:jc w:val="both"/>
      </w:pPr>
      <w:r>
        <w:rPr/>
        <w:t xml:space="preserve">Molekülgeometrie, Stereoisomerie und Reaktionsmechanismen auch mit digitalen Werkzeugen darstellen und deren Grenzen prüfen. Stoffklassen, Substitutions- und Additionsmechanismen, Aromaten und koordinative Katalyse werden in Q1 gesichert. Q2 vernetzt diese Grundlagen durch Estersynthese, Ausbeuteoptimierung und Transfer auf Folgeprodukte.</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 </w:t>
      </w:r>
      <w:r>
        <w:t>LK-OC-01</w:t>
      </w:r>
    </w:p>
    <w:p>
      <w:pPr>
        <w:pStyle w:val="ListBullet"/>
        <w:spacing w:after="100"/>
      </w:pPr>
      <w:r>
        <w:t xml:space="preserve">erklären Stoffeigenschaften und Reaktionsverhalten mit dem Einfluss der jeweiligen funktionellen Gruppen unter der Berücksichtigung von inter- und intramolekularen Wechselwirkungen (S2, S13, K11), </w:t>
      </w:r>
      <w:r>
        <w:t>LK-OC-03</w:t>
      </w:r>
    </w:p>
    <w:p>
      <w:pPr>
        <w:pStyle w:val="ListBullet"/>
        <w:spacing w:after="100"/>
      </w:pPr>
      <w:r>
        <w:t xml:space="preserve">erklären Redoxreaktionen in organischen Synthesewegen unter Berücksichtigung der Oxidationszahlen (S3, S11, S16), </w:t>
      </w:r>
      <w:r>
        <w:t>LK-OC-04</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schließen mithilfe von spezifischen Nachweisen der Reaktionsprodukte (Doppelbindung zwischen Kohlenstoff-Atomen, Chlorid- und Bromid-Ionen, Carbonyl- und Carboxy-Gruppe) auf den Reaktionsverlauf und bestimmen den Reaktionstyp (E5, E7, S4, K10), </w:t>
      </w:r>
      <w:r>
        <w:t>LK-OC-11</w:t>
      </w:r>
    </w:p>
    <w:p>
      <w:pPr>
        <w:pStyle w:val="ListBullet"/>
        <w:spacing w:after="100"/>
      </w:pPr>
      <w:r>
        <w:t xml:space="preserve">entwickeln Hypothesen zum Reaktionsverhalten aus der Molekülstruktur (E3, E12, K2), </w:t>
      </w:r>
      <w:r>
        <w:t>LK-OC-12</w:t>
      </w:r>
    </w:p>
    <w:p>
      <w:pPr>
        <w:pStyle w:val="ListBullet"/>
        <w:spacing w:after="100"/>
      </w:pPr>
      <w:r>
        <w:t xml:space="preserve">recherchieren und bewerten Nutzen und Risiken ausgewählter Produkte der organischen Chemie unter selbst entwickelten Fragestellungen (B1, B11, K2, K4), </w:t>
      </w:r>
      <w:r>
        <w:t>LK-OC-17</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erklären die Estersynthese aus Alkanolen und Carbonsäuren unter Berücksichtigung der Katalyse (S4, S8, S9, K7), </w:t>
      </w:r>
      <w:r>
        <w:t>LK-OC-05</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erläutern die Planung und Durchführung einer Estersynthese in Bezug auf die Optimierung der Ausbeute auf der Grundlage des Prinzips von Le Chatelier (E4, E5, K13), </w:t>
      </w:r>
      <w:r>
        <w:t>LK-OC-13</w:t>
      </w:r>
    </w:p>
    <w:p>
      <w:pPr>
        <w:pStyle w:val="ListBullet"/>
        <w:spacing w:after="100"/>
      </w:pPr>
      <w:r>
        <w:t xml:space="preserve">erläutern ein technisches Syntheseverfahren auch unter Berücksichtigung der eingesetzten Katalysatoren (S8, S9), </w:t>
      </w:r>
      <w:r>
        <w:t>LK-MW-06</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pStyle w:val="ListBullet"/>
        <w:spacing w:after="100"/>
      </w:pPr>
      <w:hyperlink r:id="rId19">
        <w:r>
          <w:t>Nährstoff Navigator</w:t>
        </w:r>
      </w:hyperlink>
    </w:p>
    <w:p>
      <w:pPr>
        <w:pStyle w:val="ListBullet"/>
        <w:spacing w:after="100"/>
      </w:pPr>
      <w:hyperlink r:id="rId21">
        <w:r>
          <w:t>Stereochemie Trainer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Mechanismenvergleich und datenbasierte Syntheseplanung mit Isomerie, Nachweisen und Modellgrenzen; Ester-Synthesebericht mit Ausbeuteoptimierung sowie Vergleich von Addition und aromatischer Substitution.</w:t>
      </w:r>
    </w:p>
    <w:p>
      <w:bookmarkStart w:id="7035" w:name="uv_LK_06"/>
      <w:pPr>
        <w:pStyle w:val="Heading2"/>
        <w:keepNext/>
        <w:spacing w:after="140"/>
      </w:pPr>
      <w:r>
        <w:t>LK.06 Fette</w:t>
      </w:r>
      <w:bookmarkEnd w:id="7035"/>
    </w:p>
    <w:p>
      <w:pPr>
        <w:spacing w:after="140"/>
      </w:pPr>
      <w:r>
        <w:t>Jahrgang Q2 · Leistungskurs · ca. 12 Unterrichtsstunden zu 45 Minuten</w:t>
      </w:r>
    </w:p>
    <w:p>
      <w:pPr>
        <w:spacing w:after="140"/>
      </w:pPr>
      <w:r>
        <w:rPr>
          <w:b/>
        </w:rPr>
        <w:t xml:space="preserve">Leitfrage </w:t>
      </w:r>
      <w:r>
        <w:t>Warum ist Olivenöl flüssig und Butter streichfest, und was verrät das über ihre Zusammensetzung?</w:t>
      </w:r>
    </w:p>
    <w:p>
      <w:pPr>
        <w:pStyle w:val="Heading3"/>
        <w:keepNext/>
        <w:spacing w:after="140"/>
      </w:pPr>
      <w:r>
        <w:t>Inhalte und Schwerpunkte</w:t>
      </w:r>
    </w:p>
    <w:p>
      <w:pPr>
        <w:spacing w:after="140"/>
      </w:pPr>
      <w:r>
        <w:t>Reaktionswege in der organischen Chemie — Schwerpunkt Fette</w:t>
      </w:r>
    </w:p>
    <w:p>
      <w:pPr>
        <w:pStyle w:val="ListBullet"/>
        <w:spacing w:after="100"/>
      </w:pPr>
      <w:r>
        <w:t>Fette als Triester des Glycerins mit Fettsäuren; gesättigte und ungesättigte Fettsäurereste.</w:t>
      </w:r>
    </w:p>
    <w:p>
      <w:pPr>
        <w:pStyle w:val="ListBullet"/>
        <w:spacing w:after="100"/>
      </w:pPr>
      <w:r>
        <w:t>Zusammenhang von Molekülstruktur, zwischenmolekularen Wechselwirkungen und Schmelzverhalten; cis-trans-Anordnung an Fettsäureresten.</w:t>
      </w:r>
    </w:p>
    <w:p>
      <w:pPr>
        <w:pStyle w:val="ListBullet"/>
        <w:spacing w:after="100"/>
      </w:pPr>
      <w:r>
        <w:t>Experimentelle Unterscheidung gesättigter und ungesättigter Fettsäuren; Verarbeitung von Fetten und ernährungsbezogene Bewertung.</w:t>
      </w:r>
    </w:p>
    <w:p>
      <w:pPr>
        <w:pStyle w:val="Heading3"/>
        <w:keepNext/>
        <w:spacing w:after="140"/>
      </w:pPr>
      <w:r>
        <w:t>Lernweg und methodische Gestaltung</w:t>
      </w:r>
    </w:p>
    <w:p>
      <w:pPr>
        <w:pStyle w:val="ListBullet"/>
        <w:spacing w:after="100"/>
      </w:pPr>
      <w:r>
        <w:t>Molekülmodelle und Zusammensetzungsdaten ausgewählter Speisefette vergleichen; Schmelzverhalten und Konsistenz chemisch erklären.</w:t>
      </w:r>
    </w:p>
    <w:p>
      <w:pPr>
        <w:pStyle w:val="ListBullet"/>
        <w:spacing w:after="100"/>
      </w:pPr>
      <w:r>
        <w:t>Eine freigegebene Untersuchung zur Unterscheidung gesättigter und ungesättigter Fettsäuren durchführen und ihre Aussagegrenzen benennen.</w:t>
      </w:r>
    </w:p>
    <w:p>
      <w:pPr>
        <w:pStyle w:val="ListBullet"/>
        <w:spacing w:after="100"/>
      </w:pPr>
      <w:r>
        <w:t>Die Auswirkungen der Verarbeitung, etwa der Fetthärtung, auf Struktur und Eigenschaften untersuchen; eine Auswahl von Speisefetten anhand offengelegter chemischer Kriterien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den Aufbau und die Eigenschaften von gesättigten und ungesättigten Fetten (S1, S11, S13), </w:t>
      </w:r>
      <w:r>
        <w:t>LK-OC-02</w:t>
      </w:r>
    </w:p>
    <w:p>
      <w:pPr>
        <w:pStyle w:val="ListBullet"/>
        <w:spacing w:after="100"/>
      </w:pPr>
      <w:r>
        <w:t xml:space="preserve">unterscheiden experimentell zwischen gesättigten und ungesättigten Fettsäuren (E5, E11), </w:t>
      </w:r>
      <w:r>
        <w:t>LK-OC-14</w:t>
      </w:r>
    </w:p>
    <w:p>
      <w:pPr>
        <w:pStyle w:val="ListBullet"/>
        <w:spacing w:after="100"/>
      </w:pPr>
      <w:r>
        <w:t xml:space="preserve">beurteilen die Qualität von Fetten hinsichtlich ihrer Zusammensetzung und Verarbeitung im Bereich der Lebensmitteltechnik und der eigenen Ernährung (B7, B8, K8), </w:t>
      </w:r>
      <w:r>
        <w:t>LK-OC-19</w:t>
      </w:r>
    </w:p>
    <w:p>
      <w:pPr>
        <w:pStyle w:val="Heading3"/>
        <w:keepNext/>
        <w:spacing w:after="140"/>
      </w:pPr>
      <w:r>
        <w:t>Übergreifende Lernleistungen</w:t>
      </w:r>
    </w:p>
    <w:p>
      <w:pPr>
        <w:pStyle w:val="ListBullet"/>
        <w:spacing w:after="100"/>
      </w:pPr>
      <w:r>
        <w:t xml:space="preserve">Fetteigenschaften mit Modellen intra- und intermolekularer Wechselwirkungen erklären. </w:t>
      </w:r>
      <w:r>
        <w:t>Q-S13</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9">
        <w:r>
          <w:t>Nährstoff Navigator</w:t>
        </w:r>
      </w:hyperlink>
    </w:p>
    <w:p>
      <w:pPr>
        <w:pStyle w:val="ListBullet"/>
        <w:spacing w:after="100"/>
      </w:pPr>
      <w:hyperlink r:id="rId21">
        <w:r>
          <w:t>Stereochemie Trainer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Untersuchungsbericht zu Speisefetten mit Struktur-Eigenschafts-Erklärung und begründeter Bewertung ihrer Zusammensetzung und Verarbeitung. Die allgemeine Veresterung und ihre Ausbeuteoptimierung werden in LK.05 erarbeitet, nicht als eigener Schwerpunkt dieses Vorhabens.</w:t>
      </w:r>
    </w:p>
    <w:p>
      <w:bookmarkStart w:id="7036" w:name="uv_LK_07"/>
      <w:pPr>
        <w:pStyle w:val="Heading2"/>
        <w:keepNext/>
        <w:spacing w:after="140"/>
      </w:pPr>
      <w:r>
        <w:t>LK.07 Kunststoffe und funktionale Werkstoffe</w:t>
      </w:r>
      <w:bookmarkEnd w:id="7036"/>
    </w:p>
    <w:p>
      <w:pPr>
        <w:spacing w:after="140"/>
      </w:pPr>
      <w:r>
        <w:t xml:space="preserve">Jahrgang Q2 · Leistungskurs · ca. 59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ListBullet"/>
        <w:spacing w:after="100"/>
      </w:pPr>
      <w:r>
        <w:t>Mechanismus der radikalischen Polymerisation; technische Syntheseverfahren und eingesetzte Katalysatoren.</w:t>
      </w:r>
    </w:p>
    <w:p>
      <w:pPr>
        <w:pStyle w:val="ListBullet"/>
        <w:spacing w:after="100"/>
      </w:pPr>
      <w:r>
        <w:t>Verschiedenartige Monomere und ihre Wechselwirkungen; Atom- und Energieeffizienz, Abfall- und Risikovermeidung, erneuerbare Ressourcen.</w:t>
      </w:r>
    </w:p>
    <w:p>
      <w:pPr>
        <w:pStyle w:val="ListBullet"/>
        <w:spacing w:after="100"/>
      </w:pPr>
      <w:r>
        <w:t>Nanomaterialien, Nanostrukturen, Größenordnung und Reaktivität; experimentelle Untersuchung einer Oberflächeneigenschaft und Bewertung eines Nanoprodukts.</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LD-PE und HD-PE einschließlich Herstellung und Katalyse vergleichen; die Schritte der radikalischen Polymerisation erläutern.</w:t>
      </w:r>
    </w:p>
    <w:p>
      <w:pPr>
        <w:pStyle w:val="ListBullet"/>
        <w:spacing w:after="100"/>
      </w:pPr>
      <w:r>
        <w:t>Nanostrukturierte Oberflächen experimentell untersuchen; Größenordnung, Oberfläche und Reaktivität modellieren. Chancen und Risiken eines konkreten Nanoprodukts aus unterschiedlich interessengeleiteten Quellen abwägen.</w:t>
      </w:r>
    </w:p>
    <w:p>
      <w:pPr>
        <w:pStyle w:val="ListBullet"/>
        <w:spacing w:after="100"/>
      </w:pPr>
      <w:r>
        <w:t>Ein technisches Kunststoff-Syntheseverfahren anhand von Atom- und Energieeffizienz sowie Abfall- und Risikovermeidung beurteilen.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der molekularen Strukturen (Kettenlänge, Vernetzungsgrad, Anzahl und Wechselwirkung verschiedenartiger Monomere) (S11, S13), </w:t>
      </w:r>
      <w:r>
        <w:t>LK-MW-01</w:t>
      </w:r>
    </w:p>
    <w:p>
      <w:pPr>
        <w:pStyle w:val="ListBullet"/>
        <w:spacing w:after="100"/>
      </w:pPr>
      <w:r>
        <w:t xml:space="preserve">klassifizieren Kunststoffe anhand ihrer Eigenschaften begründet nach Thermoplasten, Duroplasten und Elastomeren (S1, S2), </w:t>
      </w:r>
      <w:r>
        <w:t>LK-MW-02</w:t>
      </w:r>
    </w:p>
    <w:p>
      <w:pPr>
        <w:pStyle w:val="ListBullet"/>
        <w:spacing w:after="100"/>
      </w:pPr>
      <w:r>
        <w:t xml:space="preserve">erläutern die Verknüpfung von Monomermolekülen zu Makromolekülen mithilfe von Reaktionsgleichungen an einem Beispiel (S4, S12, S16), </w:t>
      </w:r>
      <w:r>
        <w:t>LK-MW-03</w:t>
      </w:r>
    </w:p>
    <w:p>
      <w:pPr>
        <w:pStyle w:val="ListBullet"/>
        <w:spacing w:after="100"/>
      </w:pPr>
      <w:r>
        <w:t xml:space="preserve">erläutern die Reaktionsschritte einer radikalischen Polymerisation (S4, S14, S16), </w:t>
      </w:r>
      <w:r>
        <w:t>LK-MW-04</w:t>
      </w:r>
    </w:p>
    <w:p>
      <w:pPr>
        <w:pStyle w:val="ListBullet"/>
        <w:spacing w:after="100"/>
      </w:pPr>
      <w:r>
        <w:t xml:space="preserve">beschreiben den Weg eines Anwendungsproduktes von der Rohstoffgewinnung über die Produktion bis zur Verwertung (S5, S10, K1, K2), </w:t>
      </w:r>
      <w:r>
        <w:t>LK-MW-05</w:t>
      </w:r>
    </w:p>
    <w:p>
      <w:pPr>
        <w:pStyle w:val="ListBullet"/>
        <w:spacing w:after="100"/>
      </w:pPr>
      <w:r>
        <w:t xml:space="preserve">erläutern ein technisches Syntheseverfahren auch unter Berücksichtigung der eingesetzten Katalysatoren (S8, S9), </w:t>
      </w:r>
      <w:r>
        <w:t>LK-MW-06</w:t>
      </w:r>
    </w:p>
    <w:p>
      <w:pPr>
        <w:pStyle w:val="ListBullet"/>
        <w:spacing w:after="100"/>
      </w:pPr>
      <w:r>
        <w:t xml:space="preserve">beschreiben Merkmale von Nanomaterialien am Beispiel von Alltagsprodukten (S1, S9). </w:t>
      </w:r>
      <w:r>
        <w:t>LK-MW-07</w:t>
      </w:r>
    </w:p>
    <w:p>
      <w:pPr>
        <w:pStyle w:val="ListBullet"/>
        <w:spacing w:after="100"/>
      </w:pPr>
      <w:r>
        <w:t xml:space="preserve">führen eigenständig geplante Experimente zur Untersuchung von Eigenschaften organischer Werkstoffe durch und werten diese aus (E4, E5), </w:t>
      </w:r>
      <w:r>
        <w:t>LK-MW-08</w:t>
      </w:r>
    </w:p>
    <w:p>
      <w:pPr>
        <w:pStyle w:val="ListBullet"/>
        <w:spacing w:after="100"/>
      </w:pPr>
      <w:r>
        <w:t xml:space="preserve">planen zielgerichtet anhand der Eigenschaften verschiedener Kunststoffe Experimente zur Trennung und Verwertung von Verpackungsabfällen (E4, S2), </w:t>
      </w:r>
      <w:r>
        <w:t>LK-MW-09</w:t>
      </w:r>
    </w:p>
    <w:p>
      <w:pPr>
        <w:pStyle w:val="ListBullet"/>
        <w:spacing w:after="100"/>
      </w:pPr>
      <w:r>
        <w:t xml:space="preserve">erläutern ermittelte Stoffeigenschaften am Beispiel eines Funktionspolymers mit geeigneten Modellen (E1, E5, E7, S13), </w:t>
      </w:r>
      <w:r>
        <w:t>LK-MW-10</w:t>
      </w:r>
    </w:p>
    <w:p>
      <w:pPr>
        <w:pStyle w:val="ListBullet"/>
        <w:spacing w:after="100"/>
      </w:pPr>
      <w:r>
        <w:t xml:space="preserve">veranschaulichen die Größenordnung und Reaktivität von Nanopartikeln (E7, E8), </w:t>
      </w:r>
      <w:r>
        <w:t>LK-MW-11</w:t>
      </w:r>
    </w:p>
    <w:p>
      <w:pPr>
        <w:pStyle w:val="ListBullet"/>
        <w:spacing w:after="100"/>
      </w:pPr>
      <w:r>
        <w:t xml:space="preserve">erklären eine experimentell ermittelte Oberflächeneigenschaft eines ausgewählten Nanoprodukts anhand der Nanostruktur (E5, S11). </w:t>
      </w:r>
      <w:r>
        <w:t>LK-MW-12</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LK-MW-13</w:t>
      </w:r>
    </w:p>
    <w:p>
      <w:pPr>
        <w:pStyle w:val="ListBullet"/>
        <w:spacing w:after="100"/>
      </w:pPr>
      <w:r>
        <w:t xml:space="preserve">vergleichen anhand von Bewertungskriterien Produkte aus unterschiedlichen Kunststoffen und leiten daraus Handlungsoptionen für die alltägliche Nutzung ab (B5, B14, K2, K8, K13), </w:t>
      </w:r>
      <w:r>
        <w:t>LK-MW-14</w:t>
      </w:r>
    </w:p>
    <w:p>
      <w:pPr>
        <w:pStyle w:val="ListBullet"/>
        <w:spacing w:after="100"/>
      </w:pPr>
      <w:r>
        <w:t xml:space="preserve">bewerten stoffliche und energetische Verfahren der Kunststoffverwertung unter Berücksichtigung ausgewählter Nachhaltigkeitsziele (B6, B13, S3, K5, K8), </w:t>
      </w:r>
      <w:r>
        <w:t>LK-MW-15</w:t>
      </w:r>
    </w:p>
    <w:p>
      <w:pPr>
        <w:pStyle w:val="ListBullet"/>
        <w:spacing w:after="100"/>
      </w:pPr>
      <w:r>
        <w:t xml:space="preserve">beurteilen die Bedeutung der Reaktionsbedingungen für die Synthese eines Kunststoffs im Hinblick auf Atom- und Energieeffizienz, Abfall- und Risikovermeidung sowie erneuerbare Ressourcen (B1, B10), </w:t>
      </w:r>
      <w:r>
        <w:t>LK-MW-16</w:t>
      </w:r>
    </w:p>
    <w:p>
      <w:pPr>
        <w:pStyle w:val="ListBullet"/>
        <w:spacing w:after="100"/>
      </w:pPr>
      <w:r>
        <w:t xml:space="preserve">recherchieren in verschiedenen Quellen die Chancen und Risiken von Nanomaterialien am Beispiel eines Alltagsproduktes und bewerten diese unter Berücksichtigung der Intention der Autoren (B2, B4, B13, K2, K4). </w:t>
      </w:r>
      <w:r>
        <w:t>LK-MW-17</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 Nanooberflächen und Nachhaltigkeit des technischen Syntheseverfahrens ausdrücklich nachweisen.</w:t>
      </w:r>
    </w:p>
    <w:p>
      <w:bookmarkStart w:id="7037" w:name="uv_LK_08"/>
      <w:pPr>
        <w:pStyle w:val="Heading2"/>
        <w:keepNext/>
        <w:spacing w:after="140"/>
      </w:pPr>
      <w:r>
        <w:t>LK.08 Farbstoffe</w:t>
      </w:r>
      <w:bookmarkEnd w:id="7037"/>
    </w:p>
    <w:p>
      <w:pPr>
        <w:spacing w:after="140"/>
      </w:pPr>
      <w:r>
        <w:t>Jahrgang Q2 · Leistungskurs · ca. 24 Unterrichtsstunden zu 45 Minuten</w:t>
      </w:r>
    </w:p>
    <w:p>
      <w:pPr>
        <w:spacing w:after="140"/>
      </w:pPr>
      <w:r>
        <w:rPr>
          <w:b/>
        </w:rPr>
        <w:t xml:space="preserve">Leitfrage </w:t>
      </w:r>
      <w:r>
        <w:t>Warum wird ein Molekül durch wenige zusätzliche Atome zum Farbstoff, und warum hält nicht jede Farbe auf jedem Stoff?</w:t>
      </w:r>
    </w:p>
    <w:p>
      <w:pPr>
        <w:pStyle w:val="Heading3"/>
        <w:keepNext/>
        <w:spacing w:after="140"/>
      </w:pPr>
      <w:r>
        <w:t>Inhalte und Schwerpunkte</w:t>
      </w:r>
    </w:p>
    <w:p>
      <w:pPr>
        <w:spacing w:after="140"/>
      </w:pPr>
      <w:r>
        <w:t>Reaktionswege in der organischen Chemie — Farbstoffe und Analytik</w:t>
      </w:r>
    </w:p>
    <w:p>
      <w:pPr>
        <w:pStyle w:val="ListBullet"/>
        <w:spacing w:after="100"/>
      </w:pPr>
      <w:r>
        <w:t>Farbstoffklassen nach Struktur und Verwendung; Lichtabsorption und Molekülstruktur.</w:t>
      </w:r>
    </w:p>
    <w:p>
      <w:pPr>
        <w:pStyle w:val="ListBullet"/>
        <w:spacing w:after="100"/>
      </w:pPr>
      <w:r>
        <w:t>Konjugierte Doppelbindungen, Delokalisation, mesomere Grenzstrukturen und Donator-Akzeptor-Gruppen.</w:t>
      </w:r>
    </w:p>
    <w:p>
      <w:pPr>
        <w:pStyle w:val="ListBullet"/>
        <w:spacing w:after="100"/>
      </w:pPr>
      <w:r>
        <w:t>Chromatografie und Retentionsfaktoren; Absorptionsspektren.</w:t>
      </w:r>
    </w:p>
    <w:p>
      <w:pPr>
        <w:pStyle w:val="ListBullet"/>
        <w:spacing w:after="100"/>
      </w:pPr>
      <w:r>
        <w:t>Anwendung der elektrophilen aromatischen Erstsubstitution und koordinativen Katalyse; Wechselwirkungen beim Färben.</w:t>
      </w:r>
    </w:p>
    <w:p>
      <w:pPr>
        <w:pStyle w:val="ListBullet"/>
        <w:spacing w:after="100"/>
      </w:pPr>
      <w:r>
        <w:t>Chemische, ökologische und ökonomische Bewertung des Farbstoffeinsatzes.</w:t>
      </w:r>
    </w:p>
    <w:p>
      <w:pPr>
        <w:pStyle w:val="Heading3"/>
        <w:keepNext/>
        <w:spacing w:after="140"/>
      </w:pPr>
      <w:r>
        <w:t>Lernweg und methodische Gestaltung</w:t>
      </w:r>
    </w:p>
    <w:p>
      <w:pPr>
        <w:pStyle w:val="ListBullet"/>
        <w:spacing w:after="100"/>
      </w:pPr>
      <w:r>
        <w:t>Farbstoffe aus Alltagsprodukten chromatografisch trennen, Retentionsfaktoren bestimmen und die Bestandteile anhand von Referenzen interpretieren.</w:t>
      </w:r>
    </w:p>
    <w:p>
      <w:pPr>
        <w:pStyle w:val="ListBullet"/>
        <w:spacing w:after="100"/>
      </w:pPr>
      <w:r>
        <w:t>Absorptionsspektren auswerten und Farbigkeit durch Molekülstruktur und Mesomerie erklären.</w:t>
      </w:r>
    </w:p>
    <w:p>
      <w:pPr>
        <w:pStyle w:val="ListBullet"/>
        <w:spacing w:after="100"/>
      </w:pPr>
      <w:r>
        <w:t>Einen geeigneten Farbstoff-Syntheseweg mechanistisch deuten; dabei die in LK.05 erarbeiteten aromatischen Reaktionen und Katalysatormodelle anwenden.</w:t>
      </w:r>
    </w:p>
    <w:p>
      <w:pPr>
        <w:pStyle w:val="ListBullet"/>
        <w:spacing w:after="100"/>
      </w:pPr>
      <w:r>
        <w:t>Farbstoffe nach Verwendung und Struktur ordnen; Produkte hinsichtlich Funktion, Entsorgung und Kosten vergleichen und Modellgrenzen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klassifizieren Farbstoffe sowohl auf Grundlage struktureller Merkmale als auch nach ihrer Verwendung (S10, S11, K8), </w:t>
      </w:r>
      <w:r>
        <w:t>LK-OC-09</w:t>
      </w:r>
    </w:p>
    <w:p>
      <w:pPr>
        <w:pStyle w:val="ListBullet"/>
        <w:spacing w:after="100"/>
      </w:pPr>
      <w:r>
        <w:t xml:space="preserve">erläutern die Farbigkeit ausgewählter Stoffe durch Lichtabsorption auch unter Berücksichtigung der Molekülstruktur mithilfe des Mesomeriemodells (mesomere Grenzstrukturen, Delokalisation von Elektronen, Donator-Akzeptor-Gruppen) (S2, E7, K10). </w:t>
      </w:r>
      <w:r>
        <w:t>LK-OC-10</w:t>
      </w:r>
    </w:p>
    <w:p>
      <w:pPr>
        <w:pStyle w:val="ListBullet"/>
        <w:spacing w:after="100"/>
      </w:pPr>
      <w:r>
        <w:t xml:space="preserve">trennen mithilfe eines chromatografischen Verfahrens Stoffgemische und analysieren ihre Bestandteile durch Interpretation der Retentionsfaktoren (E4, E5), </w:t>
      </w:r>
      <w:r>
        <w:t>LK-OC-15</w:t>
      </w:r>
    </w:p>
    <w:p>
      <w:pPr>
        <w:pStyle w:val="ListBullet"/>
        <w:spacing w:after="100"/>
      </w:pPr>
      <w:r>
        <w:t xml:space="preserve">interpretieren Absorptionsspektren ausgewählter Farbstofflösungen (E8, K2, B1). </w:t>
      </w:r>
      <w:r>
        <w:t>LK-OC-16</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bewerten den Einsatz verschiedener Farbstoffe in Alltagsprodukten aus chemischer, ökologischer und ökonomischer Sicht (B9, B13, S13). </w:t>
      </w:r>
      <w:r>
        <w:t>LK-OC-20</w:t>
      </w:r>
    </w:p>
    <w:p>
      <w:pPr>
        <w:pStyle w:val="Heading3"/>
        <w:keepNext/>
        <w:spacing w:after="140"/>
      </w:pPr>
      <w:r>
        <w:t>Digitale Lernmaterialien</w:t>
      </w:r>
    </w:p>
    <w:p>
      <w:pPr>
        <w:pStyle w:val="ListBullet"/>
        <w:spacing w:after="100"/>
      </w:pPr>
      <w:hyperlink r:id="rId22">
        <w:r>
          <w:t>Pi Labor zur Aromatizität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Chromatografie-Auswertung, Spektreninterpretation, mechanistische Syntheseerklärung und begründete Bewertung einer Färbeanwendung.</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pStyle w:val="Normal"/>
        <w:jc w:val="both"/>
      </w:pPr>
      <w:r>
        <w:rPr/>
        <w:t xml:space="preserve">Die verbindlichen Lerngelegenheiten, Kennungen und Quellen werden im eigenen </w:t>
      </w:r>
      <w:hyperlink r:id="rIdAudit113">
        <w:r>
          <w:rPr>
            <w:rStyle w:val="Hyperlink"/>
          </w:rPr>
          <w:t xml:space="preserve">Kapitel 9 Medienkompetenz und Verbraucherbildung</w:t>
        </w:r>
      </w:hyperlink>
      <w:r>
        <w:rPr/>
        <w:t xml:space="preserve"> zusammengeführt. Die Durchführung erfolgt innerhalb der dort genannten Vorhaben.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pPr>
        <w:pStyle w:val="Heading1"/>
        <w:keepNext/>
        <w:pageBreakBefore/>
      </w:pPr>
      <w:bookmarkStart w:id="60001" w:name="medien_verbraucherbildung"/>
      <w:bookmarkEnd w:id="60001"/>
      <w:r>
        <w:rPr/>
        <w:t xml:space="preserve">9 Medienkompetenz und Verbraucherbildung</w:t>
      </w:r>
    </w:p>
    <w:p>
      <w:pPr>
        <w:pStyle w:val="Normal"/>
        <w:jc w:val="both"/>
      </w:pPr>
      <w:r>
        <w:rPr/>
        <w:t xml:space="preserve">Medienkompetenz und Verbraucherbildung werden an chemischen Fragestellungen entwickelt und durch konkrete Lernprodukte sichtbar. Grundlage sind der </w:t>
      </w:r>
      <w:hyperlink r:id="rIdAudit114">
        <w:r>
          <w:rPr>
            <w:rStyle w:val="Hyperlink"/>
          </w:rPr>
          <w:t xml:space="preserve">Medienkompetenzrahmen NRW</w:t>
        </w:r>
      </w:hyperlink>
      <w:r>
        <w:rPr/>
        <w:t xml:space="preserve"> und die </w:t>
      </w:r>
      <w:hyperlink r:id="rIdAudit115">
        <w:r>
          <w:rPr>
            <w:rStyle w:val="Hyperlink"/>
          </w:rPr>
          <w:t xml:space="preserve">Rahmenvorgabe Verbraucherbildung</w:t>
        </w:r>
      </w:hyperlink>
      <w:r>
        <w:rPr/>
        <w:t xml:space="preserve">. Die amtlichen Synopsen für </w:t>
      </w:r>
      <w:hyperlink r:id="rIdAudit116">
        <w:r>
          <w:rPr>
            <w:rStyle w:val="Hyperlink"/>
          </w:rPr>
          <w:t xml:space="preserve">MKR in Sek I</w:t>
        </w:r>
      </w:hyperlink>
      <w:r>
        <w:rPr/>
        <w:t xml:space="preserve">, </w:t>
      </w:r>
      <w:hyperlink r:id="rIdAudit117">
        <w:r>
          <w:rPr>
            <w:rStyle w:val="Hyperlink"/>
          </w:rPr>
          <w:t xml:space="preserve">MKR in der Oberstufe</w:t>
        </w:r>
      </w:hyperlink>
      <w:r>
        <w:rPr/>
        <w:t xml:space="preserve">, </w:t>
      </w:r>
      <w:hyperlink r:id="rIdAudit118">
        <w:r>
          <w:rPr>
            <w:rStyle w:val="Hyperlink"/>
          </w:rPr>
          <w:t xml:space="preserve">Verbraucherbildung in Sek I</w:t>
        </w:r>
      </w:hyperlink>
      <w:r>
        <w:rPr/>
        <w:t xml:space="preserve"> und </w:t>
      </w:r>
      <w:hyperlink r:id="rIdAudit119">
        <w:r>
          <w:rPr>
            <w:rStyle w:val="Hyperlink"/>
          </w:rPr>
          <w:t xml:space="preserve">Verbraucherbildung in der Oberstufe</w:t>
        </w:r>
      </w:hyperlink>
      <w:r>
        <w:rPr/>
        <w:t xml:space="preserve"> konkretisieren den Fachbeitrag. Die folgenden Zuordnungen verbinden diese Vorgaben mit den Unterrichtsvorhaben der Arbeitskopie. Sie stehen für den Beitrag des Faches Chemie innerhalb des schulischen Gesamtkonzepts.</w:t>
      </w:r>
    </w:p>
    <w:p>
      <w:pPr>
        <w:pStyle w:val="Heading2"/>
        <w:keepNext/>
      </w:pPr>
      <w:bookmarkStart w:id="60002" w:name="medienkompetenz"/>
      <w:bookmarkEnd w:id="60002"/>
      <w:r>
        <w:rPr/>
        <w:t xml:space="preserve">9.1 Medienkompetenz: Werkzeuge, Quellen und Kommunikation</w:t>
      </w:r>
    </w:p>
    <w:p>
      <w:pPr>
        <w:pStyle w:val="Normal"/>
        <w:jc w:val="both"/>
      </w:pPr>
      <w:r>
        <w:rPr/>
        <w:t xml:space="preserve">Die Progression führt vom angeleiteten Entnehmen und Dokumentieren von Informationen über eigenständige Modellierung und Quellenprüfung bis zur kritischen Beurteilung interessengeleiteter Darstellungen. Digitale Werkzeuge dienen einem benennbaren fachlichen Zweck. Messdaten werden von den Lernenden nachvollziehbar ausgewertet; automatisierte Ergebnisse ersetzen nicht ihre chemische Erklärung. KI-Nutzung wird ergänzend in den Kapiteln 2.5 und 18 behandelt.</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Vorhaben</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MKR-Bezug</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Verbindliche Lernhandlung</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0">
              <w:r>
                <w:rPr>
                  <w:sz w:val="18"/>
                  <w:rFonts w:ascii="Inter"/>
                  <w:rStyle w:val="Hyperlink"/>
                </w:rPr>
                <w:t xml:space="preserve">07.4</w:t>
              </w:r>
            </w:hyperlink>
          </w:p>
        </w:tc>
        <w:tc>
          <w:tcPr>
            <w:tcW w:w="2600" w:type="dxa"/>
            <w:shd w:fill="FFFFFF"/>
            <w:tcMar>
              <w:top w:w="60" w:type="dxa"/>
              <w:bottom w:w="60" w:type="dxa"/>
              <w:left w:w="95" w:type="dxa"/>
              <w:right w:w="95" w:type="dxa"/>
            </w:tcMar>
          </w:tcPr>
          <w:p>
            <w:pPr>
              <w:jc w:val="left"/>
              <w:spacing w:after="0" w:line="240" w:lineRule="auto"/>
            </w:pPr>
            <w:hyperlink r:id="rIdAudit121">
              <w:r>
                <w:rPr>
                  <w:sz w:val="18"/>
                  <w:rFonts w:ascii="Inter"/>
                  <w:rStyle w:val="Hyperlink"/>
                </w:rPr>
                <w:t xml:space="preserve">MKR 2.1 Informationsrecherche; 2.2 Informationsauswertung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Informationen zu Luftbestandteilen aus Fachtext und digitalen Quellen entnehmen, Kernaussagen wiedergeben und die Quelle notieren.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22">
              <w:r>
                <w:rPr>
                  <w:sz w:val="18"/>
                  <w:rFonts w:ascii="Inter"/>
                  <w:rStyle w:val="Hyperlink"/>
                </w:rPr>
                <w:t xml:space="preserve">09.2</w:t>
              </w:r>
            </w:hyperlink>
          </w:p>
        </w:tc>
        <w:tc>
          <w:tcPr>
            <w:tcW w:w="2600" w:type="dxa"/>
            <w:shd w:fill="F5F8F9"/>
            <w:tcMar>
              <w:top w:w="60" w:type="dxa"/>
              <w:bottom w:w="60" w:type="dxa"/>
              <w:left w:w="95" w:type="dxa"/>
              <w:right w:w="95" w:type="dxa"/>
            </w:tcMar>
          </w:tcPr>
          <w:p>
            <w:pPr>
              <w:jc w:val="left"/>
              <w:spacing w:after="0" w:line="240" w:lineRule="auto"/>
            </w:pPr>
            <w:hyperlink r:id="rIdAudit123">
              <w:r>
                <w:rPr>
                  <w:sz w:val="18"/>
                  <w:rFonts w:ascii="Inter"/>
                  <w:rStyle w:val="Hyperlink"/>
                </w:rPr>
                <w:t xml:space="preserve">MKR 1.2 Digitale Werkzeuge</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Elektronenübertragungen zwischen Metallatomen und Metallionen durch eine digitale Animation und Teilgleichungen erläutern.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4">
              <w:r>
                <w:rPr>
                  <w:sz w:val="18"/>
                  <w:rFonts w:ascii="Inter"/>
                  <w:rStyle w:val="Hyperlink"/>
                </w:rPr>
                <w:t xml:space="preserve">09.3</w:t>
              </w:r>
            </w:hyperlink>
          </w:p>
        </w:tc>
        <w:tc>
          <w:tcPr>
            <w:tcW w:w="2600" w:type="dxa"/>
            <w:shd w:fill="FFFFFF"/>
            <w:tcMar>
              <w:top w:w="60" w:type="dxa"/>
              <w:bottom w:w="60" w:type="dxa"/>
              <w:left w:w="95" w:type="dxa"/>
              <w:right w:w="95" w:type="dxa"/>
            </w:tcMar>
          </w:tcPr>
          <w:p>
            <w:pPr>
              <w:jc w:val="left"/>
              <w:spacing w:after="0" w:line="240" w:lineRule="auto"/>
            </w:pPr>
            <w:hyperlink r:id="rIdAudit125">
              <w:r>
                <w:rPr>
                  <w:sz w:val="18"/>
                  <w:rFonts w:ascii="Inter"/>
                  <w:rStyle w:val="Hyperlink"/>
                </w:rPr>
                <w:t xml:space="preserve">MKR 1.2 Digitale Werkzeuge; 4.2 Gestaltungsmittel</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Lewis-Formel und räumliche Molekülmodelle mit Software vergleichen; die Aussagegrenzen erklären.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26">
              <w:r>
                <w:rPr>
                  <w:sz w:val="18"/>
                  <w:rFonts w:ascii="Inter"/>
                  <w:rStyle w:val="Hyperlink"/>
                </w:rPr>
                <w:t xml:space="preserve">10.1</w:t>
              </w:r>
            </w:hyperlink>
          </w:p>
        </w:tc>
        <w:tc>
          <w:tcPr>
            <w:tcW w:w="2600" w:type="dxa"/>
            <w:shd w:fill="F5F8F9"/>
            <w:tcMar>
              <w:top w:w="60" w:type="dxa"/>
              <w:bottom w:w="60" w:type="dxa"/>
              <w:left w:w="95" w:type="dxa"/>
              <w:right w:w="95" w:type="dxa"/>
            </w:tcMar>
          </w:tcPr>
          <w:p>
            <w:pPr>
              <w:jc w:val="left"/>
              <w:spacing w:after="0" w:line="240" w:lineRule="auto"/>
            </w:pPr>
            <w:hyperlink r:id="rIdAudit127">
              <w:r>
                <w:rPr>
                  <w:sz w:val="18"/>
                  <w:rFonts w:ascii="Inter"/>
                  <w:rStyle w:val="Hyperlink"/>
                </w:rPr>
                <w:t xml:space="preserve">MKR 2.3 Informationsbewertung; 4.1 Medienproduktion und Präsentation; 4.2 Gestaltungsmittel</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Neutralisation als digitale Präsentation erklären und Medienaussagen über saure, alkalische und neutrale Lösungen prüfen.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8">
              <w:r>
                <w:rPr>
                  <w:sz w:val="18"/>
                  <w:rFonts w:ascii="Inter"/>
                  <w:rStyle w:val="Hyperlink"/>
                </w:rPr>
                <w:t xml:space="preserve">10.2</w:t>
              </w:r>
            </w:hyperlink>
          </w:p>
        </w:tc>
        <w:tc>
          <w:tcPr>
            <w:tcW w:w="2600" w:type="dxa"/>
            <w:shd w:fill="FFFFFF"/>
            <w:tcMar>
              <w:top w:w="60" w:type="dxa"/>
              <w:bottom w:w="60" w:type="dxa"/>
              <w:left w:w="95" w:type="dxa"/>
              <w:right w:w="95" w:type="dxa"/>
            </w:tcMar>
          </w:tcPr>
          <w:p>
            <w:pPr>
              <w:jc w:val="left"/>
              <w:spacing w:after="0" w:line="240" w:lineRule="auto"/>
            </w:pPr>
            <w:hyperlink r:id="rIdAudit129">
              <w:r>
                <w:rPr>
                  <w:sz w:val="18"/>
                  <w:rFonts w:ascii="Inter"/>
                  <w:rStyle w:val="Hyperlink"/>
                </w:rPr>
                <w:t xml:space="preserve">MKR 1.2 Digitale Werkzeuge</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Räumliche Kohlenwasserstoffmodelle erstellen und zur Erklärung von Struktur und Eigenschaften nutzen.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30">
              <w:r>
                <w:rPr>
                  <w:sz w:val="18"/>
                  <w:rFonts w:ascii="Inter"/>
                  <w:rStyle w:val="Hyperlink"/>
                </w:rPr>
                <w:t xml:space="preserve">10.4</w:t>
              </w:r>
            </w:hyperlink>
          </w:p>
        </w:tc>
        <w:tc>
          <w:tcPr>
            <w:tcW w:w="2600" w:type="dxa"/>
            <w:shd w:fill="F5F8F9"/>
            <w:tcMar>
              <w:top w:w="60" w:type="dxa"/>
              <w:bottom w:w="60" w:type="dxa"/>
              <w:left w:w="95" w:type="dxa"/>
              <w:right w:w="95" w:type="dxa"/>
            </w:tcMar>
          </w:tcPr>
          <w:p>
            <w:pPr>
              <w:jc w:val="left"/>
              <w:spacing w:after="0" w:line="240" w:lineRule="auto"/>
            </w:pPr>
            <w:hyperlink r:id="rIdAudit131">
              <w:r>
                <w:rPr>
                  <w:sz w:val="18"/>
                  <w:rFonts w:ascii="Inter"/>
                  <w:rStyle w:val="Hyperlink"/>
                </w:rPr>
                <w:t xml:space="preserve">MKR 2.2 Informationsauswertung; 4.3 Quellendokumentation</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Digitale Informationen zur Industrierohstoffgewinnung aus Gasen auswerten und Bewertungskriterien samt Quellen offenlegen.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32">
              <w:r>
                <w:rPr>
                  <w:sz w:val="18"/>
                  <w:rFonts w:ascii="Inter"/>
                  <w:rStyle w:val="Hyperlink"/>
                </w:rPr>
                <w:t xml:space="preserve">EF.01</w:t>
              </w:r>
            </w:hyperlink>
            <w:r>
              <w:rPr>
                <w:sz w:val="18"/>
                <w:rFonts w:ascii="Inter"/>
              </w:rPr>
              <w:t xml:space="preserve">, </w:t>
            </w:r>
            <w:hyperlink r:id="rIdAudit133">
              <w:r>
                <w:rPr>
                  <w:sz w:val="18"/>
                  <w:rFonts w:ascii="Inter"/>
                  <w:rStyle w:val="Hyperlink"/>
                </w:rPr>
                <w:t xml:space="preserve">EF.02</w:t>
              </w:r>
            </w:hyperlink>
            <w:r>
              <w:rPr>
                <w:sz w:val="18"/>
                <w:rFonts w:ascii="Inter"/>
              </w:rPr>
              <w:t xml:space="preserve">, </w:t>
            </w:r>
            <w:hyperlink r:id="rIdAudit134">
              <w:r>
                <w:rPr>
                  <w:sz w:val="18"/>
                  <w:rFonts w:ascii="Inter"/>
                  <w:rStyle w:val="Hyperlink"/>
                </w:rPr>
                <w:t xml:space="preserve">EF.03</w:t>
              </w:r>
            </w:hyperlink>
          </w:p>
        </w:tc>
        <w:tc>
          <w:tcPr>
            <w:tcW w:w="2600" w:type="dxa"/>
            <w:shd w:fill="FFFFFF"/>
            <w:tcMar>
              <w:top w:w="60" w:type="dxa"/>
              <w:bottom w:w="60" w:type="dxa"/>
              <w:left w:w="95" w:type="dxa"/>
              <w:right w:w="95" w:type="dxa"/>
            </w:tcMar>
          </w:tcPr>
          <w:p>
            <w:pPr>
              <w:jc w:val="left"/>
              <w:spacing w:after="0" w:line="240" w:lineRule="auto"/>
            </w:pPr>
            <w:hyperlink r:id="rIdAudit135">
              <w:r>
                <w:rPr>
                  <w:sz w:val="18"/>
                  <w:rFonts w:ascii="Inter"/>
                  <w:rStyle w:val="Hyperlink"/>
                </w:rPr>
                <w:t xml:space="preserve">MKR 1.2 Digitale Werkzeuge</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Molekülgeometrie darstellen, die Stoßtheorie digital modellieren und dynamische Gleichgewichte simulieren; Modelle mit chemischen Befunden abgleichen.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36">
              <w:r>
                <w:rPr>
                  <w:sz w:val="18"/>
                  <w:rFonts w:ascii="Inter"/>
                  <w:rStyle w:val="Hyperlink"/>
                </w:rPr>
                <w:t xml:space="preserve">EF.04</w:t>
              </w:r>
            </w:hyperlink>
          </w:p>
        </w:tc>
        <w:tc>
          <w:tcPr>
            <w:tcW w:w="2600" w:type="dxa"/>
            <w:shd w:fill="F5F8F9"/>
            <w:tcMar>
              <w:top w:w="60" w:type="dxa"/>
              <w:bottom w:w="60" w:type="dxa"/>
              <w:left w:w="95" w:type="dxa"/>
              <w:right w:w="95" w:type="dxa"/>
            </w:tcMar>
          </w:tcPr>
          <w:p>
            <w:pPr>
              <w:jc w:val="left"/>
              <w:spacing w:after="0" w:line="240" w:lineRule="auto"/>
            </w:pPr>
            <w:hyperlink r:id="rIdAudit137">
              <w:r>
                <w:rPr>
                  <w:sz w:val="18"/>
                  <w:rFonts w:ascii="Inter"/>
                  <w:rStyle w:val="Hyperlink"/>
                </w:rPr>
                <w:t xml:space="preserve">MKR 2.1 Informationsrecherche; 2.3 Informationsbewertung; 3.1 Kommunikations- und Kooperationsprozesse; 5.2 Meinungsbildung</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Quellen zum Kohlenstoffkreislauf auf Herkunft, Datenbasis und Darstellungsabsicht prüfen, Ergebnisse digital austauschen und den eigenen Standpunkt reflektieren.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38">
              <w:r>
                <w:rPr>
                  <w:sz w:val="18"/>
                  <w:rFonts w:ascii="Inter"/>
                  <w:rStyle w:val="Hyperlink"/>
                </w:rPr>
                <w:t xml:space="preserve">GK.02</w:t>
              </w:r>
            </w:hyperlink>
            <w:r>
              <w:rPr>
                <w:sz w:val="18"/>
                <w:rFonts w:ascii="Inter"/>
              </w:rPr>
              <w:t xml:space="preserve">, </w:t>
            </w:r>
            <w:hyperlink r:id="rIdAudit139">
              <w:r>
                <w:rPr>
                  <w:sz w:val="18"/>
                  <w:rFonts w:ascii="Inter"/>
                  <w:rStyle w:val="Hyperlink"/>
                </w:rPr>
                <w:t xml:space="preserve">LK.02</w:t>
              </w:r>
            </w:hyperlink>
          </w:p>
        </w:tc>
        <w:tc>
          <w:tcPr>
            <w:tcW w:w="2600" w:type="dxa"/>
            <w:shd w:fill="FFFFFF"/>
            <w:tcMar>
              <w:top w:w="60" w:type="dxa"/>
              <w:bottom w:w="60" w:type="dxa"/>
              <w:left w:w="95" w:type="dxa"/>
              <w:right w:w="95" w:type="dxa"/>
            </w:tcMar>
          </w:tcPr>
          <w:p>
            <w:pPr>
              <w:jc w:val="left"/>
              <w:spacing w:after="0" w:line="240" w:lineRule="auto"/>
            </w:pPr>
            <w:hyperlink r:id="rIdAudit140">
              <w:r>
                <w:rPr>
                  <w:sz w:val="18"/>
                  <w:rFonts w:ascii="Inter"/>
                  <w:rStyle w:val="Hyperlink"/>
                </w:rPr>
                <w:t xml:space="preserve">MKR 2.1 Informationsrecherche; 2.2 Informationsauswertung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Eigene kalorimetrische Daten mit recherchierten Literaturwerten vergleichen und Abweichungen erklären.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41">
              <w:r>
                <w:rPr>
                  <w:sz w:val="18"/>
                  <w:rFonts w:ascii="Inter"/>
                  <w:rStyle w:val="Hyperlink"/>
                </w:rPr>
                <w:t xml:space="preserve">GK.03</w:t>
              </w:r>
            </w:hyperlink>
            <w:r>
              <w:rPr>
                <w:sz w:val="18"/>
                <w:rFonts w:ascii="Inter"/>
              </w:rPr>
              <w:t xml:space="preserve">, </w:t>
            </w:r>
            <w:hyperlink r:id="rIdAudit142">
              <w:r>
                <w:rPr>
                  <w:sz w:val="18"/>
                  <w:rFonts w:ascii="Inter"/>
                  <w:rStyle w:val="Hyperlink"/>
                </w:rPr>
                <w:t xml:space="preserve">LK.03</w:t>
              </w:r>
            </w:hyperlink>
            <w:r>
              <w:rPr>
                <w:sz w:val="18"/>
                <w:rFonts w:ascii="Inter"/>
              </w:rPr>
              <w:t xml:space="preserve">, </w:t>
            </w:r>
            <w:hyperlink r:id="rIdAudit143">
              <w:r>
                <w:rPr>
                  <w:sz w:val="18"/>
                  <w:rFonts w:ascii="Inter"/>
                  <w:rStyle w:val="Hyperlink"/>
                </w:rPr>
                <w:t xml:space="preserve">GK.05</w:t>
              </w:r>
            </w:hyperlink>
            <w:r>
              <w:rPr>
                <w:sz w:val="18"/>
                <w:rFonts w:ascii="Inter"/>
              </w:rPr>
              <w:t xml:space="preserve">, </w:t>
            </w:r>
            <w:hyperlink r:id="rIdAudit144">
              <w:r>
                <w:rPr>
                  <w:sz w:val="18"/>
                  <w:rFonts w:ascii="Inter"/>
                  <w:rStyle w:val="Hyperlink"/>
                </w:rPr>
                <w:t xml:space="preserve">LK.05</w:t>
              </w:r>
            </w:hyperlink>
          </w:p>
        </w:tc>
        <w:tc>
          <w:tcPr>
            <w:tcW w:w="2600" w:type="dxa"/>
            <w:shd w:fill="F5F8F9"/>
            <w:tcMar>
              <w:top w:w="60" w:type="dxa"/>
              <w:bottom w:w="60" w:type="dxa"/>
              <w:left w:w="95" w:type="dxa"/>
              <w:right w:w="95" w:type="dxa"/>
            </w:tcMar>
          </w:tcPr>
          <w:p>
            <w:pPr>
              <w:jc w:val="left"/>
              <w:spacing w:after="0" w:line="240" w:lineRule="auto"/>
            </w:pPr>
            <w:hyperlink r:id="rIdAudit145">
              <w:r>
                <w:rPr>
                  <w:sz w:val="18"/>
                  <w:rFonts w:ascii="Inter"/>
                  <w:rStyle w:val="Hyperlink"/>
                </w:rPr>
                <w:t xml:space="preserve">MKR 1.2 Digitale Werkzeuge</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Galvanische Zellen, organische Moleküle und Reaktionsmechanismen digital erläutern; in GK.03 auch heterogene Katalyse an der Brennstoffzelle medial erklären.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46">
              <w:r>
                <w:rPr>
                  <w:sz w:val="18"/>
                  <w:rFonts w:ascii="Inter"/>
                  <w:rStyle w:val="Hyperlink"/>
                </w:rPr>
                <w:t xml:space="preserve">GK.07</w:t>
              </w:r>
            </w:hyperlink>
            <w:r>
              <w:rPr>
                <w:sz w:val="18"/>
                <w:rFonts w:ascii="Inter"/>
              </w:rPr>
              <w:t xml:space="preserve">, </w:t>
            </w:r>
            <w:hyperlink r:id="rIdAudit147">
              <w:r>
                <w:rPr>
                  <w:sz w:val="18"/>
                  <w:rFonts w:ascii="Inter"/>
                  <w:rStyle w:val="Hyperlink"/>
                </w:rPr>
                <w:t xml:space="preserve">LK.07</w:t>
              </w:r>
            </w:hyperlink>
          </w:p>
        </w:tc>
        <w:tc>
          <w:tcPr>
            <w:tcW w:w="2600" w:type="dxa"/>
            <w:shd w:fill="FFFFFF"/>
            <w:tcMar>
              <w:top w:w="60" w:type="dxa"/>
              <w:bottom w:w="60" w:type="dxa"/>
              <w:left w:w="95" w:type="dxa"/>
              <w:right w:w="95" w:type="dxa"/>
            </w:tcMar>
          </w:tcPr>
          <w:p>
            <w:pPr>
              <w:jc w:val="left"/>
              <w:spacing w:after="0" w:line="240" w:lineRule="auto"/>
            </w:pPr>
            <w:hyperlink r:id="rIdAudit148">
              <w:r>
                <w:rPr>
                  <w:sz w:val="18"/>
                  <w:rFonts w:ascii="Inter"/>
                  <w:rStyle w:val="Hyperlink"/>
                </w:rPr>
                <w:t xml:space="preserve">MKR 2.3 Informationsbewertung; 3.1 Kommunikations- und Kooperationsprozesse; 4.1 Medienproduktion und Präsentation; 4.3 Quellendokumentation; 4.4 Rechtliche Grundlagen; 5.2 Meinungsbildung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Werkstoffentscheidungen gemeinsam erarbeiten und adressatengerecht präsentieren; Quellen und Bildrechte nachweisen. Im LK interessengeleitete Aussagen zu Nanomaterialien prüfen.</w:t>
            </w:r>
          </w:p>
        </w:tc>
      </w:tr>
    </w:tbl>
    <w:p/>
    <w:p>
      <w:pPr>
        <w:pStyle w:val="Heading2"/>
        <w:keepNext/>
      </w:pPr>
      <w:bookmarkStart w:id="60003" w:name="verbraucherbildung"/>
      <w:bookmarkEnd w:id="60003"/>
      <w:r>
        <w:rPr/>
        <w:t xml:space="preserve">9.2 Verbraucherbildung: Kriterien und begründete Entscheidungen</w:t>
      </w:r>
    </w:p>
    <w:p>
      <w:pPr>
        <w:pStyle w:val="Normal"/>
        <w:jc w:val="both"/>
      </w:pPr>
      <w:r>
        <w:rPr/>
        <w:t xml:space="preserve">Verbraucherbildung unterscheidet chemische Sachurteile von persönlichen Präferenzen und Wertentscheidungen. Die Lernenden prüfen Produktversprechen, legen Kriterien offen, vergleichen Handlungsoptionen und reflektieren deren Folgen. Die Rahmenvorgabe gilt für Primarstufe und Sek I; in der Oberstufe werden die dort erworbenen Fähigkeiten entsprechend der amtlichen Chemie-Synopse fachlich vertieft.</w:t>
      </w:r>
    </w:p>
    <w:p>
      <w:pPr>
        <w:pStyle w:val="Normal"/>
        <w:jc w:val="both"/>
      </w:pPr>
      <w:r>
        <w:rPr/>
        <w:t xml:space="preserve">Die Bereichskennungen bedeuten: Ü – Allgemeiner Konsum; A – Finanzen, Marktgeschehen und Verbraucherrecht; B – Ernährung und Gesundheit; C – Medien und Information in der digitalen Welt; D – Leben, Wohnen und Mobilität. Die Zielkennungen bezeichnen die Auseinandersetzung mit Bedürfnissen und Bedarfen (Z1), gesellschaftlichen Einflüssen auf Konsumentscheidungen (Z2), individuellen und gesellschaftlichen Folgen des Konsums (Z3), politisch-rechtlichen und sozioökonomischen Rahmenbedingungen (Z4), Kriterien für Konsumentscheidungen (Z5) sowie individuellen, kollektiven und politischen Gestaltungsoptionen (Z6). Die fachbezogene Auswahl ist unten ausgewiesen; das Fach Chemie beansprucht damit keine alleinige Abdeckung aller Bereiche.</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Vorhaben</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VB-Bezug</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Verbindliche Lernhandlung</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49">
              <w:r>
                <w:rPr>
                  <w:sz w:val="18"/>
                  <w:rFonts w:ascii="Inter"/>
                  <w:rStyle w:val="Hyperlink"/>
                </w:rPr>
                <w:t xml:space="preserve">07.4</w:t>
              </w:r>
            </w:hyperlink>
          </w:p>
        </w:tc>
        <w:tc>
          <w:tcPr>
            <w:tcW w:w="2600" w:type="dxa"/>
            <w:shd w:fill="FFFFFF"/>
            <w:tcMar>
              <w:top w:w="60" w:type="dxa"/>
              <w:bottom w:w="60" w:type="dxa"/>
              <w:left w:w="95" w:type="dxa"/>
              <w:right w:w="95" w:type="dxa"/>
            </w:tcMar>
          </w:tcPr>
          <w:p>
            <w:pPr>
              <w:jc w:val="left"/>
              <w:spacing w:after="0" w:line="240" w:lineRule="auto"/>
            </w:pPr>
            <w:hyperlink r:id="rIdAudit150">
              <w:r>
                <w:rPr>
                  <w:sz w:val="18"/>
                  <w:rFonts w:ascii="Inter"/>
                  <w:rStyle w:val="Hyperlink"/>
                </w:rPr>
                <w:t xml:space="preserve">VB D; Z3, Z5</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Vor- und Nachteile einer Wasserstoff-Wasser-Energieversorgung anhand offengelegter Kriterien abwägen.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1">
              <w:r>
                <w:rPr>
                  <w:sz w:val="18"/>
                  <w:rFonts w:ascii="Inter"/>
                  <w:rStyle w:val="Hyperlink"/>
                </w:rPr>
                <w:t xml:space="preserve">08.1</w:t>
              </w:r>
            </w:hyperlink>
          </w:p>
        </w:tc>
        <w:tc>
          <w:tcPr>
            <w:tcW w:w="2600" w:type="dxa"/>
            <w:shd w:fill="F5F8F9"/>
            <w:tcMar>
              <w:top w:w="60" w:type="dxa"/>
              <w:bottom w:w="60" w:type="dxa"/>
              <w:left w:w="95" w:type="dxa"/>
              <w:right w:w="95" w:type="dxa"/>
            </w:tcMar>
          </w:tcPr>
          <w:p>
            <w:pPr>
              <w:jc w:val="left"/>
              <w:spacing w:after="0" w:line="240" w:lineRule="auto"/>
            </w:pPr>
            <w:hyperlink r:id="rIdAudit152">
              <w:r>
                <w:rPr>
                  <w:sz w:val="18"/>
                  <w:rFonts w:ascii="Inter"/>
                  <w:rStyle w:val="Hyperlink"/>
                </w:rPr>
                <w:t xml:space="preserve">VB Ü, D; Z1,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Metallrecycling mit Rohstoff- und Energieeinsparung verbinden und eigenes Konsum- und Entsorgungsverhalten beurteilen.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53">
              <w:r>
                <w:rPr>
                  <w:sz w:val="18"/>
                  <w:rFonts w:ascii="Inter"/>
                  <w:rStyle w:val="Hyperlink"/>
                </w:rPr>
                <w:t xml:space="preserve">08.4</w:t>
              </w:r>
            </w:hyperlink>
          </w:p>
        </w:tc>
        <w:tc>
          <w:tcPr>
            <w:tcW w:w="2600" w:type="dxa"/>
            <w:shd w:fill="FFFFFF"/>
            <w:tcMar>
              <w:top w:w="60" w:type="dxa"/>
              <w:bottom w:w="60" w:type="dxa"/>
              <w:left w:w="95" w:type="dxa"/>
              <w:right w:w="95" w:type="dxa"/>
            </w:tcMar>
          </w:tcPr>
          <w:p>
            <w:pPr>
              <w:jc w:val="left"/>
              <w:spacing w:after="0" w:line="240" w:lineRule="auto"/>
            </w:pPr>
            <w:hyperlink r:id="rIdAudit154">
              <w:r>
                <w:rPr>
                  <w:sz w:val="18"/>
                  <w:rFonts w:ascii="Inter"/>
                  <w:rStyle w:val="Hyperlink"/>
                </w:rPr>
                <w:t xml:space="preserve">VB B;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Salznutzung im Alltag unter Umwelt- und Gesundheitsaspekten reflektieren.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5">
              <w:r>
                <w:rPr>
                  <w:sz w:val="18"/>
                  <w:rFonts w:ascii="Inter"/>
                  <w:rStyle w:val="Hyperlink"/>
                </w:rPr>
                <w:t xml:space="preserve">10.1</w:t>
              </w:r>
            </w:hyperlink>
          </w:p>
        </w:tc>
        <w:tc>
          <w:tcPr>
            <w:tcW w:w="2600" w:type="dxa"/>
            <w:shd w:fill="F5F8F9"/>
            <w:tcMar>
              <w:top w:w="60" w:type="dxa"/>
              <w:bottom w:w="60" w:type="dxa"/>
              <w:left w:w="95" w:type="dxa"/>
              <w:right w:w="95" w:type="dxa"/>
            </w:tcMar>
          </w:tcPr>
          <w:p>
            <w:pPr>
              <w:jc w:val="left"/>
              <w:spacing w:after="0" w:line="240" w:lineRule="auto"/>
            </w:pPr>
            <w:hyperlink r:id="rIdAudit156">
              <w:r>
                <w:rPr>
                  <w:sz w:val="18"/>
                  <w:rFonts w:ascii="Inter"/>
                  <w:rStyle w:val="Hyperlink"/>
                </w:rPr>
                <w:t xml:space="preserve">VB D;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Risiken und Nutzen saurer bzw. alkalischer Produkte abwägen und Schutzmaßnahmen begründen.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57">
              <w:r>
                <w:rPr>
                  <w:sz w:val="18"/>
                  <w:rFonts w:ascii="Inter"/>
                  <w:rStyle w:val="Hyperlink"/>
                </w:rPr>
                <w:t xml:space="preserve">10.2</w:t>
              </w:r>
            </w:hyperlink>
          </w:p>
        </w:tc>
        <w:tc>
          <w:tcPr>
            <w:tcW w:w="2600" w:type="dxa"/>
            <w:shd w:fill="FFFFFF"/>
            <w:tcMar>
              <w:top w:w="60" w:type="dxa"/>
              <w:bottom w:w="60" w:type="dxa"/>
              <w:left w:w="95" w:type="dxa"/>
              <w:right w:w="95" w:type="dxa"/>
            </w:tcMar>
          </w:tcPr>
          <w:p>
            <w:pPr>
              <w:jc w:val="left"/>
              <w:spacing w:after="0" w:line="240" w:lineRule="auto"/>
            </w:pPr>
            <w:hyperlink r:id="rIdAudit158">
              <w:r>
                <w:rPr>
                  <w:sz w:val="18"/>
                  <w:rFonts w:ascii="Inter"/>
                  <w:rStyle w:val="Hyperlink"/>
                </w:rPr>
                <w:t xml:space="preserve">VB Ü, D; Z1, Z3, Z5, Z6</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Fossile und regenerative Energieträger ökologisch, ökonomisch und ethisch vergleichen und begründete Handlungsoptionen entwickeln.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9">
              <w:r>
                <w:rPr>
                  <w:sz w:val="18"/>
                  <w:rFonts w:ascii="Inter"/>
                  <w:rStyle w:val="Hyperlink"/>
                </w:rPr>
                <w:t xml:space="preserve">10.3</w:t>
              </w:r>
            </w:hyperlink>
          </w:p>
        </w:tc>
        <w:tc>
          <w:tcPr>
            <w:tcW w:w="2600" w:type="dxa"/>
            <w:shd w:fill="F5F8F9"/>
            <w:tcMar>
              <w:top w:w="60" w:type="dxa"/>
              <w:bottom w:w="60" w:type="dxa"/>
              <w:left w:w="95" w:type="dxa"/>
              <w:right w:w="95" w:type="dxa"/>
            </w:tcMar>
          </w:tcPr>
          <w:p>
            <w:pPr>
              <w:jc w:val="left"/>
              <w:spacing w:after="0" w:line="240" w:lineRule="auto"/>
            </w:pPr>
            <w:hyperlink r:id="rIdAudit160">
              <w:r>
                <w:rPr>
                  <w:sz w:val="18"/>
                  <w:rFonts w:ascii="Inter"/>
                  <w:rStyle w:val="Hyperlink"/>
                </w:rPr>
                <w:t xml:space="preserve">VB Ü; Z3,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Verwendung, Kosten, Recyclingfähigkeit und Umweltverträglichkeit eines Kunststoffprodukts abwägen.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61">
              <w:r>
                <w:rPr>
                  <w:sz w:val="18"/>
                  <w:rFonts w:ascii="Inter"/>
                  <w:rStyle w:val="Hyperlink"/>
                </w:rPr>
                <w:t xml:space="preserve">10.4</w:t>
              </w:r>
            </w:hyperlink>
          </w:p>
        </w:tc>
        <w:tc>
          <w:tcPr>
            <w:tcW w:w="2600" w:type="dxa"/>
            <w:shd w:fill="FFFFFF"/>
            <w:tcMar>
              <w:top w:w="60" w:type="dxa"/>
              <w:bottom w:w="60" w:type="dxa"/>
              <w:left w:w="95" w:type="dxa"/>
              <w:right w:w="95" w:type="dxa"/>
            </w:tcMar>
          </w:tcPr>
          <w:p>
            <w:pPr>
              <w:jc w:val="left"/>
              <w:spacing w:after="0" w:line="240" w:lineRule="auto"/>
            </w:pPr>
            <w:hyperlink r:id="rIdAudit162">
              <w:r>
                <w:rPr>
                  <w:sz w:val="18"/>
                  <w:rFonts w:ascii="Inter"/>
                  <w:rStyle w:val="Hyperlink"/>
                </w:rPr>
                <w:t xml:space="preserve">VB Ü, D; Z3, Z5</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Verfahren zur Rohstoffgewinnung aus Gasen unter Einbezug der Energiespeicherung beurteilen.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63">
              <w:r>
                <w:rPr>
                  <w:sz w:val="18"/>
                  <w:rFonts w:ascii="Inter"/>
                  <w:rStyle w:val="Hyperlink"/>
                </w:rPr>
                <w:t xml:space="preserve">EF.01</w:t>
              </w:r>
            </w:hyperlink>
          </w:p>
        </w:tc>
        <w:tc>
          <w:tcPr>
            <w:tcW w:w="2600" w:type="dxa"/>
            <w:shd w:fill="F5F8F9"/>
            <w:tcMar>
              <w:top w:w="60" w:type="dxa"/>
              <w:bottom w:w="60" w:type="dxa"/>
              <w:left w:w="95" w:type="dxa"/>
              <w:right w:w="95" w:type="dxa"/>
            </w:tcMar>
          </w:tcPr>
          <w:p>
            <w:pPr>
              <w:jc w:val="left"/>
              <w:spacing w:after="0" w:line="240" w:lineRule="auto"/>
            </w:pPr>
            <w:hyperlink r:id="rIdAudit164">
              <w:r>
                <w:rPr>
                  <w:sz w:val="18"/>
                  <w:rFonts w:ascii="Inter"/>
                  <w:rStyle w:val="Hyperlink"/>
                </w:rPr>
                <w:t xml:space="preserve">VB B; Z3, Z6</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Ethanolabbau, Aroma- und Konservierungsstoffe fachlich beurteilen und gesundheitlich sowie ökonomisch begründete Konsumentscheidungen treffen.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65">
              <w:r>
                <w:rPr>
                  <w:sz w:val="18"/>
                  <w:rFonts w:ascii="Inter"/>
                  <w:rStyle w:val="Hyperlink"/>
                </w:rPr>
                <w:t xml:space="preserve">EF.04</w:t>
              </w:r>
            </w:hyperlink>
          </w:p>
        </w:tc>
        <w:tc>
          <w:tcPr>
            <w:tcW w:w="2600" w:type="dxa"/>
            <w:shd w:fill="FFFFFF"/>
            <w:tcMar>
              <w:top w:w="60" w:type="dxa"/>
              <w:bottom w:w="60" w:type="dxa"/>
              <w:left w:w="95" w:type="dxa"/>
              <w:right w:w="95" w:type="dxa"/>
            </w:tcMar>
          </w:tcPr>
          <w:p>
            <w:pPr>
              <w:jc w:val="left"/>
              <w:spacing w:after="0" w:line="240" w:lineRule="auto"/>
            </w:pPr>
            <w:hyperlink r:id="rIdAudit166">
              <w:r>
                <w:rPr>
                  <w:sz w:val="18"/>
                  <w:rFonts w:ascii="Inter"/>
                  <w:rStyle w:val="Hyperlink"/>
                </w:rPr>
                <w:t xml:space="preserve">VB D;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Folgen anthropogener Eingriffe in den Kohlenstoffkreislauf und eigenes Handeln beurteilen.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67">
              <w:r>
                <w:rPr>
                  <w:sz w:val="18"/>
                  <w:rFonts w:ascii="Inter"/>
                  <w:rStyle w:val="Hyperlink"/>
                </w:rPr>
                <w:t xml:space="preserve">GK.01</w:t>
              </w:r>
            </w:hyperlink>
            <w:r>
              <w:rPr>
                <w:sz w:val="18"/>
                <w:rFonts w:ascii="Inter"/>
              </w:rPr>
              <w:t xml:space="preserve">, </w:t>
            </w:r>
            <w:hyperlink r:id="rIdAudit168">
              <w:r>
                <w:rPr>
                  <w:sz w:val="18"/>
                  <w:rFonts w:ascii="Inter"/>
                  <w:rStyle w:val="Hyperlink"/>
                </w:rPr>
                <w:t xml:space="preserve">LK.01</w:t>
              </w:r>
            </w:hyperlink>
          </w:p>
        </w:tc>
        <w:tc>
          <w:tcPr>
            <w:tcW w:w="2600" w:type="dxa"/>
            <w:shd w:fill="F5F8F9"/>
            <w:tcMar>
              <w:top w:w="60" w:type="dxa"/>
              <w:bottom w:w="60" w:type="dxa"/>
              <w:left w:w="95" w:type="dxa"/>
              <w:right w:w="95" w:type="dxa"/>
            </w:tcMar>
          </w:tcPr>
          <w:p>
            <w:pPr>
              <w:jc w:val="left"/>
              <w:spacing w:after="0" w:line="240" w:lineRule="auto"/>
            </w:pPr>
            <w:hyperlink r:id="rIdAudit169">
              <w:r>
                <w:rPr>
                  <w:sz w:val="18"/>
                  <w:rFonts w:ascii="Inter"/>
                  <w:rStyle w:val="Hyperlink"/>
                </w:rPr>
                <w:t xml:space="preserve">VB B; Z3, Z6; im LK auch D; Z3</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Wirksamkeit, Dosierung und Gefahren von Reinigern bzw. salzhaltigen Produkten anhand qualitativer und quantitativer Analysen beurteilen.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70">
              <w:r>
                <w:rPr>
                  <w:sz w:val="18"/>
                  <w:rFonts w:ascii="Inter"/>
                  <w:rStyle w:val="Hyperlink"/>
                </w:rPr>
                <w:t xml:space="preserve">GK.02</w:t>
              </w:r>
            </w:hyperlink>
            <w:r>
              <w:rPr>
                <w:sz w:val="18"/>
                <w:rFonts w:ascii="Inter"/>
              </w:rPr>
              <w:t xml:space="preserve">, </w:t>
            </w:r>
            <w:hyperlink r:id="rIdAudit171">
              <w:r>
                <w:rPr>
                  <w:sz w:val="18"/>
                  <w:rFonts w:ascii="Inter"/>
                  <w:rStyle w:val="Hyperlink"/>
                </w:rPr>
                <w:t xml:space="preserve">LK.02</w:t>
              </w:r>
            </w:hyperlink>
            <w:r>
              <w:rPr>
                <w:sz w:val="18"/>
                <w:rFonts w:ascii="Inter"/>
              </w:rPr>
              <w:t xml:space="preserve">, </w:t>
            </w:r>
            <w:hyperlink r:id="rIdAudit172">
              <w:r>
                <w:rPr>
                  <w:sz w:val="18"/>
                  <w:rFonts w:ascii="Inter"/>
                  <w:rStyle w:val="Hyperlink"/>
                </w:rPr>
                <w:t xml:space="preserve">GK.03</w:t>
              </w:r>
            </w:hyperlink>
            <w:r>
              <w:rPr>
                <w:sz w:val="18"/>
                <w:rFonts w:ascii="Inter"/>
              </w:rPr>
              <w:t xml:space="preserve">, </w:t>
            </w:r>
            <w:hyperlink r:id="rIdAudit173">
              <w:r>
                <w:rPr>
                  <w:sz w:val="18"/>
                  <w:rFonts w:ascii="Inter"/>
                  <w:rStyle w:val="Hyperlink"/>
                </w:rPr>
                <w:t xml:space="preserve">LK.03</w:t>
              </w:r>
            </w:hyperlink>
            <w:r>
              <w:rPr>
                <w:sz w:val="18"/>
                <w:rFonts w:ascii="Inter"/>
              </w:rPr>
              <w:t xml:space="preserve">, </w:t>
            </w:r>
            <w:hyperlink r:id="rIdAudit174">
              <w:r>
                <w:rPr>
                  <w:sz w:val="18"/>
                  <w:rFonts w:ascii="Inter"/>
                  <w:rStyle w:val="Hyperlink"/>
                </w:rPr>
                <w:t xml:space="preserve">GK.04</w:t>
              </w:r>
            </w:hyperlink>
            <w:r>
              <w:rPr>
                <w:sz w:val="18"/>
                <w:rFonts w:ascii="Inter"/>
              </w:rPr>
              <w:t xml:space="preserve">, </w:t>
            </w:r>
            <w:hyperlink r:id="rIdAudit175">
              <w:r>
                <w:rPr>
                  <w:sz w:val="18"/>
                  <w:rFonts w:ascii="Inter"/>
                  <w:rStyle w:val="Hyperlink"/>
                </w:rPr>
                <w:t xml:space="preserve">LK.04</w:t>
              </w:r>
            </w:hyperlink>
          </w:p>
        </w:tc>
        <w:tc>
          <w:tcPr>
            <w:tcW w:w="2600" w:type="dxa"/>
            <w:shd w:fill="FFFFFF"/>
            <w:tcMar>
              <w:top w:w="60" w:type="dxa"/>
              <w:bottom w:w="60" w:type="dxa"/>
              <w:left w:w="95" w:type="dxa"/>
              <w:right w:w="95" w:type="dxa"/>
            </w:tcMar>
          </w:tcPr>
          <w:p>
            <w:pPr>
              <w:jc w:val="left"/>
              <w:spacing w:after="0" w:line="240" w:lineRule="auto"/>
            </w:pPr>
            <w:hyperlink r:id="rIdAudit176">
              <w:r>
                <w:rPr>
                  <w:sz w:val="18"/>
                  <w:rFonts w:ascii="Inter"/>
                  <w:rStyle w:val="Hyperlink"/>
                </w:rPr>
                <w:t xml:space="preserve">VB D; Z1,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Energiequellen, Wirkungsgrade, Speicherung und Korrosionsschutz nach Nachhaltigkeitskriterien vergleichen; im LK auch Stoff- und Energieaufwand elektrolytischer Gewinnung berechnen.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77">
              <w:r>
                <w:rPr>
                  <w:sz w:val="18"/>
                  <w:rFonts w:ascii="Inter"/>
                  <w:rStyle w:val="Hyperlink"/>
                </w:rPr>
                <w:t xml:space="preserve">GK.05</w:t>
              </w:r>
            </w:hyperlink>
            <w:r>
              <w:rPr>
                <w:sz w:val="18"/>
                <w:rFonts w:ascii="Inter"/>
              </w:rPr>
              <w:t xml:space="preserve">, </w:t>
            </w:r>
            <w:hyperlink r:id="rIdAudit178">
              <w:r>
                <w:rPr>
                  <w:sz w:val="18"/>
                  <w:rFonts w:ascii="Inter"/>
                  <w:rStyle w:val="Hyperlink"/>
                </w:rPr>
                <w:t xml:space="preserve">LK.05</w:t>
              </w:r>
            </w:hyperlink>
            <w:r>
              <w:rPr>
                <w:sz w:val="18"/>
                <w:rFonts w:ascii="Inter"/>
              </w:rPr>
              <w:t xml:space="preserve">, </w:t>
            </w:r>
            <w:hyperlink r:id="rIdAudit179">
              <w:r>
                <w:rPr>
                  <w:sz w:val="18"/>
                  <w:rFonts w:ascii="Inter"/>
                  <w:rStyle w:val="Hyperlink"/>
                </w:rPr>
                <w:t xml:space="preserve">GK.06</w:t>
              </w:r>
            </w:hyperlink>
            <w:r>
              <w:rPr>
                <w:sz w:val="18"/>
                <w:rFonts w:ascii="Inter"/>
              </w:rPr>
              <w:t xml:space="preserve">, </w:t>
            </w:r>
            <w:hyperlink r:id="rIdAudit180">
              <w:r>
                <w:rPr>
                  <w:sz w:val="18"/>
                  <w:rFonts w:ascii="Inter"/>
                  <w:rStyle w:val="Hyperlink"/>
                </w:rPr>
                <w:t xml:space="preserve">LK.06</w:t>
              </w:r>
            </w:hyperlink>
          </w:p>
        </w:tc>
        <w:tc>
          <w:tcPr>
            <w:tcW w:w="2600" w:type="dxa"/>
            <w:shd w:fill="F5F8F9"/>
            <w:tcMar>
              <w:top w:w="60" w:type="dxa"/>
              <w:bottom w:w="60" w:type="dxa"/>
              <w:left w:w="95" w:type="dxa"/>
              <w:right w:w="95" w:type="dxa"/>
            </w:tcMar>
          </w:tcPr>
          <w:p>
            <w:pPr>
              <w:jc w:val="left"/>
              <w:spacing w:after="0" w:line="240" w:lineRule="auto"/>
            </w:pPr>
            <w:hyperlink r:id="rIdAudit181">
              <w:r>
                <w:rPr>
                  <w:sz w:val="18"/>
                  <w:rFonts w:ascii="Inter"/>
                  <w:rStyle w:val="Hyperlink"/>
                </w:rPr>
                <w:t xml:space="preserve">VB B; Z3, Z6</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Nutzen und Risiken organischer Produkte sowie Zusammensetzung und Verarbeitung von Speisefetten für begründete Produktentscheidungen nutzen.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82">
              <w:r>
                <w:rPr>
                  <w:sz w:val="18"/>
                  <w:rFonts w:ascii="Inter"/>
                  <w:rStyle w:val="Hyperlink"/>
                </w:rPr>
                <w:t xml:space="preserve">GK.07</w:t>
              </w:r>
            </w:hyperlink>
            <w:r>
              <w:rPr>
                <w:sz w:val="18"/>
                <w:rFonts w:ascii="Inter"/>
              </w:rPr>
              <w:t xml:space="preserve">, </w:t>
            </w:r>
            <w:hyperlink r:id="rIdAudit183">
              <w:r>
                <w:rPr>
                  <w:sz w:val="18"/>
                  <w:rFonts w:ascii="Inter"/>
                  <w:rStyle w:val="Hyperlink"/>
                </w:rPr>
                <w:t xml:space="preserve">LK.07</w:t>
              </w:r>
            </w:hyperlink>
          </w:p>
        </w:tc>
        <w:tc>
          <w:tcPr>
            <w:tcW w:w="2600" w:type="dxa"/>
            <w:shd w:fill="FFFFFF"/>
            <w:tcMar>
              <w:top w:w="60" w:type="dxa"/>
              <w:bottom w:w="60" w:type="dxa"/>
              <w:left w:w="95" w:type="dxa"/>
              <w:right w:w="95" w:type="dxa"/>
            </w:tcMar>
          </w:tcPr>
          <w:p>
            <w:pPr>
              <w:jc w:val="left"/>
              <w:spacing w:after="0" w:line="240" w:lineRule="auto"/>
            </w:pPr>
            <w:hyperlink r:id="rIdAudit184">
              <w:r>
                <w:rPr>
                  <w:sz w:val="18"/>
                  <w:rFonts w:ascii="Inter"/>
                  <w:rStyle w:val="Hyperlink"/>
                </w:rPr>
                <w:t xml:space="preserve">VB D; Z1, Z3, Z6</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Produktlebenswege, Rohstoffe, Verwertung und Alternativen beurteilen; im LK zusätzlich Synthesebedingungen und Chancen bzw. Risiken von Nanoprodukten bewerten.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85">
              <w:r>
                <w:rPr>
                  <w:sz w:val="18"/>
                  <w:rFonts w:ascii="Inter"/>
                  <w:rStyle w:val="Hyperlink"/>
                </w:rPr>
                <w:t xml:space="preserve">LK.08</w:t>
              </w:r>
            </w:hyperlink>
          </w:p>
        </w:tc>
        <w:tc>
          <w:tcPr>
            <w:tcW w:w="2600" w:type="dxa"/>
            <w:shd w:fill="F5F8F9"/>
            <w:tcMar>
              <w:top w:w="60" w:type="dxa"/>
              <w:bottom w:w="60" w:type="dxa"/>
              <w:left w:w="95" w:type="dxa"/>
              <w:right w:w="95" w:type="dxa"/>
            </w:tcMar>
          </w:tcPr>
          <w:p>
            <w:pPr>
              <w:jc w:val="left"/>
              <w:spacing w:after="0" w:line="240" w:lineRule="auto"/>
            </w:pPr>
            <w:hyperlink r:id="rIdAudit186">
              <w:r>
                <w:rPr>
                  <w:sz w:val="18"/>
                  <w:rFonts w:ascii="Inter"/>
                  <w:rStyle w:val="Hyperlink"/>
                </w:rPr>
                <w:t xml:space="preserve">VB B, D;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Farbstoffeinsatz nach chemischen, ökologischen und ökonomischen Kriterien bewerten.</w:t>
            </w:r>
          </w:p>
        </w:tc>
      </w:tr>
    </w:tbl>
    <w:p/>
    <w:p>
      <w:pPr>
        <w:pStyle w:val="Heading2"/>
        <w:keepNext/>
      </w:pPr>
      <w:bookmarkStart w:id="60004" w:name="medien_verbraucher_nachweis"/>
      <w:bookmarkEnd w:id="60004"/>
      <w:r>
        <w:rPr/>
        <w:t xml:space="preserve">9.3 Lernprodukte und Rückmeldung</w:t>
      </w:r>
    </w:p>
    <w:p>
      <w:pPr>
        <w:pStyle w:val="Normal"/>
        <w:jc w:val="both"/>
      </w:pPr>
      <w:r>
        <w:rPr/>
        <w:t xml:space="preserve">Geeignete Nachweise sind kommentierte Quellenvergleiche, fachlich erläuterte Molekülmodelle und Animationen, dokumentierte Messauswertungen, Produktvergleiche und begründete Beratungsbeiträge. Rückmeldungen beziehen sich auf fachliche Richtigkeit, nachvollziehbare Belege, transparente Kriterien und die Qualität der Begründung. Gestalterischer Aufwand oder die bloße Nutzung einer App ersetzen diese Kriterien nicht. Die Nachweise werden in die jeweiligen Vorhaben integriert; es entsteht kein zusätzlicher isolierter Unterrichtsblock.</w:t>
      </w:r>
    </w:p>
    <w:p>
      <w:bookmarkStart w:id="7038" w:name="abgleich"/>
      <w:pPr>
        <w:pStyle w:val="Heading1"/>
        <w:keepNext/>
        <w:pageBreakBefore/>
        <w:spacing w:after="140"/>
      </w:pPr>
      <w:r>
        <w:t xml:space="preserve">10 Sicherung der Kompetenzentwicklung</w:t>
      </w:r>
      <w:bookmarkEnd w:id="7038"/>
    </w:p>
    <w:p>
      <w:pPr>
        <w:spacing w:after="140"/>
      </w:pPr>
      <w: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auto" w:w="0"/>
        <w:jc w:val="center"/>
        <w:tblLayout w:type="fixed"/>
        <w:tblLook w:firstColumn="1" w:firstRow="1" w:lastColumn="0" w:lastRow="0" w:noHBand="0" w:noVBand="1" w:val="04A0"/>
      </w:tblPr>
      <w:tblGrid>
        <w:gridCol w:w="2722"/>
        <w:gridCol w:w="1996"/>
        <w:gridCol w:w="2178"/>
        <w:gridCol w:w="2178"/>
      </w:tblGrid>
      <w:tr>
        <w:trPr>
          <w:tblHeader/>
        </w:trP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Prüfbereich</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Übergeordnet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Konkretisiert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Zugeordnet</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erste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48 von 48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zweite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69 von 69</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Einführungsphase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78 von 78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Grundkurs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106 von 106</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Leistungskurs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82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138 von 138</w:t>
            </w:r>
          </w:p>
        </w:tc>
      </w:tr>
    </w:tbl>
    <w:p>
      <w:pPr>
        <w:spacing w:after="60"/>
      </w:pPr>
    </w:p>
    <w:p>
      <w:pPr>
        <w:spacing w:after="140"/>
      </w:pPr>
      <w: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bookmarkStart w:id="7039" w:name="abschnitt-258"/>
      <w:pPr>
        <w:pStyle w:val="Heading2"/>
        <w:keepNext/>
        <w:spacing w:after="140"/>
      </w:pPr>
      <w:r>
        <w:t xml:space="preserve">10.1 Verbindlichkeit und pädagogischer Gestaltungsspielraum</w:t>
      </w:r>
      <w:bookmarkEnd w:id="7039"/>
    </w:p>
    <w:p>
      <w:pPr>
        <w:spacing w:after="140"/>
      </w:pPr>
      <w: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bookmarkStart w:id="7040" w:name="abschnitt-259"/>
      <w:pPr>
        <w:pStyle w:val="Heading2"/>
        <w:keepNext/>
        <w:spacing w:after="140"/>
      </w:pPr>
      <w:r>
        <w:t xml:space="preserve">10.2 Dokumentation und Rückmeldung</w:t>
      </w:r>
      <w:bookmarkEnd w:id="7040"/>
    </w:p>
    <w:p>
      <w:pPr>
        <w:spacing w:after="140"/>
      </w:pPr>
      <w: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7041" w:name="arbeitskopie-aenderungen"/>
      <w:pPr>
        <w:pStyle w:val="Heading2"/>
        <w:keepNext/>
        <w:spacing w:after="140"/>
      </w:pPr>
      <w:r>
        <w:t xml:space="preserve">10.3 Neuordnung und Sicherung der Pflichtinhalte</w:t>
      </w:r>
      <w:bookmarkEnd w:id="7041"/>
    </w:p>
    <w:p>
      <w:pPr>
        <w:spacing w:after="140"/>
      </w:pPr>
      <w:r>
        <w:t xml:space="preserve">Abgleichstand 29. September 2026. Die Kompetenzerwartungen wurden unmittelbar mit den amtlichen PDF-Fassungen des Kernlehrplans Sekundarstufe I von 2019 (S. 17–36) und des Kernlehrplans Sekundarstufe II von 2022 (S. 22–57) abgeglichen. Alle 233 konkretisierten Erwartungen und 150 unterschiedlichen übergeordneten Erwartungen sind mindestens einem Vorhaben zugeordnet; die 56 übergeordneten Erwartungen der Qualifikationsphase sind in GK und LK jeweils eigenständig gesichert. Das ergibt 439 stufen- bzw. kursbezogene Nachweise. Die Fassung 2026 ist keine Inhaltsgrundlage dieser Arbeitskopie.</w:t>
      </w:r>
    </w:p>
    <w:tbl>
      <w:tblPr>
        <w:tblW w:type="auto" w:w="0"/>
        <w:jc w:val="center"/>
        <w:tblLayout w:type="fixed"/>
        <w:tblLook w:firstColumn="1" w:firstRow="1" w:lastColumn="0" w:lastRow="0" w:noHBand="0" w:noVBand="1" w:val="04A0"/>
      </w:tblPr>
      <w:tblGrid>
        <w:gridCol w:w="1361"/>
        <w:gridCol w:w="2359"/>
        <w:gridCol w:w="5354"/>
      </w:tblGrid>
      <w:tr>
        <w:trPr>
          <w:tblHeader/>
        </w:trP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Bereich</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Änderung</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Verbindliche Sicherung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7</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Vier Themenfelder</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Laborführerschein; Stoffeigenschaften; Stofftrennung; Luft und Verbrennung.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8 und 9</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Atommodelle vor Mineralien</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08.3 sichert den Atombau; 08.4 übernimmt Mineralien. Elementfamilien stehen in 09.1.</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10</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Gase ohne Polycarbonate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Ammoniaksynthese, Katalysatormodell und Bewertung der Energie- und Rohstoffnutzung sichern IF 8.</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Parfum und klar getrennte Kinetik und Gleichgewichte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Lebensmittelzusatzstoffe, Ethanolabbau und Lösemittel bleiben in EF.01; technisches Verfahren in EF.03, natürlicher Kreislauf in EF.04.</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Kein eigenes Salze-Kapitel</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Ionennachweise und Produktbewertung im Säure-Base-Block; Gitter- und Solvatationsenergie sowie Kalorimetrie in Thermodynamik. LK zusätzlich Löslichkeitsgleichgewichte und Puffer im Auftaktblock.</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Reaktionswege und Fette getrennt</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Radikalische Substitution, elektrophile Addition und Veresterung in GK.05; Fette in GK.06; Funktionspolymere und Kunststoffverwertung in GK.07.</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Reaktionswege über Q1 und Q2</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LK.05 trägt Stoffklassen, alle Pflichtmechanismen, Veresterung und Aromaten. LK.06 behandelt ausschließlich Fette.</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InnoProducts aufgeteilt</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Molekulare Produktentwicklung in LK.05; Werkstoffsynthese, Funktionspolymere und Nanochemie in LK.07. Farbstoffe in LK.08.</w:t>
            </w:r>
          </w:p>
        </w:tc>
      </w:tr>
    </w:tbl>
    <w:p>
      <w:pPr>
        <w:spacing w:after="60"/>
      </w:pPr>
    </w:p>
    <w:p>
      <w:pPr>
        <w:spacing w:after="140"/>
      </w:pPr>
      <w:r>
        <w:t xml:space="preserve">Der Einzelabgleich umfasst 233 konkretisierte Kompetenzerwartungen und 150 unterschiedliche übergeordnete Formulierungen. Die 56 gemeinsamen Q-Phase-Erwartungen sind für GK und LK jeweils gesondert zugeordnet. Damit bestehen 439 stufen- bzw. kursbezogene Zuordnungen ohne offene Erwartung. Die Kapitel 11 und 12 verweisen auf die neue Reihenfolge; bei jedem Vorhaben sind Lernweg und Überprüfung ausgewiesen. Die Zeitrichtwerte sind eine Arbeitsplanung, kein Nachweis bereits erteilter Stunden.</w:t>
      </w:r>
    </w:p>
    <w:p>
      <w:bookmarkStart w:id="7042" w:name="generisch"/>
      <w:pPr>
        <w:pStyle w:val="Heading1"/>
        <w:keepNext/>
        <w:pageBreakBefore/>
        <w:spacing w:after="140"/>
      </w:pPr>
      <w:r>
        <w:t xml:space="preserve">11 Vollständige übergeordnete Kompetenzen</w:t>
      </w:r>
      <w:bookmarkEnd w:id="7042"/>
    </w:p>
    <w:p>
      <w:pPr>
        <w:spacing w:after="140"/>
      </w:pPr>
      <w: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bookmarkStart w:id="7043" w:name="abschnitt-261"/>
      <w:pPr>
        <w:pStyle w:val="Heading2"/>
        <w:keepNext/>
        <w:spacing w:after="140"/>
      </w:pPr>
      <w:r>
        <w:t xml:space="preserve">11.1 Sekundarstufe I bis zum Ende der ersten Stufe</w:t>
      </w:r>
      <w:bookmarkEnd w:id="7043"/>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erworbenes Wissen über chemische Phänomene unter Verwendung einfacher Konzepte nachvollziehbar darstellen und Zusammenhänge erklären.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mit Wortgleichung und Energiedarstellung erklären.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das zur Lösung einfacher vorgegebener Aufgaben und Problemstellungen erforderliche chemische Fachwissen auswählen und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Für ein unbekanntes Gemisch geeignete Stoffeigenschaften und Trennverfahren auswählen.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ausgewählten Kriterien ordnen und von Alltagsvorstellungen abgrenzen.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Metalle und Oxide ordnen und Alltagsvorstellungen zur Metallgewinnung überprüfen.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neu erworbene chemische Konzepte in vorhandenes Wissen eingliedern und Alltagsvorstellungen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Alltagsvorstellung vom Verschwinden eines Brennstoffs anhand von Reaktionsprodukten hinterfragen.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in einfachen Zusammenhängen Probleme erkennen und Fragen formulieren, die sich mit chemischen Methoden klären lassen.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experimentell beantwortbare Frage zur Trennung eines Alltagsgemisches formulieren.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Phänomene aus chemischer Perspektive bewusst wahrnehmen und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Beobachtungen eines einfachen Versuchs sachlich beschreiben.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Vermutungen zu chemischen Fragestellungen auf der Grundlage von Alltagswissen und einfachen fachlichen Konzepten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geeigneten Reaktionspartner zur Metallgewinnung vorhersagen und die Vermutung begründen.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bei angeleiteten oder einfachen selbst entwickelten Untersuchungen und Experimenten Handlungsschritte unter Beachtung von Sicherheitsaspekten planen und durchführen sowie Daten gemäß der Planung erheben und aufzeichnen.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sicheren Versuchsablauf planen, durchführen und Mess- oder Beobachtungsdaten aufzeichnen.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Beobachtungen und Messdaten ordnen sowie mit Bezug auf die zugrundeliegende Fragestellung oder Vermutung auswerten und daraus Schlüsse ziehen.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ordnen und zur Identifizierung eines Stoffes auswerten.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vorgegebenen Modellen ausgewählte chemische Vorgänge und Phänomene veranschaulichen, erklären und vorhersagen sowie Modelle von der Realität unterscheiden.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am Teilchenmodell erklären und Modell und Stoff unterscheiden.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in einfachen chemischen Zusammenhängen Schritte der naturwissenschaftlichen Erkenntnisgewinnung nachvollziehen und Aussagen konstruktiv kritisch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Erkenntnisweg vom Metalloxid zur Metallgewinnung nachvollziehen und eine Behauptung 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das Vorgehen und wesentliche Ergebnisse bei Untersuchungen und Experimenten in vorgegebenen Formaten (Protokolle, Tabellen, Skizzen, Diagramme) dokumentieren.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vollständiges Versuchsprotokoll mit beschrifteter Skizze anfertigen.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nach Anleitung chemische Informationen und Daten aus analogen und digitalen Medienangeboten (Fachtexte, Filme, Tabellen, Diagramme, Abbildungen, Schemata) entnehmen sowie deren Kernaussagen wiedergeben und die Quelle notieren.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Luftbestandteilen aus Tabelle und Fachtext entnehmen und die Quelle notieren.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Darstellung zu Verbrennungsprodukten und Massenerhaltung fachsprachlich erläutern.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eigene Aussagen fachlich sinnvoll begründen, faktenbasierte Gründe von intuitiven Meinungen unterscheiden sowie bei Unklarheiten sachlich nachfragen.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Stoffveränderung begründet als chemische Reaktion einordnen und auf Nachfragen eingehen.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einfachen Bewertungssituation chemische Fakten nennen sowie die Interessen der Handelnden und Betroffenen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einer Brandsituation chemische Fakten und Interessen betroffener Personen benennen.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und Handlungsoptionen benennen.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Brandvorsorge und mögliche Handlungsoptionen sammeln.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kriteriengeleitet eine Entscheidung für eine Handlungsoption treffen.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Maßnahme zum Löschen eines Metallbrands begründet auswählen.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begründen.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Recycling eines Metallprodukts begründen.</w:t>
            </w:r>
            <w:r>
              <w:rPr>
                <w:b w:val="0"/>
                <w:color w:val="000000"/>
                <w:sz w:val="20"/>
              </w:rPr>
              <w:br/>
            </w:r>
            <w:hyperlink w:anchor="uv_08_1">
              <w:r>
                <w:t>08.1</w:t>
              </w:r>
            </w:hyperlink>
          </w:p>
        </w:tc>
      </w:tr>
    </w:tbl>
    <w:p>
      <w:pPr>
        <w:spacing w:after="60"/>
      </w:pPr>
    </w:p>
    <w:p>
      <w:bookmarkStart w:id="7044" w:name="abschnitt-262"/>
      <w:pPr>
        <w:pStyle w:val="Heading2"/>
        <w:keepNext/>
        <w:spacing w:after="140"/>
      </w:pPr>
      <w:r>
        <w:t xml:space="preserve">11.2 Sekundarstufe I bis zum Ende der Sekundarstufe I</w:t>
      </w:r>
      <w:bookmarkEnd w:id="7044"/>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chemisches Wissen strukturiert sowie bildungs- und fachsprachlich angemessen darstellen und Bezüge zu zentralen Konzepten und übergeordneten Regeln, Modellen und Prinzipien herstellen.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Salzeigenschaften mit Ionenbindung und Teilchenaufbau strukturiert erklären.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Konzepte zur Analyse und Lösung von Problemen begründet auswählen und chemisches Fachwissen zielgerichtet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Kunststoffprodukt anhand seiner Struktur und Eigenschaften auswählen.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fachlichen Strukturen systematisieren und zentralen chemischen Konzepten zuordnen.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Elemente systematisch Elementfamilien und dem Periodensystem zuordnen.</w:t>
            </w:r>
            <w:r>
              <w:rPr>
                <w:b w:val="0"/>
                <w:color w:val="000000"/>
                <w:sz w:val="20"/>
              </w:rPr>
              <w:br/>
            </w:r>
            <w:hyperlink w:anchor="uv_09_1">
              <w:r>
                <w:t>09.1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naturwissenschaftliche Konzepte sachlogisch vernetzen und auf variable Problemsituationen übertragen.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 und Energieumwandlung mit physikalischen Stromkreisvorstellungen verbinden.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Fragestellungen, die chemischen Erklärungen bzw. Erkenntnisprozessen zugrunde liegen, identifizieren und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untersuchbare Frage zur Neutralisation eines Alltagsprodukts formulieren.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bei kriteriengeleiteten Beobachtungen die Beschreibung von der Deutung klar trennen.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Ablenkung des Wasserstrahls beschreiben und von der Erklärung getrennt notieren.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zur Klärung chemischer Fragestellungen überprüfbare Hypothesen formulieren und Möglichkeiten zur Überprüfung von Hypothesen angeben.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prüfbare Hypothese zur Elektronenaufnahme verschiedener Metallionen formulieren.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Neutralisationsuntersuchung mit kontrollierten Variablen sicher planen und protokollieren.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Beobachtungs- und Messdaten mit Bezug auf zugrundeliegende Fragestellungen und Hypothesen darstellen, interpretieren und daraus qualitative und einfache quantitative Zusammenhänge ableiten sowie mögliche Fehler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Titrationsdaten auswerten und Mess- sowie Ablesefehler reflektieren.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Modellen chemische Vorgänge und Zusammenhänge, auch unter Verwendung der Symbolsprache, in einfacher formalisierter Form beschreiben, erklären und vorhersagen sowie den Gültigkeitsbereich und die Grenzen kritisch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Wasser mit Lewis- und räumlichem Modell erklären und deren Grenzen vergleichen.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anhand von Beispielen die Entstehung, Bedeutung und Weiterentwicklung chemischer Erkenntnisse insbesondere von Regeln, Gesetzen und Modellen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Weiterentwicklung des Atommodells anhand experimenteller Befunde erklären.</w:t>
            </w:r>
            <w:r>
              <w:rPr>
                <w:b w:val="0"/>
                <w:color w:val="000000"/>
                <w:sz w:val="20"/>
              </w:rPr>
              <w:br/>
            </w:r>
            <w:hyperlink w:anchor="uv_08_3">
              <w:r>
                <w:t>08.3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Arbeitsprozesse und Ergebnisse in strukturierter Form mithilfe analoger und digitaler Medien nachvollziehbar dokumentieren und dabei Bildungs- und Fachsprache sowie fachtypische Darstellungsformen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zum Salzgehalt analog und digital mit Einheiten dokumentieren.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selbstständig Informationen und Daten aus analogen und digitalen Medienangeboten filtern, sie in Bezug auf ihre Relevanz, ihre Qualität, ihren Nutzen und ihre Intention analysieren, sie aufbereiten und deren Quellen korrekt belegen.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zu fossilen und regenerativen Energieträgern auf Relevanz, Qualität und Intention prüfen.</w:t>
            </w:r>
            <w:r>
              <w:rPr>
                <w:b w:val="0"/>
                <w:color w:val="000000"/>
                <w:sz w:val="20"/>
              </w:rPr>
              <w:br/>
            </w:r>
            <w:hyperlink w:anchor="uv_10_2">
              <w:r>
                <w:t>10.2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 auf Teilchenebene für die Lerngruppe digital präsentieren.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auf der Grundlage chemischer Erkenntnisse und naturwissenschaftlicher Denkweisen faktenbasiert, rational und schlüssig argumentieren sowie zu Beiträgen anderer respektvolle, konstruktiv-kritische Rückmeldungen 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Produktvergleich faktenbasiert diskutieren und konstruktive Rückmeldung geben.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Bewertungssituation relevante chemische und naturwissenschaftlich-technische Sachverhalte und Zusammenhänge identifizieren, fehlende Informationen beschaffen sowie ggf. gesellschaftliche Bezüge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Werbeaussage zu einem Reiniger prüfen und fehlende chemische Informationen beschaffen.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festlegen und Handlungsoptionen entwickeln.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 für die Industrierohstoffgewinnung entwickeln.</w:t>
            </w:r>
            <w:r>
              <w:rPr>
                <w:b w:val="0"/>
                <w:color w:val="000000"/>
                <w:sz w:val="20"/>
              </w:rPr>
              <w:br/>
            </w:r>
            <w:hyperlink w:anchor="uv_10_4">
              <w:r>
                <w:t>10.4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Handlungsoptionen durch Gewichten und Abwägen von Kriterien und nach Abschätzung der Folgen für die Natur, das Individuum und die Gesellschaft auswählen.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Produktalternativen gewichtet nach Umwelt-, Nutzungs- und gesellschaftlichen Folgen vergleichen.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argumentativ vertreten und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für einen Energieträger argumentativ vertreten und nach Gegenargumenten überprüfen.</w:t>
            </w:r>
            <w:r>
              <w:rPr>
                <w:b w:val="0"/>
                <w:color w:val="000000"/>
                <w:sz w:val="20"/>
              </w:rPr>
              <w:br/>
            </w:r>
            <w:hyperlink w:anchor="uv_10_2">
              <w:r>
                <w:t>10.2</w:t>
              </w:r>
            </w:hyperlink>
          </w:p>
        </w:tc>
      </w:tr>
    </w:tbl>
    <w:p>
      <w:pPr>
        <w:spacing w:after="60"/>
      </w:pPr>
    </w:p>
    <w:p>
      <w:bookmarkStart w:id="7045" w:name="abschnitt-263"/>
      <w:pPr>
        <w:pStyle w:val="Heading2"/>
        <w:keepNext/>
        <w:spacing w:after="140"/>
      </w:pPr>
      <w:r>
        <w:t xml:space="preserve">12.3 Einführungsphase</w:t>
      </w:r>
      <w:bookmarkEnd w:id="7045"/>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Alkohole und ihre Oxidationsprodukte nach funktionellen Gruppen ordnen.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an ausgewählten Beispielen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Löslichkeit und Siedetemperatur aus Struktur und Wechselwirkungen vorhersagen.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Energieprofile einer katalysierten und unkatalysierten Reaktion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an ausgewählten Beispielen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Oxidationen der Alkanole als Redoxreaktionen bestimmen.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Abfolge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Kohlenstoffkreislauf als Folge chemischer Reaktionen darstellen.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begründet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Beobachtbare Stoffeigenschaft und Erklärung auf Teilchenebene trennen.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Dynamisches Gleichgewicht bei der Estersynthese und Umkehrbarkeit erläutern; das Donator-Akzeptor-Prinzip der Alkoholoxidation einbeziehen.</w:t>
            </w:r>
            <w:r>
              <w:rPr>
                <w:b w:val="0"/>
                <w:color w:val="000000"/>
                <w:sz w:val="20"/>
              </w:rPr>
              <w:br/>
            </w:r>
            <w:hyperlink w:anchor="uv_EF_03">
              <w:r>
                <w:t>EF.03</w:t>
              </w:r>
            </w:hyperlink>
            <w:r>
              <w:rPr>
                <w:b w:val="0"/>
                <w:color w:val="000000"/>
                <w:sz w:val="20"/>
              </w:rPr>
              <w:t xml:space="preserve">, </w:t>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an ausgewählten Beispielen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Einfluss von Konzentration, Oberfläche, Temperatur und Katalysator untersuchen.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Reaktionsverläufe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Ethanolabbau mit biologischen Vorgängen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 ausgewählten Beispielen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Konstitutionsisomere und funktionelle Gruppen zur Erklärung der Stoffvielfalt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an ausgewählten Beispielen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 anhand von Teilchenänderung, Bindungen und Oxidationszahlen deuten.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EPA-Modell und Wechselwirkungsmodelle auf Alkohole anwenden.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Reaktionsabfolgen auch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Oxidationsreihe der Alkanole auf Teilchenebene darstellen.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den statischen Zustand auf Stoffebene vom dynamischen Zustand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Konstante Stoffmengen im dynamischen Gleichgewicht von fortlaufenden Teilchenreaktionen unterscheiden.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 ausgewählten Beispielen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Reaktionsgleichungen für die Oxidationsreihe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angeleitet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Gleichgewichtslage aus vorgegebenen Stoffmengen mit dem Massenwirkungsgesetz berechnen.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ausgewählte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Entkalken als chemisch untersuchbare Alltagssituation erschließen.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ausgewählten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Frage zum Einfluss der Temperatur auf die Entkalkung entwickeln.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überprüfbare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überprüfbare Hypothese zum Konzentrationseinfluss aufstellen.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Experimente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Messreihe mit kontrollierten Variablen planen.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unter Anleitung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Estersynthese sicher durchführen, protokollieren und angeleitet auswerten.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digital auswerten und eine Teilchensimulation verwenden.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geeignete Real- oder Denkmodelle (z. B. Atommodelle, Periodensystem der Elemente, Formelschreibweise) an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EPA-Modell für Molekülgeometrie und Stoffeigenschaften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Daten Strukturen, Beziehungen und Trends, erklären diese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Trends in Zeitreihen erkennen und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an ausgewählten Beispielen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Möglichkeiten und Grenzen eines Gleichgewichtsmodells diskutieren.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Messverfahren, eigene Ergebnisse und mögliche Störgrößen besprechen.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Deutung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Befunde zum Ethanolabbau mit biologischen Kenntnissen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an ausgewählten Beispielen.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Aussagegrenzen des Modellversuchs zur Meeresversauerung reflektieren.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angeleitet zu chemischen Sachverhalten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Angeleitet Quellen zum Kohlenstoffkreislauf recherchieren.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Relevante Angaben aus Text, Diagramm und Reaktionsschema auswählen.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zweier Quellen zum selben Kohlenstoffdioxid-Datensatz vergleichen.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Aktualität und fachliche Belege einer Quelle prüfen.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unterstützt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einen verständlichen Blogbeitrag zu Aromastoffen auswählen.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zunehmend sicher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Alltagsbegriff Alkohol und chemische Stoffklasse unterscheiden.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Messwerttabelle in ein Diagramm und dessen Verlauf in einen Erklärungstext übertragen.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Konservierungsstoffen ordnen und Schlussfolgerungen formulieren.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zunehmend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Reaktionsgeschwindigkeit mit korrekten Begriffen und Einheiten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ausgewählte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dynamische Gleichgewicht mit fachlich schlüssigen Argumenten erklären.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Simulation zur Stoßtheorie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berücksichtigen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angeben und Zitate in der Klimadarstellung kennzeichnen.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über chemische Sachverhalte auch in digitalen kollaborativen Arbeitssituationen aus und reflektieren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Informationstext digital gemeinsam überarbeiten und eigene Positionen nach Rückmeldung reflektieren.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Lösemittelverwendung aus Sicht von Anwendung und Entsorgung beurteilen.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nach vorgegebenen Kriterien die Inhalte verwendeter Quellen und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nach vorgegebenen fachlichen Kriterien beurteilen.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Daten hinsichtlich ihrer Angemessenheit und 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Reichweite von Daten zur industriellen Gleichgewichtssteuerung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von Diagrammen mit der Intention ihrer Urheber in Beziehung setzen.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Konsum aromatisierter und konservierter Produkte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der Ethanolverwendung fachlich bewerten.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festgelegter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Lösemittelgebrauch mit fachlichen Kriterien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Kenntnisse für die sichere Produktverwendung erläutern.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Produktbewertung von Geschmack, Kosten und persönlichen Präferenzen abgrenzen.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gesellschaftlichen und ökologischen Nutzen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Gesellschaftlichen und ökologischen Nutzen der Ammoniaksynthese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Gefahren und Schutzmaßnahmen beim Umgang mit Alkoholen und Lösemitteln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Verfahren und Erkenntnisse in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Eingriffe in den Kohlenstoffkreislauf im gesellschaftlichen Zusammenhang bewerten.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des eigenen Handelns im Sinne einer nachhaltigen Entwicklung aus ökologischer und ökonomischer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eigener Mobilitätsentscheidungen ökologisch und ökonomisch abwägen.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Kriterien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Kriterien für eine Entscheidung zur Verwendung und Entsorgung eines Lösemittels identifizieren.</w:t>
            </w:r>
            <w:r>
              <w:rPr>
                <w:b w:val="0"/>
                <w:color w:val="000000"/>
                <w:sz w:val="20"/>
              </w:rPr>
              <w:br/>
            </w:r>
            <w:hyperlink w:anchor="uv_EF_01">
              <w:r>
                <w:t>EF.01</w:t>
              </w:r>
            </w:hyperlink>
          </w:p>
        </w:tc>
      </w:tr>
    </w:tbl>
    <w:p>
      <w:pPr>
        <w:spacing w:after="60"/>
      </w:pPr>
    </w:p>
    <w:p>
      <w:bookmarkStart w:id="7046" w:name="abschnitt-264"/>
      <w:pPr>
        <w:pStyle w:val="Heading2"/>
        <w:keepNext/>
        <w:spacing w:after="140"/>
      </w:pPr>
      <w:r>
        <w:t xml:space="preserve">11.4 Qualifikationsphase in Grundkurs und Leistungskurs</w:t>
      </w:r>
      <w:bookmarkEnd w:id="7046"/>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und begründen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Alltagsstoffe nach dem Brønsted-Konzept einordnen und die Ordnung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Werkstoffeigenschaften aus Struktur und Wechselwirkungen vorhersagen.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einer Brennstoffzelle interpretieren.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Reaktionstypen in organischen Synthesewegen bestimmen.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Systeme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Rohstoffgewinnung, Synthese und Verwertung als chemisches Reaktionssystem beschreiben.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konsequent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pH-Beobachtung und Protolysemodell konsequent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Umkehrbarkeit und Gleichgewicht von Protolysen mit dem Donator-Akzeptor-Prinzip erklären.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Ausbeute einer Estersynthese durch Reaktionsbedingungen und Katalyse beeinflussen.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organische Reaktionsverläufe begründet erklären.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und Theorien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Energetik mit physikalischer Arbeit und Energieerhaltung vernetzen.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Kunststoffvielfalt aus Kettenaufbau und Vernetzung erklären.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Energieumwandlungen beim Laden und Entladen auf Teilchenebene deuten.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Fetteigenschaften mit Modellen intra- und intermolekularer Wechselwirkungen erklären.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Reaktionsmechanismen.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Reaktionsmechanismen schrittweise darstellen.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grenzen mithilfe von Modellen den statischen Zustand auf Stoffebene vom dynamischen Zustand auf Teilchenebene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dynamischen Vorgänge an einer Elektrode vom makroskopischen Gleichgewicht unterscheiden.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Teilchenmodellen ausgeglichene Protolysegleichungen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Zellspannungen berechnen; im LK Konzentrationseinflüsse einbeziehen.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einer Korrosionserscheinung eine chemische Problemstellung ableiten.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Untersuchungsfrage zur Konzentration eines Alltagsprodukts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theoriegeleitet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Reaktionshypothesen aus der Spannungsreihe ableiten und prüfen.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 oder modellbasierte Vorgehensweisen,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Eigenschaftsuntersuchungen mit kontrollierten Variablen planen.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Quantitative Analyse sicher durchführen, protokollieren und auswerten.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für Berechnungen,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Elektrochemische Messwerte digital aufnehmen, darstellen und für Berechnungen nutzen.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geeignete Real- oder Denkmodelle (z. B. Atommodelle, Periodensystem der Elemente, Formelschreibweise) aus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passendes Modell zur Erklärung eines Funktionspolymers auswählen.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oder recherchierten Daten Strukturen, Beziehungen und Trends, erklären diese theoriebezogen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Beziehungen in Zellspannungsdaten erkennen und theoriebezogen erklären.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Aussagegrenzen eines Reaktionsmechanismusmodells diskutieren.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eigenen Analyseweg und die Messunsicherheit kritisch reflektieren.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Interpretation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Untersuchungsbefunde zu Fetten mit biologischen und ernährungsbezogenen Fragestellungen verbinden.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(z. B. Reproduzierbarkeit, Falsifizierbarkeit, Intersubjektivität, logische Konsistenz, Vorläufigkeit).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Reproduzierbarkeit, Modellannahmen und Grenzen einer Energiebilanz beurteilen.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zu chemischen Sachverhalten zielgerichtet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Lebensweg eines Kunststoffprodukts zielgerichtet recherchieren.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auch komplexen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Thermodynamische Daten aus Tabellen, Diagrammen und Texten erschließen.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Wirkungsgradangaben verschiedener Quellen anhand ihrer Systemgrenzen vergleichen.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Vertrauenswürdigkeit und Herkunft von Quellen zu Produktnutzen und Risiken prüfen.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Produktpräsentation auf die Zielgruppe zuschneiden.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Alltagsbezeichnung sauer und chemische Beschreibung der Protolyse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geeignete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 Messwerttabelle, Diagramm und Erklärung ineinander überführen.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und interpretieren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Daten zu Lösungsvorgängen strukturieren und Schlussfolgerungen ableiten.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Aufbau und Funktion eines Akkumulators fachsprachlich korrekt darstellen.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gewählte Analyseverfahren fachlich schlüssig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sach-, adressaten- und situationsgerecht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Reaktionsmechanismen mit geeigneten digitalen Darstellungen präsentieren.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prüfen, Quellen belegen und Zitate im Energievergleich kennzeichnen.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konstruktiv über chemische Sachverhalte auch in digitalen kollaborativen Arbeitssituationen aus und vertreten, reflektieren und korrigieren gegebenenfalls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Werkstoffbewertung digital kollaborativ erarbeiten, Rückmeldungen prüfen und die Position gegebenenfalls korrigieren.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Modelle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Produktnutzen und Risiken aus verschiedenen Perspektiven beurteilen.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Inhalte verwendeter Quellen und Medien (z. B. anhand der fachlichen Richtigkeit und Vertrauenswürdigkeit).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Fachliche Richtigkeit und Vertrauenswürdigkeit recherchierter Produktdaten beurteilen.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Informationen und Daten hinsichtlich ihrer Angemessenheit, Grenzen und Tragweite.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Tragweite und Grenzen einer Produktanalyse bewerten.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und Darstellungswahl auf Interessen der Urheber prüfen.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 und wägen sie gegeneinander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Handlungsoptionen für eine Werkstoffwahl nach gewichteten Kriterien abwägen.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Technologien,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von Kunststoffverwertungsverfahren fachlich bewerten.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Ernährungsentscheidung aus chemischen Kriterien zu Fetten begründen.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 und Berufsfelder.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analytischer Kompetenzen für Alltag und Berufsfelder der Qualitätskontrolle erläutern.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Grenzen rein chemischer Bewertung bei sozialen und wirtschaftlichen Produktfragen aufzeigen.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gesellschaftliche Relevanz und ökologische Bedeutung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 Relevanz und ökologische Bedeutung elektrochemischer Verfahren bewerten.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 und leiten daraus begründet Handlungsoptionen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Sichere Handlungsoptionen bei der Anwendung eines Reinigers ableiten.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in historischen und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von Korrosionsschutz in historischen und aktuellen technischen Anwendungen beurteilen.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sowie des eigenen Handelns im Sinne einer nachhaltigen Entwicklung aus ökologischer, ökonomischer und sozialer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Werkstoffwahl und eigenes Konsumverhalten ökologisch, ökonomisch und sozial bewerten.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Kriterien und Strategien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Gewichtung von Kriterien der Werkstoffentscheidung reflektieren.</w:t>
            </w:r>
            <w:r>
              <w:rPr>
                <w:b w:val="0"/>
                <w:color w:val="000000"/>
                <w:sz w:val="20"/>
              </w:rPr>
              <w:br/>
            </w:r>
            <w:hyperlink w:anchor="uv_GK_07">
              <w:r>
                <w:t>GK.07</w:t>
              </w:r>
            </w:hyperlink>
            <w:r>
              <w:rPr>
                <w:b w:val="0"/>
                <w:color w:val="000000"/>
                <w:sz w:val="20"/>
              </w:rPr>
              <w:t xml:space="preserve">, </w:t>
            </w:r>
            <w:hyperlink w:anchor="uv_LK_07">
              <w:r>
                <w:t>LK.07</w:t>
              </w:r>
            </w:hyperlink>
          </w:p>
        </w:tc>
      </w:tr>
    </w:tbl>
    <w:p>
      <w:pPr>
        <w:spacing w:after="60"/>
      </w:pPr>
    </w:p>
    <w:p>
      <w:bookmarkStart w:id="7047" w:name="register"/>
      <w:pPr>
        <w:pStyle w:val="Heading1"/>
        <w:keepNext/>
        <w:pageBreakBefore/>
        <w:spacing w:after="140"/>
      </w:pPr>
      <w:r>
        <w:t xml:space="preserve">12 Register der konkretisierten Kompetenzen</w:t>
      </w:r>
      <w:bookmarkEnd w:id="7047"/>
    </w:p>
    <w:p>
      <w:pPr>
        <w:spacing w:after="140"/>
      </w:pPr>
      <w:r>
        <w:t>Jede Zeile steht für eine konkretisierte Kompetenzerwartung. Ihr vollständiger Wortlaut befindet sich in den angegebenen Unterrichtsvorhaben. Die Kurzbezeichnung dient dem Auffinden; die Seitenangabe verweist auf den jeweiligen Kernlehrplan.</w:t>
      </w:r>
    </w:p>
    <w:p>
      <w:bookmarkStart w:id="7048" w:name="abschnitt-266"/>
      <w:pPr>
        <w:pStyle w:val="Heading2"/>
        <w:keepNext/>
        <w:spacing w:after="140"/>
      </w:pPr>
      <w:r>
        <w:t xml:space="preserve">12.1 Sekundarstufe I erste Stufe</w:t>
      </w:r>
      <w:bookmarkEnd w:id="7048"/>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Reinstoffe aufgrund charakteristischer Eigenschaften (Schmelztemperatur/Siedetemperatur, Dichte, Löslichkeit) identifizieren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Stoffe aufgrund ihrer Eigenschaften klassifizieren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messbare Stoffeigenschaft experimentell ermitteln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Trennung eines Stoffgemisches in Reinstoffe (Filtration, Destillation) unter Nutzung relevanter Stoffeigenschaften planen und sachgerecht durchführen (E1, E2, E3, E4,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und deren Änderungen auf der Grundlage eines einfachen Teilchenmodells erklären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Verwendung ausgewählter Stoffe im Alltag mithilfe ihrer Eigenschaften begründen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 der Bildung von neuen Stoffen mit anderen Eigenschaften und in Abgrenzung zu physikalischen Vorgängen identifizieren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in Form von Reaktionsschemata in Worten darstellen (UF1,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Energieumwandlung der in den Stoffen gespeicherten Energie (chemische Energie) in andere Energieformen begründet angeben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Bedeutung der Aktivierungsenergie zum Auslösen einer Reaktion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einfache chemische Reaktionen sachgerecht durchführen und auswerten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anhand von Stoff- und Energieumwandlungen auch im Alltag identifizieren (E2,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Reaktionen in der Lebenswelt begründen (B1,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anhand von Beispielen Reinstoffe in chemische Elemente und Verbindungen einteilen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wichtigsten Bestandteile des Gasgemisches Luft, ihre Eigenschaften und Anteile nennen (UF1,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Verbrennung als eine chemische Reaktion mit Sauerstoff identifizieren und als Oxidbildung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Analyse und Synthese von Wasser als Beispiel für die Umkehrbarkeit chemischer Reaktionen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 einem einfachen Atommodell Massenänderungen bei chemischen Reaktionen mit Sauerstoff erklären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Nachweisreaktionen von Gasen (Sauerstoff, Wasserstoff, Kohlenstoffdioxid) und Wasser durchführen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Verbleib von Verbrennungsprodukten (Kohlenstoffdioxid, Wasser) mit dem Gesetz von der Erhaltung der Masse begründen (E3, E6, E7,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 vorgegebenen Situationen Handlungsmöglichkeiten zum Umgang mit brennbaren Stoffen zur Brandvorsorge sowie mit offenem Feuer zur Brandbekämpfung bewerten und sich begründet für eine Handlung entscheiden (B2, B3,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einer ressourcenschonenden Energieversorgung auf Grundlage der Umkehrbarkeit chemischer Reaktionen am Beispiel von Wasser beschreiben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bei denen Sauerstoff abgegeben wird, als Zerlegung von Oxiden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Metalle aufgrund ihrer Reaktionsfähigkeit mit Sauerstoff als edle und unedle Metalle ordnen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Zerlegung von ausgewählten Metalloxiden hypothesengeleitet planen und geeignete Reaktionspartner auswählen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Sauerstoffübertragungsreaktionen im Sinne des Donator-Akzeptor-Konzeptes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Verfahren zur Herstellung von Metallen erläutern und ihre Bedeutung für die gesellschaftliche Entwicklung beschreiben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des Metallrecyclings im Zusammenhang mit Ressourcenschonung und Energieeinsparung beschreiben und auf dieser Basis das eigene Konsum- und Entsorgungsverhalten bewerten (B1,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Maßnahmen zum Löschen von Metallbränden auf der Grundlage der Sauerstoffübertragungsreaktion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bl>
    <w:p>
      <w:pPr>
        <w:spacing w:after="60"/>
      </w:pPr>
    </w:p>
    <w:p>
      <w:bookmarkStart w:id="7049" w:name="abschnitt-267"/>
      <w:pPr>
        <w:pStyle w:val="Heading2"/>
        <w:keepNext/>
        <w:spacing w:after="140"/>
      </w:pPr>
      <w:r>
        <w:t xml:space="preserve">12.2 Sekundarstufe I zweite Stufe</w:t>
      </w:r>
      <w:bookmarkEnd w:id="7049"/>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Vorkommen und Nutzen ausgewählter chemischer Elemente und ihrer Verbindungen in Alltag und Umwelt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Elemente anhand ihrer charakteristischen physikalischen und chemischen Eigenschaften den Elementfamilien zuordnen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dem Periodensystem der Elemente wesentliche Informationen zum Atombau der Hauptgruppenelemente (Elektronenkonfiguration, Atommasse) herleiten (UF3, UF4,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r>
              <w:rPr>
                <w:b w:val="0"/>
                <w:color w:val="000000"/>
                <w:sz w:val="20"/>
              </w:rPr>
              <w:t xml:space="preserve">, </w:t>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physikalische und chemische Eigenschaften von Alkalimetallen, Halogenen und Edelgasen mithilfe ihrer Stellung im Periodensystem begründet vorhersagen (E3),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Entwicklung eines differenzierten Kern-Hülle-Modells auf der Grundlage von Experimenten, Beobachtungen und Schlussfolgerungen beschreiben (E2,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Aussagekraft verschiedener Kern-Hülle-Modelle beschreiben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dem Hintergrund der begrenzten Verfügbarkeit eines chemischen Elements bzw. seiner Verbindungen Handlungsoptionen für ein ressourcenschonendes Konsumverhalten entwickeln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Salzen mit ihrem Aufbau aus Ionen und der Ionenbindung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die Salzbildung unter Einbezug energetischer Betrachtungen auch mit Angabe einer Reaktionsgleichung in Ionenschreibweise erläutern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Gehalt von Salzen in einer Lösung durch Eindampfen ermitteln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das Gesetz der konstanten Massenverhältnisse erklären und eine chemische Verhältnisformel herleiten (E6, E7,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 Umwelt- und Gesundheitsaspekten die Verwendung von Salzen im Alltag reflektieren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Abgabe von Elektronen als Oxidation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Aufnahme von Elektronen als Reduktion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Reaktionen zwischen Metallatomen und Metallionen als Elektronenübertragungsreaktionen deuten und diese auch mithilfe digitaler Animationen und Teilgleichungen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chemischen Prozesse eines galvanischen Elements und einer Elektrolyse unter dem Aspekt der Umwandlung in Stoffen gespeicherter Energie in elektrische Energie und umgekehrt erläutern (UF2,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grundlegenden Aufbau und die Funktionsweise einer Batterie, eines Akkumulators und einer Brennstoffzelle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planen, die eine Einordnung von Metallionen hinsichtlich ihrer Fähigkeit zur Elektronenaufnahme erlauben und diese sachgerecht durchführen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Elektronenübertragungsreaktionen im Sinne des Donator-Akzeptor-Prinzips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Gebrauch unterschiedlicher elektrochemischer Energiequellen im Alltag reflektieren (B2, B3,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ausgewählten Beispielen die Elektronenpaarbindung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mithilfe der Lewis-Schreibweise den Aufbau einfacher Moleküle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Synthese eines Industrierohstoffs aus Synthesegas (z.B. Methan oder Ammoniak) auch mit Angabe von Reaktionsgleichungen erläutern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räumliche Struktur von Molekülen mit dem Elektronenpaarabstoßungsmodell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Temperaturänderung beim Lösen von Salzen in Wasser erläutern (E1,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Eigenschaften von Wasser mithilfe des Dipol-Charakters der Wassermoleküle und der Ausbildung von Wasserstoffbrücken zwischen den Molekülen erläutern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Wirkungsweise eines Katalysators modellhaft an der Synthese eines Industrierohstoffs erläutern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 technisches Verfahren zur Industrierohstoffgewinnung aus Gasen mithilfe digitaler Medien beschaffen und Bewertungskriterien auch unter Berücksichtigung der Energiespeicherung festlegen (B2,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Darstellungen von Modellen kleiner Moleküle auch mithilfe einer Software vergleichend gegenüberstellen (B1, K1,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Eigenschaften von sauren und alkalischen Lösungen mit dem Vorhandensein charakteristischer hydratisierter Ionen erklären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Protonendonatoren als Säuren und Protonenakzeptoren als Basen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einfachen Beispielen die Vorgänge der Protonenabgabe und -aufnahme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Neutralisationsreaktionen und Salzbildungen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charakteristische Eigenschaften von sauren Lösungen (elektrische Leitfähigkeit, Reaktionen mit Metallen, Reaktionen mit Kalk) und alkalischen Lösungen ermitteln und auch unter Angabe von Reaktionsgleichungen erläutern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pH-Wert einer Lösung bestimmen und die pH-Wertskala mithilfe von Verdünnungen ableiten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ausgehend von einfachen stöchiometrischen Berechnungen Hypothesen und Reaktionsgleichungen zur Neutralisation von sauren bzw. alkalischen Lösungen aufstellen und experimentell überprüfen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ausgewählte Neutralisationsreaktion auf Teilchenebene als digitale Präsentation gestalten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beim Umgang mit sauren und alkalischen Lösungen Risiken und Nutzen abwägen und angemessene Sicherheitsmaßnahmen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zu sauren, alkalischen und neutralen Lösungen in analogen und digitalen Medien kritisch hinterfragen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organische Molekülverbindungen aufgrund ihrer Eigenschaften in Stoffklassen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Verbindungen nach der systematischen Nomenklatur benennen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Treibhausgase und ihre Ursprünge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Abfolge verschiedener Reaktionen in einem Stoffkreislauf erklären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vielseitige Verwendung von Kunststoffen im Alltag mit ihren Eigenschaften begründen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räumliche Strukturen von Kohlenwasserstoffmolekülen auch mithilfe von digitalen Modellen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Stoffeigenschaften wie Löslichkeit und Siedetemperatur von ausgewählten Alkanen und Alkanolen ermitteln und mithilfe ihrer Molekülstrukturen und zwischenmolekularen Wechselwirkungen erklären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von Verbrennungsvorgängen fossiler und regenerativer Energierohstoffe digital beschaffen und vergleichen (E5,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Kunststoffen auf deren makromolekulare Struktur und räumliche Anordnung zurückführen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der Nutzung von fossilen und regenerativen Energieträgern unter ökologischen, ökonomischen und ethischen Gesichtspunkten diskutieren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am Beispiel eines chemischen Produkts Kriterien hinsichtlich Verwendung, Ökonomie, Recyclingfähigkeit und Umweltverträglichkeit abwägen und im Hinblick auf die Verwendung einen eigenen sachlich fundierten Standpunkt beziehen (B3,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bl>
    <w:p>
      <w:pPr>
        <w:spacing w:after="60"/>
      </w:pPr>
    </w:p>
    <w:p>
      <w:bookmarkStart w:id="7050" w:name="abschnitt-268"/>
      <w:pPr>
        <w:pStyle w:val="Heading2"/>
        <w:keepNext/>
        <w:spacing w:after="140"/>
      </w:pPr>
      <w:r>
        <w:t xml:space="preserve">12.3 Einführungsphase</w:t>
      </w:r>
      <w:bookmarkEnd w:id="7050"/>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ordnen organische Verbindungen aufgrund ihrer funktionellen Gruppen in Stoffklassen ein und benennen diese nach systematischer Nomenklatur (S1, S6,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intermolekulare Wechselwirkungen organischer Verbindungen und erklären ausgewählte Eigenschaften sowie die Verwendung organischer Stoffe auf dieser Grundlage (S2, S13,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das Donator-Akzeptor-Prinzip unter Verwendung der Oxidationszahlen am Beispiel der Oxidationsreihe der Alkanole (S4, S12,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Isomere von Alkanolen dar und erklären die Konstitutionsisomerie (S11,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auch unter Nutzung digitaler Werkzeuge die Molekülgeometrie von Kohlenstoffverbindungen dar und erklären die Molekülgeometrie mithilfe des EPA-Modells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die Beobachtungen von Experimenten zur Oxidationsreihe der Alkanole und weisen die jeweiligen Produkte nach (E2, E5, S14),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Estersynthesen durch und leiten aus Stoffeigenschaften der erhaltenen Produkte Hypothesen zum strukturellen Aufbau der Estergruppe ab (E3,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Hypothesen zu Struktureigenschaftsbeziehungen einer ausgewählten Stoffklasse auf und untersuchen diese experimentell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Auswirkungen der Aufnahme von Ethanol hinsichtlich oxidativer Abbauprozesse im menschlichen Körper unter Aspekten der Gesunderhaltung (B6, B7, E1, E11,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den Einsatz von Konservierungs- und Aromastoffen in der Lebensmittelindustrie aus gesundheitlicher und ökonomischer Perspektive und leiten entsprechende Handlungsoptionen zu deren Konsum ab (B5, B9, B10, K5,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Verwendung von Lösemitteln in Produkten des Alltags auch im Hinblick auf die Entsorgung aus chemischer und ökologischer Perspektive (B1, B7, B8, B11, B14, S2, S10,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den Einfluss eines Katalysators auf die Reaktionsgeschwindigkeit auch anhand grafischer Darstellungen (S3,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Merkmale eines chemischen Gleichgewichtes anhand ausgewählter Reaktionen (S7,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anhand ausgewählter Reaktionen die Beeinflussung des chemischen Gleichgewichts nach dem Prinzip von Le Chatelier auch im Zusammenhang mit einem technischen Verfahren (S8,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r>
              <w:rPr>
                <w:b w:val="0"/>
                <w:color w:val="000000"/>
                <w:sz w:val="20"/>
              </w:rPr>
              <w:t xml:space="preserve">, </w:t>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rechnerisch Gleichgewichtslagen ausgewählter Reaktionen mithilfe des Massenwirkungsgesetzes und interpretieren die Ergebnisse (S7, S8,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die Durchschnittsgeschwindigkeit chemischer Reaktionen und ermitteln diese grafisch aus experimentellen Daten (E5, K7,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aufgestellte Hypothesen zum Einfluss verschiedener Faktoren auf die Reaktionsgeschwindigkeit durch Untersuchungen des zeitlichen Ablaufs einer chemischen Reaktion (E3, E4, E10,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zeitlichen Ablauf chemischer Reaktionen auf molekularer Ebene mithilfe der Stoßtheorie auch unter Nutzung digitaler Werkzeuge dar und deuten die Ergebnisse (E6, E7, E8,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simulieren den chemischen Gleichgewichtszustand als dynamisches Gleichgewicht auch unter Nutzung digitaler Werkzeuge (E6, E9,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ökologischen wie ökonomischen Nutzen und die Grenzen der Beeinflussbarkeit chemischer Gleichgewichtslagen in einem technischen Verfahren (B3, B10, B12,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im Zusammenhang mit der jeweiligen Intention der Urheberschaft verschiedene Quellen und Darstellungsformen zu den Folgen anthropogener Einflüsse in einen natürlichen Stoffkreislauf (B2, B4, S5, K1, K2, K3, K4,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Folgen eines Eingriffs in einen Stoffkreislauf mit Blick auf Gleichgewichtsprozesse in aktuell-gesellschaftlichen Zusammenhängen (B12, B13, B14, S5, E12,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bl>
    <w:p>
      <w:pPr>
        <w:spacing w:after="60"/>
      </w:pPr>
    </w:p>
    <w:p>
      <w:bookmarkStart w:id="7051" w:name="abschnitt-269"/>
      <w:pPr>
        <w:pStyle w:val="Heading2"/>
        <w:keepNext/>
        <w:spacing w:after="140"/>
      </w:pPr>
      <w:r>
        <w:t xml:space="preserve">12.4 Grundkurs</w:t>
      </w:r>
      <w:bookmarkEnd w:id="7051"/>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Alltagsprodukten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unterschiedlichen Reaktionsgeschwindigkeiten von starken und schwachen Säuren mit unedlen Metallen oder Salzen anhand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bei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endotherme und exotherme Lösungsvorgänge bei Salzen unter Berücksichtigung der Gitter- und Solvatationsenergie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am Beispiel starker Säuren und Basen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einer galvanischen Zelle hinsichtlich der chemischen Prozesse auch mit digitalen Werkzeugen und berechnen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 ausgewählter elektrochemischer Spannungsquellen aus Alltag und Technik (Batterie, Akkumulator, Brennstoffzelle) unter Berücksichtigung der Teilreaktionen und möglicher Zellspannungen (S10, S12,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Bildung eines Lokalelements bei Korrosionsvorgängen auch mithilfe von Reaktionsgleichungen (S3, S16,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(S3,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r>
              <w:rPr>
                <w:b w:val="0"/>
                <w:color w:val="000000"/>
                <w:sz w:val="20"/>
              </w:rPr>
              <w:t xml:space="preserve">, </w:t>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Metallatomen und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eigenständig ausgewählte Experimente zum Korrosionsschutz (Galvanik, Opferanode) und führen sie durch (E1,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auch rechnerisch die Standardreaktionsenthalpien ausgewählter Redoxreaktionen unter Anwendung des Satzes von Hess (E4, E7,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Verbrennung fossiler Energieträger und elektrochemische Energiewandler hinsichtlich Effizienz und Nachhaltigkeit auch mithilfe von recherchierten thermodynamischen Daten (B2, B4, E8,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auf Grundlage der relevanten chemischen und thermodynamischen Aspekte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von Vertretern der Stoffklassen der Alkane, Halogenalkane, Alkene, Alkine, Alkanole, Alkanale, Alkanone, Carbonsäuren, Ester und Amine auch mit digitalen Werkzeugen dar und berücksichtigen dabei auch ausgewählte Isomere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Berücksichtigung von inter- und intramolekularen Wechselwirkungen (S2,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Reaktionsmechanismen der radikalischen Substitutions- und elektrophilen Additionsreaktion unter Berücksichtigung der spezifischen Reaktionsbedingungen auch mit digitalen Werkzeugen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vorgegebenen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ihrer molekularen Strukturen (Kettenlänge, Vernetzungsgrad)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ermittelte Stoffeigenschaften am Beispiel eines Funktionspolymers mit geeigneten Modellen (E1, E5, E7,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46</w:t>
            </w:r>
          </w:p>
        </w:tc>
      </w:tr>
    </w:tbl>
    <w:p>
      <w:pPr>
        <w:spacing w:after="60"/>
      </w:pPr>
    </w:p>
    <w:p>
      <w:bookmarkStart w:id="7052" w:name="abschnitt-270"/>
      <w:pPr>
        <w:pStyle w:val="Heading2"/>
        <w:keepNext/>
        <w:spacing w:after="140"/>
      </w:pPr>
      <w:r>
        <w:t xml:space="preserve">12.5 Leistungskurs</w:t>
      </w:r>
      <w:bookmarkEnd w:id="7052"/>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Produkten des Alltags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unterschiedlichen Reaktionsgeschwindigkeiten von starken und schwachen Säuren mit unedlen Metallen oder Salzen anhand der unterschiedlichen Gleichgewichtslage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die Säure-/Base-Konstante und den pKS/pKB-Wert von Säuren und Basen mithilfe des Massenwirkungsgesetzes ab und berechnen diese (S7,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auch bei nicht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sagen den Verlauf von Titrationskurven von starken und schwachen Säuren und Basen anhand der Berechnung der charakteristischen Punkte (AnfangspH-Wert, Halbäquivalenzpunkt, Äquivalenzpunkt) voraus (S10,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Wirkung eines Puffersystems auf Grundlage seiner Zusammensetzung (S2,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den pH-Wert von Puffersystemen anhand der Henderson-Hasselbalch-Gleichung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endotherme und exotherme Lösungsvorgänge bei Salzen unter Einbeziehung der Gitter- und Solvatationsenergie und führen den spontanen Ablauf eines endothermen Lösungsvorgangs auf die Entropieänderung zurück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Fällungsreaktionen auf der Grundlage von Löslichkeitsgleichgewichten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werten pH-metrische Titrationen von ein- und mehrprotonigen Säuren aus und erläutern den Verlauf der Titrationskurven auch bei unvollständiger Protolyse (S9, E8, E10,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Messdaten von Lösungsenthalpien verschiedener Salze unter Berücksichtigung der Entropie (S12,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verschiedene Säure-Base-Titrationsverfahren hinsichtlich ihrer Angemessenheit und Grenzen (B3, K8,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galvanischer Zellen hinsichtlich der chemischen Prozesse auch mithilfe digitaler Werkzeuge und berechnen auch unter Berücksichtigung der Nernst-Gleichung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und vergleichen den Aufbau und die Funktion ausgewählter elektrochemischer Spannungsquellen aus Alltag und Technik (Batterie, Akkumulator, Brennstoffzelle) unter Berücksichtigung der Teilreaktionen sowie möglicher Zellspannungen (S10, S12, S16,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S16,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für die Elektrolyse benötigte Zersetzungsspannung unter Berücksichtigung des Phänomens der Überspannung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Stoffumsätze unter Anwendung der Faraday-Gesetze (S3,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unter Berücksichtigung der Einschränkung durch den zweiten Hauptsatz der Thermodynamik (S3, S12,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die freie Enthalpie bei Redoxreaktionen (S3,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Metallund Nichtmetallatomen sowie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das Verfahren der Redoxtitration zur Ermittlung der Konzentration eines Stoffes begründet an (E5, S3,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Ionenkonzentration von ausgewählten Metall- und Nichtmetallionen mithilfe der Nernst-Gleichung aus Messdaten galvanischer Zellen (E6, E8, S17, K5),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Herleitung elektrochemischer und thermodynamischer Gesetzmäßigkeiten (Faraday, Nernst, Gibbs-Helmholtz) aus experimentellen Daten (E8,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Leistung einer elektrochemischen Spannungsquelle an einem Beispiel (E5, E10,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zur Bildung von Lokalelementen als Grundlage von Korrosionsvorgängen und überprüfen diese experimentell (E1, E3, E5,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ausgewählte Verfahren zum Korrosionsschutz (Galvanik, Opferanode) und führen diese durch (E1,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Standardreaktionsenthalpien ausgewählter Redoxreaktionen unter Anwendung des Satzes von Hess auch rechnerisch (E2, E4, E7, S16,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auch unter Berücksichtigung des energetischen Wirkungsgrads fossile und elektrochemische Energiequellen (B2, B4,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auch unter Berücksichtigung thermodynamischer Gesetzmäßigkeiten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ökologische und ökonomische Aspekte der elektrolytischen Gewinnung eines Stoffes unter Berücksichtigung der Faraday-Gesetze (B10, B13, E8,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der Berücksichtigung von inter- und intramolekularen Wechselwirkungen (S2, S13,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auch mit digitalen Werkzeugen die Reaktionsmechanismen unter Berücksichtigung der spezifischen Reaktionsbedingungen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Aufbau und die Wirkungsweise eines Katalysators unter Berücksichtigung des Konzepts der koordinativen Bindung als Wechselwirkung von Metallkationen mit freien Elektronenpaaren (S13,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Reaktivität eines aromatischen Systems anhand der Struktur und erläutern in diesem Zusammenhang die Mesomerie (S9, S13, E9,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Farbstoffe sowohl auf Grundlage struktureller Merkmale als auch nach ihrer Verwendung (S10, S11,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Farbigkeit ausgewählter Stoffe durch Lichtabsorption auch unter Berücksichtigung der Molekülstruktur mithilfe des Mesomeriemodells (mesomere Grenzstrukturen, Delokalisation von Elektronen, Donator-Akzeptor-Gruppen) (S2, E7,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Chlorid- und Bromid-Ionen,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Reaktionsverhalten aus der Molekülstruktur (E3, E12,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trennen mithilfe eines chromatografischen Verfahrens Stoffgemische und analysieren ihre Bestandteile durch Interpretation der Retentionsfaktoren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Absorptionsspektren ausgewählter Farbstofflösungen (E8, K2,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selbst entwickelten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Möglichkeiten und Grenzen von Modellvorstellungen bezüglich der Struktur organischer Verbindungen und die Reaktionsschritte von Synthesen für die Vorhersage der Bildung von Reaktionsprodukten (B1, B2,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verschiedener Farbstoffe in Alltagsprodukten aus chemischer, ökologischer und ökonomischer Sicht (B9, B13,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der molekularen Strukturen (Kettenlänge, Vernetzungsgrad, Anzahl und Wechselwirkung verschiedenartiger Monomere)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Reaktionsschritte einer radikalischen Polymerisation (S4,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ein technisches Syntheseverfahren auch unter Berücksichtigung der eingesetzten Katalysatoren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Merkmale von Nanomaterialien am Beispiel von Alltagsprodukten (S1,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ermittelte Stoffeigenschaften am Beispiel eines Funktionspolymers mit geeigneten Modellen (E1, E5,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veranschaulichen die Größenordnung und Reaktivität von Nanopartikeln (E7,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eine experimentell ermittelte Oberflächeneigenschaft eines ausgewählten Nanoprodukts anhand der Nanostruktur (E5,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der Reaktionsbedingungen für die Synthese eines Kunststoffs im Hinblick auf Atom- und Energieeffizienz, Abfall- und Risikovermeidung sowie erneuerbare Ressourcen (B1, B10),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in verschiedenen Quellen die Chancen und Risiken von Nanomaterialien am Beispiel eines Alltagsproduktes und bewerten diese unter Berücksichtigung der Intention der Autoren (B2, B4, B13,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bl>
    <w:p>
      <w:pPr>
        <w:spacing w:after="60"/>
      </w:pPr>
    </w:p>
    <w:p>
      <w:bookmarkStart w:id="48" w:name="quellen"/>
      <w:pPr>
        <w:pStyle w:val="Heading1"/>
        <w:pageBreakBefore/>
        <w:suppressAutoHyphens w:val="1"/>
      </w:pPr>
      <w:r>
        <w:t xml:space="preserve">13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28.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28.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 xml:space="preserve">Schulischer Beispielprompt zur Erzeugung von Chemie-Übungsklausuren mit Erwartungshorizont. Didaktisch gefasstes Anwendungsbeispiel in Kapitel 18 .</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pPr>
        <w:pStyle w:val="ListBullet"/>
      </w:pPr>
      <w:hyperlink r:id="rIdAudit187">
        <w:r>
          <w:rPr>
            <w:rStyle w:val="Hyperlink"/>
          </w:rPr>
          <w:t xml:space="preserve">Medienkompetenzrahmen NRW</w:t>
        </w:r>
      </w:hyperlink>
    </w:p>
    <w:p>
      <w:pPr>
        <w:pStyle w:val="ListBullet"/>
      </w:pPr>
      <w:hyperlink r:id="rIdAudit188">
        <w:r>
          <w:rPr>
            <w:rStyle w:val="Hyperlink"/>
          </w:rPr>
          <w:t xml:space="preserve">MKR: amtliche Chemie-Synopse Sek I</w:t>
        </w:r>
      </w:hyperlink>
    </w:p>
    <w:p>
      <w:pPr>
        <w:pStyle w:val="ListBullet"/>
      </w:pPr>
      <w:hyperlink r:id="rIdAudit189">
        <w:r>
          <w:rPr>
            <w:rStyle w:val="Hyperlink"/>
          </w:rPr>
          <w:t xml:space="preserve">MKR: amtliche Chemie-Synopse Oberstufe</w:t>
        </w:r>
      </w:hyperlink>
    </w:p>
    <w:p>
      <w:pPr>
        <w:pStyle w:val="ListBullet"/>
      </w:pPr>
      <w:hyperlink r:id="rIdAudit190">
        <w:r>
          <w:rPr>
            <w:rStyle w:val="Hyperlink"/>
          </w:rPr>
          <w:t xml:space="preserve">Rahmenvorgabe Verbraucherbildung NRW</w:t>
        </w:r>
      </w:hyperlink>
    </w:p>
    <w:p>
      <w:pPr>
        <w:pStyle w:val="ListBullet"/>
      </w:pPr>
      <w:hyperlink r:id="rIdAudit191">
        <w:r>
          <w:rPr>
            <w:rStyle w:val="Hyperlink"/>
          </w:rPr>
          <w:t xml:space="preserve">Verbraucherbildung: amtliche Chemie-Synopse Sek I</w:t>
        </w:r>
      </w:hyperlink>
    </w:p>
    <w:p>
      <w:pPr>
        <w:pStyle w:val="ListBullet"/>
      </w:pPr>
      <w:hyperlink r:id="rIdAudit192">
        <w:r>
          <w:rPr>
            <w:rStyle w:val="Hyperlink"/>
          </w:rPr>
          <w:t xml:space="preserve">Verbraucherbildung: amtliche Chemie-Synopse Oberstufe</w:t>
        </w:r>
      </w:hyperlink>
    </w:p>
    <w:p>
      <w:pPr>
        <w:pStyle w:val="Heading1"/>
        <w:jc w:val="left"/>
        <w:pageBreakBefore/>
      </w:pPr>
      <w:r>
        <w:rPr/>
        <w:t xml:space="preserve">14 Klausuren gestalten und bewerten</w:t>
      </w:r>
      <w:bookmarkStart w:id="9902" w:name="klausurengestaltung"/>
      <w:bookmarkEnd w:id="9902"/>
    </w:p>
    <w:p>
      <w:pPr>
        <w:pStyle w:val="Heading2"/>
        <w:jc w:val="left"/>
      </w:pPr>
      <w:r>
        <w:rPr/>
        <w:t xml:space="preserve">14.1 Zielsetzung und Kontextorientierung</w:t>
      </w:r>
      <w:bookmarkStart w:id="9903" w:name="klausuren_1"/>
      <w:bookmarkEnd w:id="9903"/>
    </w:p>
    <w:p>
      <w:pPr>
        <w:jc w:val="both"/>
      </w:pPr>
      <w:r>
        <w:rPr/>
        <w:t>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Vorbereitung auf diese Prüfungsformate bedeutet nicht, dass die neuen Prüfungsregelungen bereits gelten. Die GKL werden im anschließenden Kapitel 15 behandelt.</w:t>
      </w:r>
    </w:p>
    <w:p>
      <w:pPr>
        <w:jc w:val="both"/>
      </w:pPr>
      <w:r>
        <w:rPr>
          <w:b/>
        </w:rPr>
        <w:t>Amtliche Grundlagen:</w:t>
      </w:r>
      <w:r>
        <w:rPr/>
        <w:t xml:space="preserve"> </w:t>
      </w:r>
      <w:hyperlink r:id="rIdKlausur57">
        <w:r>
          <w:rPr>
            <w:color w:val="174D72"/>
            <w:u w:val="single"/>
          </w:rPr>
          <w:t xml:space="preserve">Kernlehrplan 2022 (Kap. 3/4) ↗</w:t>
        </w:r>
      </w:hyperlink>
      <w:r>
        <w:rPr/>
        <w:t xml:space="preserve"> · </w:t>
      </w:r>
      <w:hyperlink r:id="rIdKlausur58">
        <w:r>
          <w:rPr>
            <w:color w:val="174D72"/>
            <w:u w:val="single"/>
          </w:rPr>
          <w:t xml:space="preserve">Konstruktionsvorgaben ↗</w:t>
        </w:r>
      </w:hyperlink>
      <w:r>
        <w:rPr/>
        <w:t xml:space="preserve"> · </w:t>
      </w:r>
      <w:hyperlink r:id="rIdKlausur59">
        <w:r>
          <w:rPr>
            <w:color w:val="174D72"/>
            <w:u w:val="single"/>
          </w:rPr>
          <w:t xml:space="preserve">Operatorenliste ↗</w:t>
        </w:r>
      </w:hyperlink>
      <w:r>
        <w:rPr/>
        <w:t xml:space="preserve"> · </w:t>
      </w:r>
      <w:hyperlink r:id="rIdKlausur60">
        <w:r>
          <w:rPr>
            <w:color w:val="174D72"/>
            <w:u w:val="single"/>
          </w:rPr>
          <w:t xml:space="preserve">Schulgesetz (§ 48) ↗</w:t>
        </w:r>
      </w:hyperlink>
      <w:r>
        <w:rPr/>
        <w:t xml:space="preserve"> · </w:t>
      </w:r>
      <w:hyperlink r:id="rIdKlausur61">
        <w:r>
          <w:rPr>
            <w:color w:val="174D72"/>
            <w:u w:val="single"/>
          </w:rPr>
          <w:t xml:space="preserve">APO-GOSt aktuell ↗</w:t>
        </w:r>
      </w:hyperlink>
      <w:r>
        <w:rPr/>
        <w:t xml:space="preserve"> · </w:t>
      </w:r>
      <w:hyperlink r:id="rIdKlausur62">
        <w:r>
          <w:rPr>
            <w:color w:val="174D72"/>
            <w:u w:val="single"/>
          </w:rPr>
          <w:t xml:space="preserve">APO-GOSt ab 2027 ↗</w:t>
        </w:r>
      </w:hyperlink>
    </w:p>
    <w:p>
      <w:pPr>
        <w:pStyle w:val="Heading2"/>
        <w:jc w:val="left"/>
      </w:pPr>
      <w:r>
        <w:rPr/>
        <w:t xml:space="preserve">14.2 Anforderungsbereiche und ihre Gewichtung</w:t>
      </w:r>
      <w:bookmarkStart w:id="9904" w:name="klausuren_2"/>
      <w:bookmarkEnd w:id="9904"/>
    </w:p>
    <w:p>
      <w:pPr>
        <w:jc w:val="both"/>
        <w:keepNext/>
      </w:pPr>
      <w:r>
        <w:rPr/>
        <w:t>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Bereich</w:t>
            </w:r>
          </w:p>
        </w:tc>
        <w:tc>
          <w:tcPr>
            <w:tcW w:w="3500" w:type="dxa"/>
            <w:vAlign w:val="center"/>
            <w:shd w:fill="DDE9EC"/>
          </w:tcPr>
          <w:p>
            <w:pPr>
              <w:spacing w:before="20" w:after="20" w:line="260" w:lineRule="auto"/>
              <w:jc w:val="left"/>
              <w:keepNext/>
            </w:pPr>
            <w:r>
              <w:rPr>
                <w:sz w:val="18"/>
                <w:b/>
              </w:rPr>
              <w:t>Verlangte Leistung</w:t>
            </w:r>
          </w:p>
        </w:tc>
        <w:tc>
          <w:tcPr>
            <w:tcW w:w="3774" w:type="dxa"/>
            <w:vAlign w:val="center"/>
            <w:shd w:fill="DDE9EC"/>
          </w:tcPr>
          <w:p>
            <w:pPr>
              <w:spacing w:before="20" w:after="20" w:line="260" w:lineRule="auto"/>
              <w:jc w:val="left"/>
              <w:keepNext/>
            </w:pPr>
            <w:r>
              <w:rPr>
                <w:sz w:val="18"/>
                <w:b/>
              </w:rPr>
              <w:t>Fachliches Beispiel</w:t>
            </w:r>
          </w:p>
        </w:tc>
      </w:tr>
      <w:tr>
        <w:trPr>
          <w:cantSplit/>
        </w:trPr>
        <w:tc>
          <w:tcPr>
            <w:tcW w:w="1800" w:type="dxa"/>
            <w:vAlign w:val="center"/>
            <w:shd w:fill="FFFFFF"/>
          </w:tcPr>
          <w:p>
            <w:pPr>
              <w:spacing w:before="20" w:after="20" w:line="260" w:lineRule="auto"/>
              <w:jc w:val="left"/>
              <w:keepNext/>
            </w:pPr>
            <w:r>
              <w:rPr>
                <w:sz w:val="18"/>
              </w:rPr>
              <w:t>I · Reproduktion</w:t>
            </w:r>
          </w:p>
        </w:tc>
        <w:tc>
          <w:tcPr>
            <w:tcW w:w="3500" w:type="dxa"/>
            <w:vAlign w:val="center"/>
            <w:shd w:fill="FFFFFF"/>
          </w:tcPr>
          <w:p>
            <w:pPr>
              <w:spacing w:before="20" w:after="20" w:line="260" w:lineRule="auto"/>
              <w:jc w:val="left"/>
              <w:keepNext/>
            </w:pPr>
            <w:r>
              <w:rPr>
                <w:sz w:val="18"/>
              </w:rPr>
              <w:t>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II · Reorganisation und Transfer</w:t>
            </w:r>
          </w:p>
        </w:tc>
        <w:tc>
          <w:tcPr>
            <w:tcW w:w="3500" w:type="dxa"/>
            <w:vAlign w:val="center"/>
            <w:shd w:fill="F1F5F6"/>
          </w:tcPr>
          <w:p>
            <w:pPr>
              <w:spacing w:before="20" w:after="20" w:line="260" w:lineRule="auto"/>
              <w:jc w:val="left"/>
              <w:keepNext/>
            </w:pPr>
            <w:r>
              <w:rPr>
                <w:sz w:val="18"/>
              </w:rPr>
              <w:t>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III · Reflexion und Problemlösung</w:t>
            </w:r>
          </w:p>
        </w:tc>
        <w:tc>
          <w:tcPr>
            <w:tcW w:w="3500" w:type="dxa"/>
            <w:vAlign w:val="center"/>
            <w:shd w:fill="FFFFFF"/>
          </w:tcPr>
          <w:p>
            <w:pPr>
              <w:spacing w:before="20" w:after="20" w:line="260" w:lineRule="auto"/>
              <w:jc w:val="left"/>
            </w:pPr>
            <w:r>
              <w:rPr>
                <w:sz w:val="18"/>
              </w:rPr>
              <w:t>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Ein Analyseverfahren für eine neue Fragestellung entwickeln und seine Aussagekraft beurteilen.</w:t>
            </w:r>
          </w:p>
        </w:tc>
      </w:tr>
    </w:tbl>
    <w:p>
      <w:pPr>
        <w:jc w:val="both"/>
        <w:spacing w:before="100"/>
      </w:pPr>
      <w:r>
        <w:rPr>
          <w:b/>
        </w:rPr>
        <w:t>Gewichtung:</w:t>
      </w:r>
      <w:r>
        <w:rPr/>
        <w:t xml:space="preserve"> Alle drei Bereiche werden berücksichtigt. Bereich II bildet den Schwerpunkt; Bereich I wird stärker gewichtet als Bereich III. Als schulischer Orientierungswert werden etwa </w:t>
      </w:r>
      <w:r>
        <w:rPr>
          <w:b/>
        </w:rPr>
        <w:t>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14.3 Einheitlicher Aufbau der Klausurunterlagen</w:t>
      </w:r>
      <w:bookmarkStart w:id="9905" w:name="klausuren_3"/>
      <w:bookmarkEnd w:id="9905"/>
    </w:p>
    <w:p>
      <w:pPr>
        <w:jc w:val="both"/>
      </w:pPr>
      <w:r>
        <w:rPr/>
        <w:t>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14.4 Erwartungshorizont und Rückmeldung</w:t>
      </w:r>
      <w:bookmarkStart w:id="9906" w:name="klausuren_4"/>
      <w:bookmarkEnd w:id="9906"/>
    </w:p>
    <w:p>
      <w:pPr>
        <w:jc w:val="both"/>
      </w:pPr>
      <w:r>
        <w:rPr/>
        <w:t>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14.5 Noten und qualitative Leistungsanforderungen</w:t>
      </w:r>
      <w:bookmarkStart w:id="9907" w:name="klausuren_5"/>
      <w:bookmarkEnd w:id="9907"/>
    </w:p>
    <w:p>
      <w:pPr>
        <w:jc w:val="both"/>
        <w:keepNext/>
      </w:pPr>
      <w:r>
        <w:rPr/>
        <w:t>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Note</w:t>
            </w:r>
          </w:p>
        </w:tc>
        <w:tc>
          <w:tcPr>
            <w:tcW w:w="1700" w:type="dxa"/>
            <w:vAlign w:val="center"/>
            <w:shd w:fill="DDE9EC"/>
          </w:tcPr>
          <w:p>
            <w:pPr>
              <w:spacing w:before="20" w:after="20" w:line="260" w:lineRule="auto"/>
              <w:jc w:val="left"/>
              <w:keepNext/>
            </w:pPr>
            <w:r>
              <w:rPr>
                <w:sz w:val="18"/>
                <w:b/>
              </w:rPr>
              <w:t>Notenpunkte in der Q-Phase</w:t>
            </w:r>
          </w:p>
        </w:tc>
        <w:tc>
          <w:tcPr>
            <w:tcW w:w="5274" w:type="dxa"/>
            <w:vAlign w:val="center"/>
            <w:shd w:fill="DDE9EC"/>
          </w:tcPr>
          <w:p>
            <w:pPr>
              <w:spacing w:before="20" w:after="20" w:line="260" w:lineRule="auto"/>
              <w:jc w:val="left"/>
              <w:keepNext/>
            </w:pPr>
            <w:r>
              <w:rPr>
                <w:sz w:val="18"/>
                <w:b/>
              </w:rPr>
              <w:t>Qualitativer Maßstab</w:t>
            </w:r>
          </w:p>
        </w:tc>
      </w:tr>
      <w:tr>
        <w:trPr>
          <w:cantSplit/>
        </w:trPr>
        <w:tc>
          <w:tcPr>
            <w:tcW w:w="2100" w:type="dxa"/>
            <w:vAlign w:val="center"/>
            <w:shd w:fill="FFFFFF"/>
          </w:tcPr>
          <w:p>
            <w:pPr>
              <w:spacing w:before="20" w:after="20" w:line="260" w:lineRule="auto"/>
              <w:jc w:val="left"/>
              <w:keepNext/>
            </w:pPr>
            <w:r>
              <w:rPr>
                <w:sz w:val="18"/>
              </w:rPr>
              <w:t>sehr gut</w:t>
            </w:r>
          </w:p>
        </w:tc>
        <w:tc>
          <w:tcPr>
            <w:tcW w:w="1700" w:type="dxa"/>
            <w:vAlign w:val="center"/>
            <w:shd w:fill="FFFFFF"/>
          </w:tcPr>
          <w:p>
            <w:pPr>
              <w:spacing w:before="20" w:after="20" w:line="260" w:lineRule="auto"/>
              <w:jc w:val="left"/>
              <w:keepNext/>
            </w:pPr>
            <w:r>
              <w:rPr>
                <w:sz w:val="18"/>
              </w:rPr>
              <w:t>15–13</w:t>
            </w:r>
          </w:p>
        </w:tc>
        <w:tc>
          <w:tcPr>
            <w:tcW w:w="5274" w:type="dxa"/>
            <w:vAlign w:val="center"/>
            <w:shd w:fill="FFFFFF"/>
          </w:tcPr>
          <w:p>
            <w:pPr>
              <w:spacing w:before="20" w:after="20" w:line="260" w:lineRule="auto"/>
              <w:jc w:val="left"/>
              <w:keepNext/>
            </w:pPr>
            <w:r>
              <w:rPr>
                <w:sz w:val="18"/>
              </w:rPr>
              <w:t>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gut</w:t>
            </w:r>
          </w:p>
        </w:tc>
        <w:tc>
          <w:tcPr>
            <w:tcW w:w="1700" w:type="dxa"/>
            <w:vAlign w:val="center"/>
            <w:shd w:fill="F1F5F6"/>
          </w:tcPr>
          <w:p>
            <w:pPr>
              <w:spacing w:before="20" w:after="20" w:line="260" w:lineRule="auto"/>
              <w:jc w:val="left"/>
              <w:keepNext/>
            </w:pPr>
            <w:r>
              <w:rPr>
                <w:sz w:val="18"/>
              </w:rPr>
              <w:t>12–10</w:t>
            </w:r>
          </w:p>
        </w:tc>
        <w:tc>
          <w:tcPr>
            <w:tcW w:w="5274" w:type="dxa"/>
            <w:vAlign w:val="center"/>
            <w:shd w:fill="F1F5F6"/>
          </w:tcPr>
          <w:p>
            <w:pPr>
              <w:spacing w:before="20" w:after="20" w:line="260" w:lineRule="auto"/>
              <w:jc w:val="left"/>
              <w:keepNext/>
            </w:pPr>
            <w:r>
              <w:rPr>
                <w:sz w:val="18"/>
              </w:rPr>
              <w:t>Die Anforderungen werden vollständig erfüllt.</w:t>
            </w:r>
          </w:p>
        </w:tc>
      </w:tr>
      <w:tr>
        <w:trPr>
          <w:cantSplit/>
        </w:trPr>
        <w:tc>
          <w:tcPr>
            <w:tcW w:w="2100" w:type="dxa"/>
            <w:vAlign w:val="center"/>
            <w:shd w:fill="FFFFFF"/>
          </w:tcPr>
          <w:p>
            <w:pPr>
              <w:spacing w:before="20" w:after="20" w:line="260" w:lineRule="auto"/>
              <w:jc w:val="left"/>
              <w:keepNext/>
            </w:pPr>
            <w:r>
              <w:rPr>
                <w:sz w:val="18"/>
              </w:rPr>
              <w:t>befriedigend</w:t>
            </w:r>
          </w:p>
        </w:tc>
        <w:tc>
          <w:tcPr>
            <w:tcW w:w="1700" w:type="dxa"/>
            <w:vAlign w:val="center"/>
            <w:shd w:fill="FFFFFF"/>
          </w:tcPr>
          <w:p>
            <w:pPr>
              <w:spacing w:before="20" w:after="20" w:line="260" w:lineRule="auto"/>
              <w:jc w:val="left"/>
              <w:keepNext/>
            </w:pPr>
            <w:r>
              <w:rPr>
                <w:sz w:val="18"/>
              </w:rPr>
              <w:t>9–7</w:t>
            </w:r>
          </w:p>
        </w:tc>
        <w:tc>
          <w:tcPr>
            <w:tcW w:w="5274" w:type="dxa"/>
            <w:vAlign w:val="center"/>
            <w:shd w:fill="FFFFFF"/>
          </w:tcPr>
          <w:p>
            <w:pPr>
              <w:spacing w:before="20" w:after="20" w:line="260" w:lineRule="auto"/>
              <w:jc w:val="left"/>
              <w:keepNext/>
            </w:pPr>
            <w:r>
              <w:rPr>
                <w:sz w:val="18"/>
              </w:rPr>
              <w:t>Die Anforderungen werden im Allgemeinen erfüllt.</w:t>
            </w:r>
          </w:p>
        </w:tc>
      </w:tr>
      <w:tr>
        <w:trPr>
          <w:cantSplit/>
        </w:trPr>
        <w:tc>
          <w:tcPr>
            <w:tcW w:w="2100" w:type="dxa"/>
            <w:vAlign w:val="center"/>
            <w:shd w:fill="F1F5F6"/>
          </w:tcPr>
          <w:p>
            <w:pPr>
              <w:spacing w:before="20" w:after="20" w:line="260" w:lineRule="auto"/>
              <w:jc w:val="left"/>
              <w:keepNext/>
            </w:pPr>
            <w:r>
              <w:rPr>
                <w:sz w:val="18"/>
              </w:rPr>
              <w:t>ausreichend</w:t>
            </w:r>
          </w:p>
        </w:tc>
        <w:tc>
          <w:tcPr>
            <w:tcW w:w="1700" w:type="dxa"/>
            <w:vAlign w:val="center"/>
            <w:shd w:fill="F1F5F6"/>
          </w:tcPr>
          <w:p>
            <w:pPr>
              <w:spacing w:before="20" w:after="20" w:line="260" w:lineRule="auto"/>
              <w:jc w:val="left"/>
              <w:keepNext/>
            </w:pPr>
            <w:r>
              <w:rPr>
                <w:sz w:val="18"/>
              </w:rPr>
              <w:t>6–5</w:t>
            </w:r>
          </w:p>
        </w:tc>
        <w:tc>
          <w:tcPr>
            <w:tcW w:w="5274" w:type="dxa"/>
            <w:vAlign w:val="center"/>
            <w:shd w:fill="F1F5F6"/>
          </w:tcPr>
          <w:p>
            <w:pPr>
              <w:spacing w:before="20" w:after="20" w:line="260" w:lineRule="auto"/>
              <w:jc w:val="left"/>
              <w:keepNext/>
            </w:pPr>
            <w:r>
              <w:rPr>
                <w:sz w:val="18"/>
              </w:rPr>
              <w:t>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schwach ausreichend</w:t>
            </w:r>
          </w:p>
        </w:tc>
        <w:tc>
          <w:tcPr>
            <w:tcW w:w="1700" w:type="dxa"/>
            <w:vAlign w:val="center"/>
            <w:shd w:fill="FFFFFF"/>
          </w:tcPr>
          <w:p>
            <w:pPr>
              <w:spacing w:before="20" w:after="20" w:line="260" w:lineRule="auto"/>
              <w:jc w:val="left"/>
              <w:keepNext/>
            </w:pPr>
            <w:r>
              <w:rPr>
                <w:sz w:val="18"/>
              </w:rPr>
              <w:t>4</w:t>
            </w:r>
          </w:p>
        </w:tc>
        <w:tc>
          <w:tcPr>
            <w:tcW w:w="5274" w:type="dxa"/>
            <w:vAlign w:val="center"/>
            <w:shd w:fill="FFFFFF"/>
          </w:tcPr>
          <w:p>
            <w:pPr>
              <w:spacing w:before="20" w:after="20" w:line="260" w:lineRule="auto"/>
              <w:jc w:val="left"/>
              <w:keepNext/>
            </w:pPr>
            <w:r>
              <w:rPr>
                <w:sz w:val="18"/>
              </w:rPr>
              <w:t>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mangelhaft</w:t>
            </w:r>
          </w:p>
        </w:tc>
        <w:tc>
          <w:tcPr>
            <w:tcW w:w="1700" w:type="dxa"/>
            <w:vAlign w:val="center"/>
            <w:shd w:fill="F1F5F6"/>
          </w:tcPr>
          <w:p>
            <w:pPr>
              <w:spacing w:before="20" w:after="20" w:line="260" w:lineRule="auto"/>
              <w:jc w:val="left"/>
              <w:keepNext/>
            </w:pPr>
            <w:r>
              <w:rPr>
                <w:sz w:val="18"/>
              </w:rPr>
              <w:t>3–1</w:t>
            </w:r>
          </w:p>
        </w:tc>
        <w:tc>
          <w:tcPr>
            <w:tcW w:w="5274" w:type="dxa"/>
            <w:vAlign w:val="center"/>
            <w:shd w:fill="F1F5F6"/>
          </w:tcPr>
          <w:p>
            <w:pPr>
              <w:spacing w:before="20" w:after="20" w:line="260" w:lineRule="auto"/>
              <w:jc w:val="left"/>
              <w:keepNext/>
            </w:pPr>
            <w:r>
              <w:rPr>
                <w:sz w:val="18"/>
              </w:rPr>
              <w:t>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ungenügend</w:t>
            </w:r>
          </w:p>
        </w:tc>
        <w:tc>
          <w:tcPr>
            <w:tcW w:w="1700" w:type="dxa"/>
            <w:vAlign w:val="center"/>
            <w:shd w:fill="FFFFFF"/>
          </w:tcPr>
          <w:p>
            <w:pPr>
              <w:spacing w:before="20" w:after="20" w:line="260" w:lineRule="auto"/>
              <w:jc w:val="left"/>
            </w:pPr>
            <w:r>
              <w:rPr>
                <w:sz w:val="18"/>
              </w:rPr>
              <w:t>0</w:t>
            </w:r>
          </w:p>
        </w:tc>
        <w:tc>
          <w:tcPr>
            <w:tcW w:w="5274" w:type="dxa"/>
            <w:vAlign w:val="center"/>
            <w:shd w:fill="FFFFFF"/>
          </w:tcPr>
          <w:p>
            <w:pPr>
              <w:spacing w:before="20" w:after="20" w:line="260" w:lineRule="auto"/>
              <w:jc w:val="left"/>
            </w:pPr>
            <w:r>
              <w:rPr>
                <w:sz w:val="18"/>
              </w:rPr>
              <w:t>Die Anforderungen werden nicht erfüllt; auch die Grundkenntnisse sind so lückenhaft, dass eine Behebung der Mängel in absehbarer Zeit nicht zu erwarten ist.</w:t>
            </w:r>
          </w:p>
        </w:tc>
      </w:tr>
    </w:tbl>
    <w:p>
      <w:pPr>
        <w:jc w:val="both"/>
        <w:spacing w:before="100"/>
      </w:pPr>
      <w:r>
        <w:rPr/>
        <w:t>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14.6 Bewertungseinheiten und Notenschlüssel</w:t>
      </w:r>
      <w:bookmarkStart w:id="9908" w:name="klausuren_6"/>
      <w:bookmarkEnd w:id="9908"/>
    </w:p>
    <w:p>
      <w:pPr>
        <w:jc w:val="both"/>
        <w:keepNext/>
      </w:pPr>
      <w:r>
        <w:rPr/>
        <w:t>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6"/>
                <w:b/>
              </w:rPr>
              <w:t>Notenpunkte</w:t>
            </w:r>
          </w:p>
        </w:tc>
        <w:tc>
          <w:tcPr>
            <w:tcW w:w="3124" w:type="dxa"/>
            <w:vAlign w:val="center"/>
            <w:shd w:fill="DDE9EC"/>
          </w:tcPr>
          <w:p>
            <w:pPr>
              <w:spacing w:before="20" w:after="20" w:line="260" w:lineRule="auto"/>
              <w:jc w:val="left"/>
              <w:keepNext/>
            </w:pPr>
            <w:r>
              <w:rPr>
                <w:sz w:val="18"/>
                <w:b/>
              </w:rPr>
              <w:t>Notentendenz</w:t>
            </w:r>
          </w:p>
        </w:tc>
        <w:tc>
          <w:tcPr>
            <w:tcW w:w="1400" w:type="dxa"/>
            <w:vAlign w:val="center"/>
            <w:shd w:fill="DDE9EC"/>
          </w:tcPr>
          <w:p>
            <w:pPr>
              <w:spacing w:before="20" w:after="20" w:line="260" w:lineRule="auto"/>
              <w:jc w:val="left"/>
              <w:keepNext/>
            </w:pPr>
            <w:r>
              <w:rPr>
                <w:sz w:val="18"/>
                <w:b/>
              </w:rPr>
              <w:t>Mindestanteil</w:t>
            </w:r>
          </w:p>
        </w:tc>
        <w:tc>
          <w:tcPr>
            <w:tcW w:w="1500" w:type="dxa"/>
            <w:vAlign w:val="center"/>
            <w:shd w:fill="DDE9EC"/>
          </w:tcPr>
          <w:p>
            <w:pPr>
              <w:spacing w:before="20" w:after="20" w:line="260" w:lineRule="auto"/>
              <w:jc w:val="left"/>
              <w:keepNext/>
            </w:pPr>
            <w:r>
              <w:rPr>
                <w:sz w:val="18"/>
                <w:b/>
              </w:rPr>
              <w:t>100 BE gesamt</w:t>
            </w:r>
          </w:p>
        </w:tc>
        <w:tc>
          <w:tcPr>
            <w:tcW w:w="1500" w:type="dxa"/>
            <w:vAlign w:val="center"/>
            <w:shd w:fill="DDE9EC"/>
          </w:tcPr>
          <w:p>
            <w:pPr>
              <w:spacing w:before="20" w:after="20" w:line="260" w:lineRule="auto"/>
              <w:jc w:val="left"/>
              <w:keepNext/>
            </w:pPr>
            <w:r>
              <w:rPr>
                <w:sz w:val="18"/>
                <w:b/>
              </w:rPr>
              <w:t>120 BE gesamt</w:t>
            </w:r>
          </w:p>
        </w:tc>
      </w:tr>
      <w:tr>
        <w:trPr>
          <w:cantSplit/>
        </w:trPr>
        <w:tc>
          <w:tcPr>
            <w:tcW w:w="1550" w:type="dxa"/>
            <w:vAlign w:val="center"/>
            <w:shd w:fill="FFFFFF"/>
          </w:tcPr>
          <w:p>
            <w:pPr>
              <w:spacing w:before="20" w:after="20" w:line="260" w:lineRule="auto"/>
              <w:jc w:val="left"/>
              <w:keepNext/>
            </w:pPr>
            <w:r>
              <w:rPr>
                <w:sz w:val="18"/>
              </w:rPr>
              <w:t>15</w:t>
            </w:r>
          </w:p>
        </w:tc>
        <w:tc>
          <w:tcPr>
            <w:tcW w:w="3124" w:type="dxa"/>
            <w:vAlign w:val="center"/>
            <w:shd w:fill="FFFFFF"/>
          </w:tcPr>
          <w:p>
            <w:pPr>
              <w:spacing w:before="20" w:after="20" w:line="260" w:lineRule="auto"/>
              <w:jc w:val="left"/>
              <w:keepNext/>
            </w:pPr>
            <w:r>
              <w:rPr>
                <w:sz w:val="18"/>
              </w:rPr>
              <w:t>sehr gut plus</w:t>
            </w:r>
          </w:p>
        </w:tc>
        <w:tc>
          <w:tcPr>
            <w:tcW w:w="1400" w:type="dxa"/>
            <w:vAlign w:val="center"/>
            <w:shd w:fill="FFFFFF"/>
          </w:tcPr>
          <w:p>
            <w:pPr>
              <w:spacing w:before="20" w:after="20" w:line="260" w:lineRule="auto"/>
              <w:jc w:val="left"/>
              <w:keepNext/>
            </w:pPr>
            <w:r>
              <w:rPr>
                <w:sz w:val="18"/>
              </w:rPr>
              <w:t>95 %</w:t>
            </w:r>
          </w:p>
        </w:tc>
        <w:tc>
          <w:tcPr>
            <w:tcW w:w="1500" w:type="dxa"/>
            <w:vAlign w:val="center"/>
            <w:shd w:fill="FFFFFF"/>
          </w:tcPr>
          <w:p>
            <w:pPr>
              <w:spacing w:before="20" w:after="20" w:line="260" w:lineRule="auto"/>
              <w:jc w:val="left"/>
              <w:keepNext/>
            </w:pPr>
            <w:r>
              <w:rPr>
                <w:sz w:val="18"/>
              </w:rPr>
              <w:t>95–100</w:t>
            </w:r>
          </w:p>
        </w:tc>
        <w:tc>
          <w:tcPr>
            <w:tcW w:w="1500" w:type="dxa"/>
            <w:vAlign w:val="center"/>
            <w:shd w:fill="FFFFFF"/>
          </w:tcPr>
          <w:p>
            <w:pPr>
              <w:spacing w:before="20" w:after="20" w:line="260" w:lineRule="auto"/>
              <w:jc w:val="left"/>
              <w:keepNext/>
            </w:pPr>
            <w:r>
              <w:rPr>
                <w:sz w:val="18"/>
              </w:rPr>
              <w:t>114–120</w:t>
            </w:r>
          </w:p>
        </w:tc>
      </w:tr>
      <w:tr>
        <w:trPr>
          <w:cantSplit/>
        </w:trPr>
        <w:tc>
          <w:tcPr>
            <w:tcW w:w="1550" w:type="dxa"/>
            <w:vAlign w:val="center"/>
            <w:shd w:fill="F1F5F6"/>
          </w:tcPr>
          <w:p>
            <w:pPr>
              <w:spacing w:before="20" w:after="20" w:line="260" w:lineRule="auto"/>
              <w:jc w:val="left"/>
              <w:keepNext/>
            </w:pPr>
            <w:r>
              <w:rPr>
                <w:sz w:val="18"/>
              </w:rPr>
              <w:t>14</w:t>
            </w:r>
          </w:p>
        </w:tc>
        <w:tc>
          <w:tcPr>
            <w:tcW w:w="3124" w:type="dxa"/>
            <w:vAlign w:val="center"/>
            <w:shd w:fill="F1F5F6"/>
          </w:tcPr>
          <w:p>
            <w:pPr>
              <w:spacing w:before="20" w:after="20" w:line="260" w:lineRule="auto"/>
              <w:jc w:val="left"/>
              <w:keepNext/>
            </w:pPr>
            <w:r>
              <w:rPr>
                <w:sz w:val="18"/>
              </w:rPr>
              <w:t>sehr gut</w:t>
            </w:r>
          </w:p>
        </w:tc>
        <w:tc>
          <w:tcPr>
            <w:tcW w:w="1400" w:type="dxa"/>
            <w:vAlign w:val="center"/>
            <w:shd w:fill="F1F5F6"/>
          </w:tcPr>
          <w:p>
            <w:pPr>
              <w:spacing w:before="20" w:after="20" w:line="260" w:lineRule="auto"/>
              <w:jc w:val="left"/>
              <w:keepNext/>
            </w:pPr>
            <w:r>
              <w:rPr>
                <w:sz w:val="18"/>
              </w:rPr>
              <w:t>90 %</w:t>
            </w:r>
          </w:p>
        </w:tc>
        <w:tc>
          <w:tcPr>
            <w:tcW w:w="1500" w:type="dxa"/>
            <w:vAlign w:val="center"/>
            <w:shd w:fill="F1F5F6"/>
          </w:tcPr>
          <w:p>
            <w:pPr>
              <w:spacing w:before="20" w:after="20" w:line="260" w:lineRule="auto"/>
              <w:jc w:val="left"/>
              <w:keepNext/>
            </w:pPr>
            <w:r>
              <w:rPr>
                <w:sz w:val="18"/>
              </w:rPr>
              <w:t>90–94</w:t>
            </w:r>
          </w:p>
        </w:tc>
        <w:tc>
          <w:tcPr>
            <w:tcW w:w="1500" w:type="dxa"/>
            <w:vAlign w:val="center"/>
            <w:shd w:fill="F1F5F6"/>
          </w:tcPr>
          <w:p>
            <w:pPr>
              <w:spacing w:before="20" w:after="20" w:line="260" w:lineRule="auto"/>
              <w:jc w:val="left"/>
              <w:keepNext/>
            </w:pPr>
            <w:r>
              <w:rPr>
                <w:sz w:val="18"/>
              </w:rPr>
              <w:t>108–113</w:t>
            </w:r>
          </w:p>
        </w:tc>
      </w:tr>
      <w:tr>
        <w:trPr>
          <w:cantSplit/>
        </w:trPr>
        <w:tc>
          <w:tcPr>
            <w:tcW w:w="1550" w:type="dxa"/>
            <w:vAlign w:val="center"/>
            <w:shd w:fill="FFFFFF"/>
          </w:tcPr>
          <w:p>
            <w:pPr>
              <w:spacing w:before="20" w:after="20" w:line="260" w:lineRule="auto"/>
              <w:jc w:val="left"/>
              <w:keepNext/>
            </w:pPr>
            <w:r>
              <w:rPr>
                <w:sz w:val="18"/>
              </w:rPr>
              <w:t>13</w:t>
            </w:r>
          </w:p>
        </w:tc>
        <w:tc>
          <w:tcPr>
            <w:tcW w:w="3124" w:type="dxa"/>
            <w:vAlign w:val="center"/>
            <w:shd w:fill="FFFFFF"/>
          </w:tcPr>
          <w:p>
            <w:pPr>
              <w:spacing w:before="20" w:after="20" w:line="260" w:lineRule="auto"/>
              <w:jc w:val="left"/>
              <w:keepNext/>
            </w:pPr>
            <w:r>
              <w:rPr>
                <w:sz w:val="18"/>
              </w:rPr>
              <w:t>sehr gut minus</w:t>
            </w:r>
          </w:p>
        </w:tc>
        <w:tc>
          <w:tcPr>
            <w:tcW w:w="1400" w:type="dxa"/>
            <w:vAlign w:val="center"/>
            <w:shd w:fill="FFFFFF"/>
          </w:tcPr>
          <w:p>
            <w:pPr>
              <w:spacing w:before="20" w:after="20" w:line="260" w:lineRule="auto"/>
              <w:jc w:val="left"/>
              <w:keepNext/>
            </w:pPr>
            <w:r>
              <w:rPr>
                <w:sz w:val="18"/>
              </w:rPr>
              <w:t>85 %</w:t>
            </w:r>
          </w:p>
        </w:tc>
        <w:tc>
          <w:tcPr>
            <w:tcW w:w="1500" w:type="dxa"/>
            <w:vAlign w:val="center"/>
            <w:shd w:fill="FFFFFF"/>
          </w:tcPr>
          <w:p>
            <w:pPr>
              <w:spacing w:before="20" w:after="20" w:line="260" w:lineRule="auto"/>
              <w:jc w:val="left"/>
              <w:keepNext/>
            </w:pPr>
            <w:r>
              <w:rPr>
                <w:sz w:val="18"/>
              </w:rPr>
              <w:t>85–89</w:t>
            </w:r>
          </w:p>
        </w:tc>
        <w:tc>
          <w:tcPr>
            <w:tcW w:w="1500" w:type="dxa"/>
            <w:vAlign w:val="center"/>
            <w:shd w:fill="FFFFFF"/>
          </w:tcPr>
          <w:p>
            <w:pPr>
              <w:spacing w:before="20" w:after="20" w:line="260" w:lineRule="auto"/>
              <w:jc w:val="left"/>
              <w:keepNext/>
            </w:pPr>
            <w:r>
              <w:rPr>
                <w:sz w:val="18"/>
              </w:rPr>
              <w:t>102–107</w:t>
            </w:r>
          </w:p>
        </w:tc>
      </w:tr>
      <w:tr>
        <w:trPr>
          <w:cantSplit/>
        </w:trPr>
        <w:tc>
          <w:tcPr>
            <w:tcW w:w="1550" w:type="dxa"/>
            <w:vAlign w:val="center"/>
            <w:shd w:fill="F1F5F6"/>
          </w:tcPr>
          <w:p>
            <w:pPr>
              <w:spacing w:before="20" w:after="20" w:line="260" w:lineRule="auto"/>
              <w:jc w:val="left"/>
              <w:keepNext/>
            </w:pPr>
            <w:r>
              <w:rPr>
                <w:sz w:val="18"/>
              </w:rPr>
              <w:t>12</w:t>
            </w:r>
          </w:p>
        </w:tc>
        <w:tc>
          <w:tcPr>
            <w:tcW w:w="3124" w:type="dxa"/>
            <w:vAlign w:val="center"/>
            <w:shd w:fill="F1F5F6"/>
          </w:tcPr>
          <w:p>
            <w:pPr>
              <w:spacing w:before="20" w:after="20" w:line="260" w:lineRule="auto"/>
              <w:jc w:val="left"/>
              <w:keepNext/>
            </w:pPr>
            <w:r>
              <w:rPr>
                <w:sz w:val="18"/>
              </w:rPr>
              <w:t>gut plus</w:t>
            </w:r>
          </w:p>
        </w:tc>
        <w:tc>
          <w:tcPr>
            <w:tcW w:w="1400" w:type="dxa"/>
            <w:vAlign w:val="center"/>
            <w:shd w:fill="F1F5F6"/>
          </w:tcPr>
          <w:p>
            <w:pPr>
              <w:spacing w:before="20" w:after="20" w:line="260" w:lineRule="auto"/>
              <w:jc w:val="left"/>
              <w:keepNext/>
            </w:pPr>
            <w:r>
              <w:rPr>
                <w:sz w:val="18"/>
              </w:rPr>
              <w:t>80 %</w:t>
            </w:r>
          </w:p>
        </w:tc>
        <w:tc>
          <w:tcPr>
            <w:tcW w:w="1500" w:type="dxa"/>
            <w:vAlign w:val="center"/>
            <w:shd w:fill="F1F5F6"/>
          </w:tcPr>
          <w:p>
            <w:pPr>
              <w:spacing w:before="20" w:after="20" w:line="260" w:lineRule="auto"/>
              <w:jc w:val="left"/>
              <w:keepNext/>
            </w:pPr>
            <w:r>
              <w:rPr>
                <w:sz w:val="18"/>
              </w:rPr>
              <w:t>80–84</w:t>
            </w:r>
          </w:p>
        </w:tc>
        <w:tc>
          <w:tcPr>
            <w:tcW w:w="1500" w:type="dxa"/>
            <w:vAlign w:val="center"/>
            <w:shd w:fill="F1F5F6"/>
          </w:tcPr>
          <w:p>
            <w:pPr>
              <w:spacing w:before="20" w:after="20" w:line="260" w:lineRule="auto"/>
              <w:jc w:val="left"/>
              <w:keepNext/>
            </w:pPr>
            <w:r>
              <w:rPr>
                <w:sz w:val="18"/>
              </w:rPr>
              <w:t>96–101</w:t>
            </w:r>
          </w:p>
        </w:tc>
      </w:tr>
      <w:tr>
        <w:trPr>
          <w:cantSplit/>
        </w:trPr>
        <w:tc>
          <w:tcPr>
            <w:tcW w:w="1550" w:type="dxa"/>
            <w:vAlign w:val="center"/>
            <w:shd w:fill="FFFFFF"/>
          </w:tcPr>
          <w:p>
            <w:pPr>
              <w:spacing w:before="20" w:after="20" w:line="260" w:lineRule="auto"/>
              <w:jc w:val="left"/>
              <w:keepNext/>
            </w:pPr>
            <w:r>
              <w:rPr>
                <w:sz w:val="18"/>
              </w:rPr>
              <w:t>11</w:t>
            </w:r>
          </w:p>
        </w:tc>
        <w:tc>
          <w:tcPr>
            <w:tcW w:w="3124" w:type="dxa"/>
            <w:vAlign w:val="center"/>
            <w:shd w:fill="FFFFFF"/>
          </w:tcPr>
          <w:p>
            <w:pPr>
              <w:spacing w:before="20" w:after="20" w:line="260" w:lineRule="auto"/>
              <w:jc w:val="left"/>
              <w:keepNext/>
            </w:pPr>
            <w:r>
              <w:rPr>
                <w:sz w:val="18"/>
              </w:rPr>
              <w:t>gut</w:t>
            </w:r>
          </w:p>
        </w:tc>
        <w:tc>
          <w:tcPr>
            <w:tcW w:w="1400" w:type="dxa"/>
            <w:vAlign w:val="center"/>
            <w:shd w:fill="FFFFFF"/>
          </w:tcPr>
          <w:p>
            <w:pPr>
              <w:spacing w:before="20" w:after="20" w:line="260" w:lineRule="auto"/>
              <w:jc w:val="left"/>
              <w:keepNext/>
            </w:pPr>
            <w:r>
              <w:rPr>
                <w:sz w:val="18"/>
              </w:rPr>
              <w:t>75 %</w:t>
            </w:r>
          </w:p>
        </w:tc>
        <w:tc>
          <w:tcPr>
            <w:tcW w:w="1500" w:type="dxa"/>
            <w:vAlign w:val="center"/>
            <w:shd w:fill="FFFFFF"/>
          </w:tcPr>
          <w:p>
            <w:pPr>
              <w:spacing w:before="20" w:after="20" w:line="260" w:lineRule="auto"/>
              <w:jc w:val="left"/>
              <w:keepNext/>
            </w:pPr>
            <w:r>
              <w:rPr>
                <w:sz w:val="18"/>
              </w:rPr>
              <w:t>75–79</w:t>
            </w:r>
          </w:p>
        </w:tc>
        <w:tc>
          <w:tcPr>
            <w:tcW w:w="1500" w:type="dxa"/>
            <w:vAlign w:val="center"/>
            <w:shd w:fill="FFFFFF"/>
          </w:tcPr>
          <w:p>
            <w:pPr>
              <w:spacing w:before="20" w:after="20" w:line="260" w:lineRule="auto"/>
              <w:jc w:val="left"/>
              <w:keepNext/>
            </w:pPr>
            <w:r>
              <w:rPr>
                <w:sz w:val="18"/>
              </w:rPr>
              <w:t>90–95</w:t>
            </w:r>
          </w:p>
        </w:tc>
      </w:tr>
      <w:tr>
        <w:trPr>
          <w:cantSplit/>
        </w:trPr>
        <w:tc>
          <w:tcPr>
            <w:tcW w:w="1550" w:type="dxa"/>
            <w:vAlign w:val="center"/>
            <w:shd w:fill="F1F5F6"/>
          </w:tcPr>
          <w:p>
            <w:pPr>
              <w:spacing w:before="20" w:after="20" w:line="260" w:lineRule="auto"/>
              <w:jc w:val="left"/>
              <w:keepNext/>
            </w:pPr>
            <w:r>
              <w:rPr>
                <w:sz w:val="18"/>
              </w:rPr>
              <w:t>10</w:t>
            </w:r>
          </w:p>
        </w:tc>
        <w:tc>
          <w:tcPr>
            <w:tcW w:w="3124" w:type="dxa"/>
            <w:vAlign w:val="center"/>
            <w:shd w:fill="F1F5F6"/>
          </w:tcPr>
          <w:p>
            <w:pPr>
              <w:spacing w:before="20" w:after="20" w:line="260" w:lineRule="auto"/>
              <w:jc w:val="left"/>
              <w:keepNext/>
            </w:pPr>
            <w:r>
              <w:rPr>
                <w:sz w:val="18"/>
              </w:rPr>
              <w:t>gut minus</w:t>
            </w:r>
          </w:p>
        </w:tc>
        <w:tc>
          <w:tcPr>
            <w:tcW w:w="1400" w:type="dxa"/>
            <w:vAlign w:val="center"/>
            <w:shd w:fill="F1F5F6"/>
          </w:tcPr>
          <w:p>
            <w:pPr>
              <w:spacing w:before="20" w:after="20" w:line="260" w:lineRule="auto"/>
              <w:jc w:val="left"/>
              <w:keepNext/>
            </w:pPr>
            <w:r>
              <w:rPr>
                <w:sz w:val="18"/>
              </w:rPr>
              <w:t>70 %</w:t>
            </w:r>
          </w:p>
        </w:tc>
        <w:tc>
          <w:tcPr>
            <w:tcW w:w="1500" w:type="dxa"/>
            <w:vAlign w:val="center"/>
            <w:shd w:fill="F1F5F6"/>
          </w:tcPr>
          <w:p>
            <w:pPr>
              <w:spacing w:before="20" w:after="20" w:line="260" w:lineRule="auto"/>
              <w:jc w:val="left"/>
              <w:keepNext/>
            </w:pPr>
            <w:r>
              <w:rPr>
                <w:sz w:val="18"/>
              </w:rPr>
              <w:t>70–74</w:t>
            </w:r>
          </w:p>
        </w:tc>
        <w:tc>
          <w:tcPr>
            <w:tcW w:w="1500" w:type="dxa"/>
            <w:vAlign w:val="center"/>
            <w:shd w:fill="F1F5F6"/>
          </w:tcPr>
          <w:p>
            <w:pPr>
              <w:spacing w:before="20" w:after="20" w:line="260" w:lineRule="auto"/>
              <w:jc w:val="left"/>
              <w:keepNext/>
            </w:pPr>
            <w:r>
              <w:rPr>
                <w:sz w:val="18"/>
              </w:rPr>
              <w:t>84–89</w:t>
            </w:r>
          </w:p>
        </w:tc>
      </w:tr>
      <w:tr>
        <w:trPr>
          <w:cantSplit/>
        </w:trPr>
        <w:tc>
          <w:tcPr>
            <w:tcW w:w="1550" w:type="dxa"/>
            <w:vAlign w:val="center"/>
            <w:shd w:fill="FFFFFF"/>
          </w:tcPr>
          <w:p>
            <w:pPr>
              <w:spacing w:before="20" w:after="20" w:line="260" w:lineRule="auto"/>
              <w:jc w:val="left"/>
              <w:keepNext/>
            </w:pPr>
            <w:r>
              <w:rPr>
                <w:sz w:val="18"/>
              </w:rPr>
              <w:t>9</w:t>
            </w:r>
          </w:p>
        </w:tc>
        <w:tc>
          <w:tcPr>
            <w:tcW w:w="3124" w:type="dxa"/>
            <w:vAlign w:val="center"/>
            <w:shd w:fill="FFFFFF"/>
          </w:tcPr>
          <w:p>
            <w:pPr>
              <w:spacing w:before="20" w:after="20" w:line="260" w:lineRule="auto"/>
              <w:jc w:val="left"/>
              <w:keepNext/>
            </w:pPr>
            <w:r>
              <w:rPr>
                <w:sz w:val="18"/>
              </w:rPr>
              <w:t>befriedigend plus</w:t>
            </w:r>
          </w:p>
        </w:tc>
        <w:tc>
          <w:tcPr>
            <w:tcW w:w="1400" w:type="dxa"/>
            <w:vAlign w:val="center"/>
            <w:shd w:fill="FFFFFF"/>
          </w:tcPr>
          <w:p>
            <w:pPr>
              <w:spacing w:before="20" w:after="20" w:line="260" w:lineRule="auto"/>
              <w:jc w:val="left"/>
              <w:keepNext/>
            </w:pPr>
            <w:r>
              <w:rPr>
                <w:sz w:val="18"/>
              </w:rPr>
              <w:t>65 %</w:t>
            </w:r>
          </w:p>
        </w:tc>
        <w:tc>
          <w:tcPr>
            <w:tcW w:w="1500" w:type="dxa"/>
            <w:vAlign w:val="center"/>
            <w:shd w:fill="FFFFFF"/>
          </w:tcPr>
          <w:p>
            <w:pPr>
              <w:spacing w:before="20" w:after="20" w:line="260" w:lineRule="auto"/>
              <w:jc w:val="left"/>
              <w:keepNext/>
            </w:pPr>
            <w:r>
              <w:rPr>
                <w:sz w:val="18"/>
              </w:rPr>
              <w:t>65–69</w:t>
            </w:r>
          </w:p>
        </w:tc>
        <w:tc>
          <w:tcPr>
            <w:tcW w:w="1500" w:type="dxa"/>
            <w:vAlign w:val="center"/>
            <w:shd w:fill="FFFFFF"/>
          </w:tcPr>
          <w:p>
            <w:pPr>
              <w:spacing w:before="20" w:after="20" w:line="260" w:lineRule="auto"/>
              <w:jc w:val="left"/>
              <w:keepNext/>
            </w:pPr>
            <w:r>
              <w:rPr>
                <w:sz w:val="18"/>
              </w:rPr>
              <w:t>78–83</w:t>
            </w:r>
          </w:p>
        </w:tc>
      </w:tr>
      <w:tr>
        <w:trPr>
          <w:cantSplit/>
        </w:trPr>
        <w:tc>
          <w:tcPr>
            <w:tcW w:w="1550" w:type="dxa"/>
            <w:vAlign w:val="center"/>
            <w:shd w:fill="F1F5F6"/>
          </w:tcPr>
          <w:p>
            <w:pPr>
              <w:spacing w:before="20" w:after="20" w:line="260" w:lineRule="auto"/>
              <w:jc w:val="left"/>
              <w:keepNext/>
            </w:pPr>
            <w:r>
              <w:rPr>
                <w:sz w:val="18"/>
              </w:rPr>
              <w:t>8</w:t>
            </w:r>
          </w:p>
        </w:tc>
        <w:tc>
          <w:tcPr>
            <w:tcW w:w="3124" w:type="dxa"/>
            <w:vAlign w:val="center"/>
            <w:shd w:fill="F1F5F6"/>
          </w:tcPr>
          <w:p>
            <w:pPr>
              <w:spacing w:before="20" w:after="20" w:line="260" w:lineRule="auto"/>
              <w:jc w:val="left"/>
              <w:keepNext/>
            </w:pPr>
            <w:r>
              <w:rPr>
                <w:sz w:val="18"/>
              </w:rPr>
              <w:t>befriedigend</w:t>
            </w:r>
          </w:p>
        </w:tc>
        <w:tc>
          <w:tcPr>
            <w:tcW w:w="1400" w:type="dxa"/>
            <w:vAlign w:val="center"/>
            <w:shd w:fill="F1F5F6"/>
          </w:tcPr>
          <w:p>
            <w:pPr>
              <w:spacing w:before="20" w:after="20" w:line="260" w:lineRule="auto"/>
              <w:jc w:val="left"/>
              <w:keepNext/>
            </w:pPr>
            <w:r>
              <w:rPr>
                <w:sz w:val="18"/>
              </w:rPr>
              <w:t>60 %</w:t>
            </w:r>
          </w:p>
        </w:tc>
        <w:tc>
          <w:tcPr>
            <w:tcW w:w="1500" w:type="dxa"/>
            <w:vAlign w:val="center"/>
            <w:shd w:fill="F1F5F6"/>
          </w:tcPr>
          <w:p>
            <w:pPr>
              <w:spacing w:before="20" w:after="20" w:line="260" w:lineRule="auto"/>
              <w:jc w:val="left"/>
              <w:keepNext/>
            </w:pPr>
            <w:r>
              <w:rPr>
                <w:sz w:val="18"/>
              </w:rPr>
              <w:t>60–64</w:t>
            </w:r>
          </w:p>
        </w:tc>
        <w:tc>
          <w:tcPr>
            <w:tcW w:w="1500" w:type="dxa"/>
            <w:vAlign w:val="center"/>
            <w:shd w:fill="F1F5F6"/>
          </w:tcPr>
          <w:p>
            <w:pPr>
              <w:spacing w:before="20" w:after="20" w:line="260" w:lineRule="auto"/>
              <w:jc w:val="left"/>
              <w:keepNext/>
            </w:pPr>
            <w:r>
              <w:rPr>
                <w:sz w:val="18"/>
              </w:rPr>
              <w:t>72–77</w:t>
            </w:r>
          </w:p>
        </w:tc>
      </w:tr>
      <w:tr>
        <w:trPr>
          <w:cantSplit/>
        </w:trPr>
        <w:tc>
          <w:tcPr>
            <w:tcW w:w="1550" w:type="dxa"/>
            <w:vAlign w:val="center"/>
            <w:shd w:fill="FFFFFF"/>
          </w:tcPr>
          <w:p>
            <w:pPr>
              <w:spacing w:before="20" w:after="20" w:line="260" w:lineRule="auto"/>
              <w:jc w:val="left"/>
              <w:keepNext/>
            </w:pPr>
            <w:r>
              <w:rPr>
                <w:sz w:val="18"/>
              </w:rPr>
              <w:t>7</w:t>
            </w:r>
          </w:p>
        </w:tc>
        <w:tc>
          <w:tcPr>
            <w:tcW w:w="3124" w:type="dxa"/>
            <w:vAlign w:val="center"/>
            <w:shd w:fill="FFFFFF"/>
          </w:tcPr>
          <w:p>
            <w:pPr>
              <w:spacing w:before="20" w:after="20" w:line="260" w:lineRule="auto"/>
              <w:jc w:val="left"/>
              <w:keepNext/>
            </w:pPr>
            <w:r>
              <w:rPr>
                <w:sz w:val="18"/>
              </w:rPr>
              <w:t>befriedigend minus</w:t>
            </w:r>
          </w:p>
        </w:tc>
        <w:tc>
          <w:tcPr>
            <w:tcW w:w="1400" w:type="dxa"/>
            <w:vAlign w:val="center"/>
            <w:shd w:fill="FFFFFF"/>
          </w:tcPr>
          <w:p>
            <w:pPr>
              <w:spacing w:before="20" w:after="20" w:line="260" w:lineRule="auto"/>
              <w:jc w:val="left"/>
              <w:keepNext/>
            </w:pPr>
            <w:r>
              <w:rPr>
                <w:sz w:val="18"/>
              </w:rPr>
              <w:t>55 %</w:t>
            </w:r>
          </w:p>
        </w:tc>
        <w:tc>
          <w:tcPr>
            <w:tcW w:w="1500" w:type="dxa"/>
            <w:vAlign w:val="center"/>
            <w:shd w:fill="FFFFFF"/>
          </w:tcPr>
          <w:p>
            <w:pPr>
              <w:spacing w:before="20" w:after="20" w:line="260" w:lineRule="auto"/>
              <w:jc w:val="left"/>
              <w:keepNext/>
            </w:pPr>
            <w:r>
              <w:rPr>
                <w:sz w:val="18"/>
              </w:rPr>
              <w:t>55–59</w:t>
            </w:r>
          </w:p>
        </w:tc>
        <w:tc>
          <w:tcPr>
            <w:tcW w:w="1500" w:type="dxa"/>
            <w:vAlign w:val="center"/>
            <w:shd w:fill="FFFFFF"/>
          </w:tcPr>
          <w:p>
            <w:pPr>
              <w:spacing w:before="20" w:after="20" w:line="260" w:lineRule="auto"/>
              <w:jc w:val="left"/>
              <w:keepNext/>
            </w:pPr>
            <w:r>
              <w:rPr>
                <w:sz w:val="18"/>
              </w:rPr>
              <w:t>66–71</w:t>
            </w:r>
          </w:p>
        </w:tc>
      </w:tr>
      <w:tr>
        <w:trPr>
          <w:cantSplit/>
        </w:trPr>
        <w:tc>
          <w:tcPr>
            <w:tcW w:w="1550" w:type="dxa"/>
            <w:vAlign w:val="center"/>
            <w:shd w:fill="F1F5F6"/>
          </w:tcPr>
          <w:p>
            <w:pPr>
              <w:spacing w:before="20" w:after="20" w:line="260" w:lineRule="auto"/>
              <w:jc w:val="left"/>
              <w:keepNext/>
            </w:pPr>
            <w:r>
              <w:rPr>
                <w:sz w:val="18"/>
              </w:rPr>
              <w:t>6</w:t>
            </w:r>
          </w:p>
        </w:tc>
        <w:tc>
          <w:tcPr>
            <w:tcW w:w="3124" w:type="dxa"/>
            <w:vAlign w:val="center"/>
            <w:shd w:fill="F1F5F6"/>
          </w:tcPr>
          <w:p>
            <w:pPr>
              <w:spacing w:before="20" w:after="20" w:line="260" w:lineRule="auto"/>
              <w:jc w:val="left"/>
              <w:keepNext/>
            </w:pPr>
            <w:r>
              <w:rPr>
                <w:sz w:val="18"/>
              </w:rPr>
              <w:t>ausreichend plus</w:t>
            </w:r>
          </w:p>
        </w:tc>
        <w:tc>
          <w:tcPr>
            <w:tcW w:w="1400" w:type="dxa"/>
            <w:vAlign w:val="center"/>
            <w:shd w:fill="F1F5F6"/>
          </w:tcPr>
          <w:p>
            <w:pPr>
              <w:spacing w:before="20" w:after="20" w:line="260" w:lineRule="auto"/>
              <w:jc w:val="left"/>
              <w:keepNext/>
            </w:pPr>
            <w:r>
              <w:rPr>
                <w:sz w:val="18"/>
              </w:rPr>
              <w:t>50 %</w:t>
            </w:r>
          </w:p>
        </w:tc>
        <w:tc>
          <w:tcPr>
            <w:tcW w:w="1500" w:type="dxa"/>
            <w:vAlign w:val="center"/>
            <w:shd w:fill="F1F5F6"/>
          </w:tcPr>
          <w:p>
            <w:pPr>
              <w:spacing w:before="20" w:after="20" w:line="260" w:lineRule="auto"/>
              <w:jc w:val="left"/>
              <w:keepNext/>
            </w:pPr>
            <w:r>
              <w:rPr>
                <w:sz w:val="18"/>
              </w:rPr>
              <w:t>50–54</w:t>
            </w:r>
          </w:p>
        </w:tc>
        <w:tc>
          <w:tcPr>
            <w:tcW w:w="1500" w:type="dxa"/>
            <w:vAlign w:val="center"/>
            <w:shd w:fill="F1F5F6"/>
          </w:tcPr>
          <w:p>
            <w:pPr>
              <w:spacing w:before="20" w:after="20" w:line="260" w:lineRule="auto"/>
              <w:jc w:val="left"/>
              <w:keepNext/>
            </w:pPr>
            <w:r>
              <w:rPr>
                <w:sz w:val="18"/>
              </w:rPr>
              <w:t>60–65</w:t>
            </w:r>
          </w:p>
        </w:tc>
      </w:tr>
      <w:tr>
        <w:trPr>
          <w:cantSplit/>
        </w:trPr>
        <w:tc>
          <w:tcPr>
            <w:tcW w:w="1550" w:type="dxa"/>
            <w:vAlign w:val="center"/>
            <w:shd w:fill="FFFFFF"/>
          </w:tcPr>
          <w:p>
            <w:pPr>
              <w:spacing w:before="20" w:after="20" w:line="260" w:lineRule="auto"/>
              <w:jc w:val="left"/>
              <w:keepNext/>
            </w:pPr>
            <w:r>
              <w:rPr>
                <w:sz w:val="18"/>
              </w:rPr>
              <w:t>5</w:t>
            </w:r>
          </w:p>
        </w:tc>
        <w:tc>
          <w:tcPr>
            <w:tcW w:w="3124" w:type="dxa"/>
            <w:vAlign w:val="center"/>
            <w:shd w:fill="FFFFFF"/>
          </w:tcPr>
          <w:p>
            <w:pPr>
              <w:spacing w:before="20" w:after="20" w:line="260" w:lineRule="auto"/>
              <w:jc w:val="left"/>
              <w:keepNext/>
            </w:pPr>
            <w:r>
              <w:rPr>
                <w:sz w:val="18"/>
              </w:rPr>
              <w:t>ausreichend</w:t>
            </w:r>
          </w:p>
        </w:tc>
        <w:tc>
          <w:tcPr>
            <w:tcW w:w="1400" w:type="dxa"/>
            <w:vAlign w:val="center"/>
            <w:shd w:fill="FFFFFF"/>
          </w:tcPr>
          <w:p>
            <w:pPr>
              <w:spacing w:before="20" w:after="20" w:line="260" w:lineRule="auto"/>
              <w:jc w:val="left"/>
              <w:keepNext/>
            </w:pPr>
            <w:r>
              <w:rPr>
                <w:sz w:val="18"/>
              </w:rPr>
              <w:t>45 %</w:t>
            </w:r>
          </w:p>
        </w:tc>
        <w:tc>
          <w:tcPr>
            <w:tcW w:w="1500" w:type="dxa"/>
            <w:vAlign w:val="center"/>
            <w:shd w:fill="FFFFFF"/>
          </w:tcPr>
          <w:p>
            <w:pPr>
              <w:spacing w:before="20" w:after="20" w:line="260" w:lineRule="auto"/>
              <w:jc w:val="left"/>
              <w:keepNext/>
            </w:pPr>
            <w:r>
              <w:rPr>
                <w:sz w:val="18"/>
              </w:rPr>
              <w:t>45–49</w:t>
            </w:r>
          </w:p>
        </w:tc>
        <w:tc>
          <w:tcPr>
            <w:tcW w:w="1500" w:type="dxa"/>
            <w:vAlign w:val="center"/>
            <w:shd w:fill="FFFFFF"/>
          </w:tcPr>
          <w:p>
            <w:pPr>
              <w:spacing w:before="20" w:after="20" w:line="260" w:lineRule="auto"/>
              <w:jc w:val="left"/>
              <w:keepNext/>
            </w:pPr>
            <w:r>
              <w:rPr>
                <w:sz w:val="18"/>
              </w:rPr>
              <w:t>54–59</w:t>
            </w:r>
          </w:p>
        </w:tc>
      </w:tr>
      <w:tr>
        <w:trPr>
          <w:cantSplit/>
        </w:trPr>
        <w:tc>
          <w:tcPr>
            <w:tcW w:w="1550" w:type="dxa"/>
            <w:vAlign w:val="center"/>
            <w:shd w:fill="F1F5F6"/>
          </w:tcPr>
          <w:p>
            <w:pPr>
              <w:spacing w:before="20" w:after="20" w:line="260" w:lineRule="auto"/>
              <w:jc w:val="left"/>
              <w:keepNext/>
            </w:pPr>
            <w:r>
              <w:rPr>
                <w:sz w:val="18"/>
              </w:rPr>
              <w:t>4</w:t>
            </w:r>
          </w:p>
        </w:tc>
        <w:tc>
          <w:tcPr>
            <w:tcW w:w="3124" w:type="dxa"/>
            <w:vAlign w:val="center"/>
            <w:shd w:fill="F1F5F6"/>
          </w:tcPr>
          <w:p>
            <w:pPr>
              <w:spacing w:before="20" w:after="20" w:line="260" w:lineRule="auto"/>
              <w:jc w:val="left"/>
              <w:keepNext/>
            </w:pPr>
            <w:r>
              <w:rPr>
                <w:sz w:val="18"/>
              </w:rPr>
              <w:t>ausreichend minus¹</w:t>
            </w:r>
          </w:p>
        </w:tc>
        <w:tc>
          <w:tcPr>
            <w:tcW w:w="1400" w:type="dxa"/>
            <w:vAlign w:val="center"/>
            <w:shd w:fill="F1F5F6"/>
          </w:tcPr>
          <w:p>
            <w:pPr>
              <w:spacing w:before="20" w:after="20" w:line="260" w:lineRule="auto"/>
              <w:jc w:val="left"/>
              <w:keepNext/>
            </w:pPr>
            <w:r>
              <w:rPr>
                <w:sz w:val="18"/>
              </w:rPr>
              <w:t>40 %</w:t>
            </w:r>
          </w:p>
        </w:tc>
        <w:tc>
          <w:tcPr>
            <w:tcW w:w="1500" w:type="dxa"/>
            <w:vAlign w:val="center"/>
            <w:shd w:fill="F1F5F6"/>
          </w:tcPr>
          <w:p>
            <w:pPr>
              <w:spacing w:before="20" w:after="20" w:line="260" w:lineRule="auto"/>
              <w:jc w:val="left"/>
              <w:keepNext/>
            </w:pPr>
            <w:r>
              <w:rPr>
                <w:sz w:val="18"/>
              </w:rPr>
              <w:t>40–44</w:t>
            </w:r>
          </w:p>
        </w:tc>
        <w:tc>
          <w:tcPr>
            <w:tcW w:w="1500" w:type="dxa"/>
            <w:vAlign w:val="center"/>
            <w:shd w:fill="F1F5F6"/>
          </w:tcPr>
          <w:p>
            <w:pPr>
              <w:spacing w:before="20" w:after="20" w:line="260" w:lineRule="auto"/>
              <w:jc w:val="left"/>
              <w:keepNext/>
            </w:pPr>
            <w:r>
              <w:rPr>
                <w:sz w:val="18"/>
              </w:rPr>
              <w:t>48–53</w:t>
            </w:r>
          </w:p>
        </w:tc>
      </w:tr>
      <w:tr>
        <w:trPr>
          <w:cantSplit/>
        </w:trPr>
        <w:tc>
          <w:tcPr>
            <w:tcW w:w="1550" w:type="dxa"/>
            <w:vAlign w:val="center"/>
            <w:shd w:fill="FFFFFF"/>
          </w:tcPr>
          <w:p>
            <w:pPr>
              <w:spacing w:before="20" w:after="20" w:line="260" w:lineRule="auto"/>
              <w:jc w:val="left"/>
              <w:keepNext/>
            </w:pPr>
            <w:r>
              <w:rPr>
                <w:sz w:val="18"/>
              </w:rPr>
              <w:t>3</w:t>
            </w:r>
          </w:p>
        </w:tc>
        <w:tc>
          <w:tcPr>
            <w:tcW w:w="3124" w:type="dxa"/>
            <w:vAlign w:val="center"/>
            <w:shd w:fill="FFFFFF"/>
          </w:tcPr>
          <w:p>
            <w:pPr>
              <w:spacing w:before="20" w:after="20" w:line="260" w:lineRule="auto"/>
              <w:jc w:val="left"/>
              <w:keepNext/>
            </w:pPr>
            <w:r>
              <w:rPr>
                <w:sz w:val="18"/>
              </w:rPr>
              <w:t>mangelhaft plus</w:t>
            </w:r>
          </w:p>
        </w:tc>
        <w:tc>
          <w:tcPr>
            <w:tcW w:w="1400" w:type="dxa"/>
            <w:vAlign w:val="center"/>
            <w:shd w:fill="FFFFFF"/>
          </w:tcPr>
          <w:p>
            <w:pPr>
              <w:spacing w:before="20" w:after="20" w:line="260" w:lineRule="auto"/>
              <w:jc w:val="left"/>
              <w:keepNext/>
            </w:pPr>
            <w:r>
              <w:rPr>
                <w:sz w:val="18"/>
              </w:rPr>
              <w:t>33 %</w:t>
            </w:r>
          </w:p>
        </w:tc>
        <w:tc>
          <w:tcPr>
            <w:tcW w:w="1500" w:type="dxa"/>
            <w:vAlign w:val="center"/>
            <w:shd w:fill="FFFFFF"/>
          </w:tcPr>
          <w:p>
            <w:pPr>
              <w:spacing w:before="20" w:after="20" w:line="260" w:lineRule="auto"/>
              <w:jc w:val="left"/>
              <w:keepNext/>
            </w:pPr>
            <w:r>
              <w:rPr>
                <w:sz w:val="18"/>
              </w:rPr>
              <w:t>33–39</w:t>
            </w:r>
          </w:p>
        </w:tc>
        <w:tc>
          <w:tcPr>
            <w:tcW w:w="1500" w:type="dxa"/>
            <w:vAlign w:val="center"/>
            <w:shd w:fill="FFFFFF"/>
          </w:tcPr>
          <w:p>
            <w:pPr>
              <w:spacing w:before="20" w:after="20" w:line="260" w:lineRule="auto"/>
              <w:jc w:val="left"/>
              <w:keepNext/>
            </w:pPr>
            <w:r>
              <w:rPr>
                <w:sz w:val="18"/>
              </w:rPr>
              <w:t>40–47</w:t>
            </w:r>
          </w:p>
        </w:tc>
      </w:tr>
      <w:tr>
        <w:trPr>
          <w:cantSplit/>
        </w:trPr>
        <w:tc>
          <w:tcPr>
            <w:tcW w:w="1550" w:type="dxa"/>
            <w:vAlign w:val="center"/>
            <w:shd w:fill="F1F5F6"/>
          </w:tcPr>
          <w:p>
            <w:pPr>
              <w:spacing w:before="20" w:after="20" w:line="260" w:lineRule="auto"/>
              <w:jc w:val="left"/>
              <w:keepNext/>
            </w:pPr>
            <w:r>
              <w:rPr>
                <w:sz w:val="18"/>
              </w:rPr>
              <w:t>2</w:t>
            </w:r>
          </w:p>
        </w:tc>
        <w:tc>
          <w:tcPr>
            <w:tcW w:w="3124" w:type="dxa"/>
            <w:vAlign w:val="center"/>
            <w:shd w:fill="F1F5F6"/>
          </w:tcPr>
          <w:p>
            <w:pPr>
              <w:spacing w:before="20" w:after="20" w:line="260" w:lineRule="auto"/>
              <w:jc w:val="left"/>
              <w:keepNext/>
            </w:pPr>
            <w:r>
              <w:rPr>
                <w:sz w:val="18"/>
              </w:rPr>
              <w:t>mangelhaft</w:t>
            </w:r>
          </w:p>
        </w:tc>
        <w:tc>
          <w:tcPr>
            <w:tcW w:w="1400" w:type="dxa"/>
            <w:vAlign w:val="center"/>
            <w:shd w:fill="F1F5F6"/>
          </w:tcPr>
          <w:p>
            <w:pPr>
              <w:spacing w:before="20" w:after="20" w:line="260" w:lineRule="auto"/>
              <w:jc w:val="left"/>
              <w:keepNext/>
            </w:pPr>
            <w:r>
              <w:rPr>
                <w:sz w:val="18"/>
              </w:rPr>
              <w:t>27 %</w:t>
            </w:r>
          </w:p>
        </w:tc>
        <w:tc>
          <w:tcPr>
            <w:tcW w:w="1500" w:type="dxa"/>
            <w:vAlign w:val="center"/>
            <w:shd w:fill="F1F5F6"/>
          </w:tcPr>
          <w:p>
            <w:pPr>
              <w:spacing w:before="20" w:after="20" w:line="260" w:lineRule="auto"/>
              <w:jc w:val="left"/>
              <w:keepNext/>
            </w:pPr>
            <w:r>
              <w:rPr>
                <w:sz w:val="18"/>
              </w:rPr>
              <w:t>27–32</w:t>
            </w:r>
          </w:p>
        </w:tc>
        <w:tc>
          <w:tcPr>
            <w:tcW w:w="1500" w:type="dxa"/>
            <w:vAlign w:val="center"/>
            <w:shd w:fill="F1F5F6"/>
          </w:tcPr>
          <w:p>
            <w:pPr>
              <w:spacing w:before="20" w:after="20" w:line="260" w:lineRule="auto"/>
              <w:jc w:val="left"/>
              <w:keepNext/>
            </w:pPr>
            <w:r>
              <w:rPr>
                <w:sz w:val="18"/>
              </w:rPr>
              <w:t>33–39</w:t>
            </w:r>
          </w:p>
        </w:tc>
      </w:tr>
      <w:tr>
        <w:trPr>
          <w:cantSplit/>
        </w:trPr>
        <w:tc>
          <w:tcPr>
            <w:tcW w:w="1550" w:type="dxa"/>
            <w:vAlign w:val="center"/>
            <w:shd w:fill="FFFFFF"/>
          </w:tcPr>
          <w:p>
            <w:pPr>
              <w:spacing w:before="20" w:after="20" w:line="260" w:lineRule="auto"/>
              <w:jc w:val="left"/>
              <w:keepNext/>
            </w:pPr>
            <w:r>
              <w:rPr>
                <w:sz w:val="18"/>
              </w:rPr>
              <w:t>1</w:t>
            </w:r>
          </w:p>
        </w:tc>
        <w:tc>
          <w:tcPr>
            <w:tcW w:w="3124" w:type="dxa"/>
            <w:vAlign w:val="center"/>
            <w:shd w:fill="FFFFFF"/>
          </w:tcPr>
          <w:p>
            <w:pPr>
              <w:spacing w:before="20" w:after="20" w:line="260" w:lineRule="auto"/>
              <w:jc w:val="left"/>
              <w:keepNext/>
            </w:pPr>
            <w:r>
              <w:rPr>
                <w:sz w:val="18"/>
              </w:rPr>
              <w:t>mangelhaft minus</w:t>
            </w:r>
          </w:p>
        </w:tc>
        <w:tc>
          <w:tcPr>
            <w:tcW w:w="1400" w:type="dxa"/>
            <w:vAlign w:val="center"/>
            <w:shd w:fill="FFFFFF"/>
          </w:tcPr>
          <w:p>
            <w:pPr>
              <w:spacing w:before="20" w:after="20" w:line="260" w:lineRule="auto"/>
              <w:jc w:val="left"/>
              <w:keepNext/>
            </w:pPr>
            <w:r>
              <w:rPr>
                <w:sz w:val="18"/>
              </w:rPr>
              <w:t>20 %</w:t>
            </w:r>
          </w:p>
        </w:tc>
        <w:tc>
          <w:tcPr>
            <w:tcW w:w="1500" w:type="dxa"/>
            <w:vAlign w:val="center"/>
            <w:shd w:fill="FFFFFF"/>
          </w:tcPr>
          <w:p>
            <w:pPr>
              <w:spacing w:before="20" w:after="20" w:line="260" w:lineRule="auto"/>
              <w:jc w:val="left"/>
              <w:keepNext/>
            </w:pPr>
            <w:r>
              <w:rPr>
                <w:sz w:val="18"/>
              </w:rPr>
              <w:t>20–26</w:t>
            </w:r>
          </w:p>
        </w:tc>
        <w:tc>
          <w:tcPr>
            <w:tcW w:w="1500" w:type="dxa"/>
            <w:vAlign w:val="center"/>
            <w:shd w:fill="FFFFFF"/>
          </w:tcPr>
          <w:p>
            <w:pPr>
              <w:spacing w:before="20" w:after="20" w:line="260" w:lineRule="auto"/>
              <w:jc w:val="left"/>
              <w:keepNext/>
            </w:pPr>
            <w:r>
              <w:rPr>
                <w:sz w:val="18"/>
              </w:rPr>
              <w:t>24–32</w:t>
            </w:r>
          </w:p>
        </w:tc>
      </w:tr>
      <w:tr>
        <w:trPr>
          <w:cantSplit/>
        </w:trPr>
        <w:tc>
          <w:tcPr>
            <w:tcW w:w="1550" w:type="dxa"/>
            <w:vAlign w:val="center"/>
            <w:shd w:fill="F1F5F6"/>
          </w:tcPr>
          <w:p>
            <w:pPr>
              <w:spacing w:before="20" w:after="20" w:line="260" w:lineRule="auto"/>
              <w:jc w:val="left"/>
            </w:pPr>
            <w:r>
              <w:rPr>
                <w:sz w:val="18"/>
              </w:rPr>
              <w:t>0</w:t>
            </w:r>
          </w:p>
        </w:tc>
        <w:tc>
          <w:tcPr>
            <w:tcW w:w="3124" w:type="dxa"/>
            <w:vAlign w:val="center"/>
            <w:shd w:fill="F1F5F6"/>
          </w:tcPr>
          <w:p>
            <w:pPr>
              <w:spacing w:before="20" w:after="20" w:line="260" w:lineRule="auto"/>
              <w:jc w:val="left"/>
            </w:pPr>
            <w:r>
              <w:rPr>
                <w:sz w:val="18"/>
              </w:rPr>
              <w:t>ungenügend</w:t>
            </w:r>
          </w:p>
        </w:tc>
        <w:tc>
          <w:tcPr>
            <w:tcW w:w="1400" w:type="dxa"/>
            <w:vAlign w:val="center"/>
            <w:shd w:fill="F1F5F6"/>
          </w:tcPr>
          <w:p>
            <w:pPr>
              <w:spacing w:before="20" w:after="20" w:line="260" w:lineRule="auto"/>
              <w:jc w:val="left"/>
            </w:pPr>
            <w:r>
              <w:rPr>
                <w:sz w:val="18"/>
              </w:rPr>
              <w:t>0 %</w:t>
            </w:r>
          </w:p>
        </w:tc>
        <w:tc>
          <w:tcPr>
            <w:tcW w:w="1500" w:type="dxa"/>
            <w:vAlign w:val="center"/>
            <w:shd w:fill="F1F5F6"/>
          </w:tcPr>
          <w:p>
            <w:pPr>
              <w:spacing w:before="20" w:after="20" w:line="260" w:lineRule="auto"/>
              <w:jc w:val="left"/>
            </w:pPr>
            <w:r>
              <w:rPr>
                <w:sz w:val="18"/>
              </w:rPr>
              <w:t>0–19</w:t>
            </w:r>
          </w:p>
        </w:tc>
        <w:tc>
          <w:tcPr>
            <w:tcW w:w="1500" w:type="dxa"/>
            <w:vAlign w:val="center"/>
            <w:shd w:fill="F1F5F6"/>
          </w:tcPr>
          <w:p>
            <w:pPr>
              <w:spacing w:before="20" w:after="20" w:line="260" w:lineRule="auto"/>
              <w:jc w:val="left"/>
            </w:pPr>
            <w:r>
              <w:rPr>
                <w:sz w:val="18"/>
              </w:rPr>
              <w:t>0–23</w:t>
            </w:r>
          </w:p>
        </w:tc>
      </w:tr>
    </w:tbl>
    <w:p>
      <w:pPr>
        <w:jc w:val="both"/>
        <w:spacing w:before="100"/>
      </w:pPr>
      <w:r>
        <w:rPr/>
        <w:t>¹ Vier Notenpunkte entsprechen gemäß APO-GOSt „schwach ausreichend“. Der Mindestanteil von 0 % bezeichnet die unterste Stufe; unterhalb von 20 % werden null Notenpunkte vergeben.</w:t>
      </w:r>
    </w:p>
    <w:p>
      <w:pPr>
        <w:jc w:val="both"/>
      </w:pPr>
      <w:r>
        <w:rPr/>
        <w:t>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 xml:space="preserve">15 Gleichwertige komplexe Leistungsnachweise: Aufgaben und Bewertungsraster</w:t>
      </w:r>
      <w:bookmarkEnd w:id="49"/>
    </w:p>
    <w:p>
      <w:pPr>
        <w:suppressAutoHyphens w:val="0"/>
        <w:jc w:val="both"/>
      </w:pPr>
      <w:r>
        <w:t>Für GKL im Fach Chemie stehen vier Formate zur Verfügung. Das gewählte Format, die fachlichen Anforderungen und die individuellen Nachweise werden vor Arbeitsbeginn vereinbart.</w:t>
      </w:r>
    </w:p>
    <w:p>
      <w:pPr>
        <w:suppressAutoHyphens w:val="0"/>
        <w:jc w:val="both"/>
      </w:pPr>
      <w:r>
        <w:t>Präsentation: Eine chemische Fragestellung anhand überprüfbarer Quellen, Daten und Modelle bearbeiten, Ergebnisse adressatengerecht präsentieren und im Fachgespräch begründen.</w:t>
      </w:r>
    </w:p>
    <w:p>
      <w:pPr>
        <w:suppressAutoHyphens w:val="0"/>
        <w:jc w:val="both"/>
      </w:pPr>
      <w:r>
        <w:t>Experimentelle Aufgabe: Eine eigene Untersuchung planen, nach Freigabe durchführen, Messwerte auswerten und die Aussagekraft der Ergebnisse beurteilen. Eine Anleitung des gesamten Kurses ist dabei nicht erforderlich.</w:t>
      </w:r>
    </w:p>
    <w:p>
      <w:pPr>
        <w:suppressAutoHyphens w:val="0"/>
        <w:jc w:val="both"/>
      </w:pPr>
      <w:r>
        <w:t>Anleitung des Kurses zum Experimentieren: Ein freigegebenes Verfahren erproben, den Kurs fachlich anleiten, bei Schwierigkeiten unterstützen und die Ergebnisse gemeinsam auswerten.</w:t>
      </w:r>
    </w:p>
    <w:p>
      <w:pPr>
        <w:suppressAutoHyphens w:val="0"/>
        <w:jc w:val="both"/>
      </w:pPr>
      <w:r>
        <w:t>Erarbeitung eines stationsbetriebenen Lernzirkels: Inhaltlich zusammenhängende Stationen mit Aufgaben, Experimenten oder Modellen, abgestuften Hilfen und einer gemeinsamen Ergebnissicherung entwickeln, erproben und mit dem Kurs durchführen.</w:t>
      </w:r>
    </w:p>
    <w:p>
      <w:pPr>
        <w:suppressAutoHyphens w:val="0"/>
        <w:jc w:val="both"/>
      </w:pPr>
      <w:r>
        <w:t xml:space="preserve">Die Beispiele in 15.2 bis 15.4, das EF-Beispiel zu Stoffkreisläufen in 15.11 und das Akkubeispiel in 15.12 konkretisieren diese Formate. Kombinationen sind möglich, wenn Umfang, Zuständigkeiten und Bewertung vorab feststehen. Bei allen experimentellen Formaten verbleiben Freigabe und Aufsicht bei der Lehrkraft.</w:t>
      </w:r>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 xml:space="preserve">15.1 Einordnung und transparente Vereinbarungen</w:t>
      </w:r>
    </w:p>
    <w:p>
      <w:pPr>
        <w:suppressAutoHyphens w:val="0"/>
        <w:jc w:val="both"/>
      </w:pPr>
      <w:r>
        <w:t>Der Arbeitsaufwand eines GKL soll für jede einzelne Schülerin und jeden einzelnen Schüler dem Aufwand für die Vorbereitung und Durchführung einer Klausur im jeweiligen Quartal entsprechen. Dazu zählen Recherche, Erprobung, Absprachen, Durchführung bzw. Präsentation, Auswertung und Reflexion. Die Lehrkraft begrenzt Aufgabenbreite und Abgabeumfang entsprechend und vereinbart den Zeitrahmen vor Beginn. Gruppenarbeit darf diesen individuellen Arbeitsrahmen nicht vergrößern.</w:t>
      </w:r>
    </w:p>
    <w:p>
      <w:pPr>
        <w:suppressAutoHyphens w:val="0"/>
        <w:jc w:val="both"/>
      </w:pPr>
      <w:r>
        <w:t xml:space="preserve">Vor diesem Hintergrund entwickeln die GKL-Aufgaben ausdrücklich Kreativität, Kollaboration, Kommunikation und kritisches Denken. Abschnitt 15.10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einzeln oder in Gruppen erarbeitet werden; die Bewertung erfolgt in allen Teilen individuell. § 14 Absatz 6 verlangt bei Gruppenarbeiten die Berücksichtigung von Gruppen- und Individualleistung. Im vorliegenden Raster wird deshalb der nachweisbare Beitrag jeder Person zum gemeinsamen Ergebnis und zur Zusammenarbeit beurteilt. Es gibt keine pauschalen Gruppenpunkte und keine Übernahme einer Gruppennote. Arbeitsjournal, gekennzeichnete Arbeitsergebnisse, Beobachtungen und individuelles Fachgespräch sichern die Zuordnung. Ist ein Beitrag nicht eindeutig zuzuordnen, wird er durch Rückfragen oder einen ergänzenden individuellen Nachweis geklärt. Rückmeldungen der Gruppe ersetzen keine eigene Bewertungsentscheidung der Lehrkraft.</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 xml:space="preserve">15.2 Beispiel: Präsentation und begründete Produktentscheidung</w:t>
      </w:r>
    </w:p>
    <w:p>
      <w:pPr>
        <w:suppressAutoHyphens w:val="0"/>
        <w:jc w:val="both"/>
      </w:pPr>
      <w:r>
        <w:rPr>
          <w:lang w:val="de-DE"/>
        </w:rPr>
        <w:t xml:space="preserve">Leitfrage: Sind biobasierte Verpackungen automatisch die nachhaltigere Wahl? Bezug: Kunststoffe und Bewertung von Werkstoffen, insbesondere GK.07. Sozialform: einzeln oder Team aus bis zu drei Personen. Umfang: Recherche, Präsentation und Fachgespräch werden zusammen im klausurvergleichbaren Arbeitsrahmen aus 15.1 geplant. Die Lehrkraft begrenzt Materialpaket und Präsentationsdauer vorab.</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 xml:space="preserve">15.3 Beispiel: Den Kurs bei einer analytischen Untersuchung anleiten</w:t>
      </w:r>
    </w:p>
    <w:p>
      <w:pPr>
        <w:suppressAutoHyphens w:val="0"/>
        <w:jc w:val="both"/>
      </w:pPr>
      <w:r>
        <w:rPr>
          <w:lang w:val="de-DE"/>
        </w:rPr>
        <w:t xml:space="preserve">Leitfrage: Wie zuverlässig lässt sich der deklarierte Säuregehalt einer Essigprobe überprüfen? Bezug: Säure-Base-Reaktionen und quantitative Analytik. Sozialform: ein Team aus drei GKL-Prüflingen leitet die übrigen Kursteilnehmenden in arbeitsteiligen Messgruppen an. Umfang: Eine Essigprobe, ein freigegebenes Verfahren und wenige Vergleichsmessungen; der individuelle Gesamtaufwand folgt 15.1.</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pageBreakBefore/>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die eigene Anleitung, fachliche Diagnose und Auswertung. Fremde Messdaten sind gekennzeichnet; Verhalten und Arbeitsgeschwindigkeit der übrigen Kursteilnehmenden werden nicht zugerechnet.</w:t>
      </w:r>
    </w:p>
    <w:p>
      <w:pPr>
        <w:pStyle w:val="Heading2"/>
        <w:pageBreakBefore/>
        <w:suppressAutoHyphens w:val="1"/>
      </w:pPr>
      <w:r>
        <w:t xml:space="preserve">15.4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Umfang: Ein Team aus drei Personen entwickelt ausgewählte Stationen; Erprobung, Kursarbeit und Auswertung bleiben zusammen im individuellen Arbeitsrahmen aus 14.1.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Für aussagekräftige Vergleiche werden Probenabmessungen, Trocknungszustand und Prüfbedingungen soweit möglich konstant gehalten.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 xml:space="preserve">15.5 So entsteht die individuelle GKL Bewertung</w:t>
      </w:r>
    </w:p>
    <w:p>
      <w:pPr>
        <w:suppressAutoHyphens w:val="0"/>
        <w:jc w:val="both"/>
      </w:pPr>
      <w:r>
        <w:rPr>
          <w:lang w:val="de-DE"/>
        </w:rPr>
        <w:t>Jede Person erhält einen eigenen Bewertungsbogen mit insgesamt 100 Bewertungseinheiten (BE). Alle drei Teile erfassen ausschließlich ihre nachgewiesene Einzelleistung. Teil A bewertet den eigenen Ergebnisbeitrag, Teil B das eigene chemische Verständnis und die Reflexion, Teil C die eigene Rollenleistung. Auch Teil A wird für jede Person gesondert begründet; ein Gruppenwert wird weder übernommen noch aufgeteilt.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20"/>
        <w:gridCol w:w="6746"/>
        <w:gridCol w:w="1417"/>
      </w:tblGrid>
      <w:tr>
        <w:trPr>
          <w:cantSplit/>
          <w:tblHeader/>
        </w:trPr>
        <w:tc>
          <w:tcPr>
            <w:tcW w:type="dxa" w:w="1020"/>
            <w:vAlign w:val="center"/>
            <w:shd w:fill="DDE9EC"/>
          </w:tcPr>
          <w:p>
            <w:pPr>
              <w:pStyle w:val="Compact"/>
              <w:spacing w:after="20" w:before="20"/>
              <w:jc w:val="center"/>
              <w:suppressAutoHyphens w:val="1"/>
            </w:pPr>
            <w:r>
              <w:rPr>
                <w:b/>
              </w:rPr>
              <w:t>Teil</w:t>
            </w:r>
          </w:p>
        </w:tc>
        <w:tc>
          <w:tcPr>
            <w:tcW w:type="dxa" w:w="6746"/>
            <w:vAlign w:val="center"/>
            <w:shd w:fill="DDE9EC"/>
          </w:tcPr>
          <w:p>
            <w:pPr>
              <w:pStyle w:val="Compact"/>
              <w:spacing w:after="20" w:before="20"/>
              <w:suppressAutoHyphens w:val="1"/>
            </w:pPr>
            <w:r>
              <w:rPr>
                <w:b/>
              </w:rPr>
              <w:t>Was wird bewertet</w:t>
            </w:r>
          </w:p>
        </w:tc>
        <w:tc>
          <w:tcPr>
            <w:tcW w:type="dxa" w:w="1417"/>
            <w:vAlign w:val="center"/>
            <w:shd w:fill="DDE9EC"/>
          </w:tcPr>
          <w:p>
            <w:pPr>
              <w:pStyle w:val="Compact"/>
              <w:spacing w:after="20" w:before="20"/>
              <w:suppressAutoHyphens w:val="1"/>
            </w:pPr>
            <w:r>
              <w:rPr>
                <w:b/>
              </w:rPr>
              <w:t>Höchstwert</w:t>
            </w:r>
          </w:p>
        </w:tc>
      </w:tr>
      <w:tr>
        <w:trPr>
          <w:cantSplit/>
        </w:trPr>
        <w:tc>
          <w:tcPr>
            <w:tcW w:type="dxa" w:w="1020"/>
            <w:vAlign w:val="center"/>
            <w:shd w:fill="FFFFFF"/>
          </w:tcPr>
          <w:p>
            <w:pPr>
              <w:pStyle w:val="Compact"/>
              <w:spacing w:after="20" w:before="20"/>
              <w:jc w:val="center"/>
              <w:suppressAutoHyphens w:val="1"/>
            </w:pPr>
            <w:r>
              <w:rPr>
                <w:b w:val="0"/>
              </w:rPr>
              <w:t>A</w:t>
            </w:r>
          </w:p>
        </w:tc>
        <w:tc>
          <w:tcPr>
            <w:tcW w:type="dxa" w:w="6746"/>
            <w:vAlign w:val="center"/>
            <w:shd w:fill="FFFFFF"/>
          </w:tcPr>
          <w:p>
            <w:pPr>
              <w:pStyle w:val="Compact"/>
              <w:spacing w:after="20" w:before="20"/>
              <w:suppressAutoHyphens w:val="1"/>
            </w:pPr>
            <w:r>
              <w:rPr>
                <w:b w:val="0"/>
              </w:rPr>
              <w:t>Individueller Ergebnisbeitrag</w:t>
            </w:r>
          </w:p>
        </w:tc>
        <w:tc>
          <w:tcPr>
            <w:tcW w:type="dxa" w:w="1417"/>
            <w:vAlign w:val="center"/>
            <w:shd w:fill="FFFFFF"/>
          </w:tcPr>
          <w:p>
            <w:pPr>
              <w:pStyle w:val="Compact"/>
              <w:spacing w:after="20" w:before="20"/>
              <w:suppressAutoHyphens w:val="1"/>
            </w:pPr>
            <w:r>
              <w:rPr>
                <w:b w:val="0"/>
              </w:rPr>
              <w:t>20 BE</w:t>
            </w:r>
          </w:p>
        </w:tc>
      </w:tr>
      <w:tr>
        <w:trPr>
          <w:cantSplit/>
        </w:trPr>
        <w:tc>
          <w:tcPr>
            <w:tcW w:type="dxa" w:w="1020"/>
            <w:vAlign w:val="center"/>
            <w:shd w:fill="F5F8F9"/>
          </w:tcPr>
          <w:p>
            <w:pPr>
              <w:pStyle w:val="Compact"/>
              <w:spacing w:after="20" w:before="20"/>
              <w:jc w:val="center"/>
              <w:suppressAutoHyphens w:val="1"/>
            </w:pPr>
            <w:r>
              <w:rPr>
                <w:b w:val="0"/>
              </w:rPr>
              <w:t>B</w:t>
            </w:r>
          </w:p>
        </w:tc>
        <w:tc>
          <w:tcPr>
            <w:tcW w:type="dxa" w:w="6746"/>
            <w:vAlign w:val="center"/>
            <w:shd w:fill="F5F8F9"/>
          </w:tcPr>
          <w:p>
            <w:pPr>
              <w:pStyle w:val="Compact"/>
              <w:spacing w:after="20" w:before="20"/>
              <w:suppressAutoHyphens w:val="1"/>
            </w:pPr>
            <w:r>
              <w:rPr>
                <w:b w:val="0"/>
              </w:rPr>
              <w:t>Eigenes chemisches Verständnis und Reflexion</w:t>
            </w:r>
          </w:p>
        </w:tc>
        <w:tc>
          <w:tcPr>
            <w:tcW w:type="dxa" w:w="1417"/>
            <w:vAlign w:val="center"/>
            <w:shd w:fill="F5F8F9"/>
          </w:tcPr>
          <w:p>
            <w:pPr>
              <w:pStyle w:val="Compact"/>
              <w:spacing w:after="20" w:before="20"/>
              <w:suppressAutoHyphens w:val="1"/>
            </w:pPr>
            <w:r>
              <w:rPr>
                <w:b w:val="0"/>
              </w:rPr>
              <w:t>40 BE</w:t>
            </w:r>
          </w:p>
        </w:tc>
      </w:tr>
      <w:tr>
        <w:trPr>
          <w:cantSplit/>
        </w:trPr>
        <w:tc>
          <w:tcPr>
            <w:tcW w:type="dxa" w:w="1020"/>
            <w:vAlign w:val="center"/>
            <w:shd w:fill="FFFFFF"/>
          </w:tcPr>
          <w:p>
            <w:pPr>
              <w:pStyle w:val="Compact"/>
              <w:spacing w:after="20" w:before="20"/>
              <w:jc w:val="center"/>
              <w:suppressAutoHyphens w:val="1"/>
            </w:pPr>
            <w:r>
              <w:rPr>
                <w:b w:val="0"/>
              </w:rPr>
              <w:t>C</w:t>
            </w:r>
          </w:p>
        </w:tc>
        <w:tc>
          <w:tcPr>
            <w:tcW w:type="dxa" w:w="6746"/>
            <w:vAlign w:val="center"/>
            <w:shd w:fill="FFFFFF"/>
          </w:tcPr>
          <w:p>
            <w:pPr>
              <w:pStyle w:val="Compact"/>
              <w:spacing w:after="20" w:before="20"/>
              <w:suppressAutoHyphens w:val="1"/>
            </w:pPr>
            <w:r>
              <w:rPr>
                <w:b w:val="0"/>
              </w:rPr>
              <w:t>Eigene Leistung in der vereinbarten Rolle</w:t>
            </w:r>
          </w:p>
        </w:tc>
        <w:tc>
          <w:tcPr>
            <w:tcW w:type="dxa" w:w="1417"/>
            <w:vAlign w:val="center"/>
            <w:shd w:fill="FFFFFF"/>
          </w:tcPr>
          <w:p>
            <w:pPr>
              <w:pStyle w:val="Compact"/>
              <w:spacing w:after="20" w:before="20"/>
              <w:suppressAutoHyphens w:val="1"/>
            </w:pPr>
            <w:r>
              <w:rPr>
                <w:b w:val="0"/>
              </w:rPr>
              <w:t>40 BE</w:t>
            </w:r>
          </w:p>
        </w:tc>
      </w:tr>
      <w:tr>
        <w:trPr>
          <w:cantSplit/>
        </w:trPr>
        <w:tc>
          <w:tcPr>
            <w:tcW w:type="dxa" w:w="1020"/>
            <w:vAlign w:val="center"/>
            <w:shd w:fill="F5F8F9"/>
          </w:tcPr>
          <w:p>
            <w:pPr>
              <w:pStyle w:val="Compact"/>
              <w:spacing w:after="20" w:before="20"/>
              <w:jc w:val="center"/>
              <w:suppressAutoHyphens w:val="1"/>
            </w:pPr>
            <w:r>
              <w:rPr>
                <w:b w:val="0"/>
              </w:rPr>
              <w:t>Summe</w:t>
            </w:r>
          </w:p>
        </w:tc>
        <w:tc>
          <w:tcPr>
            <w:tcW w:type="dxa" w:w="6746"/>
            <w:vAlign w:val="center"/>
            <w:shd w:fill="F5F8F9"/>
          </w:tcPr>
          <w:p>
            <w:pPr>
              <w:pStyle w:val="Compact"/>
              <w:spacing w:after="20" w:before="20"/>
              <w:suppressAutoHyphens w:val="1"/>
            </w:pPr>
            <w:r>
              <w:rPr>
                <w:b w:val="0"/>
              </w:rPr>
              <w:t>A + B + C für jede einzelne Person</w:t>
            </w:r>
          </w:p>
        </w:tc>
        <w:tc>
          <w:tcPr>
            <w:tcW w:type="dxa" w:w="1417"/>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 xml:space="preserve">Vor Beginn: Präsentationsbogen (15.6) oder Experimentierbogen (15.7) auswählen und jeder Person genau ein passendes Rollenmodul aus 15.8 zuordnen.</w:t>
      </w:r>
    </w:p>
    <w:p>
      <w:pPr>
        <w:pStyle w:val="ListNumber"/>
        <w:suppressAutoHyphens w:val="1"/>
      </w:pPr>
      <w:r>
        <w:t>Während der Arbeit: Für jede Person gekennzeichnete Ergebnisbeiträge, Beobachtungen und fachliche Belege sammeln. Bei gemeinsamen Produkten müssen Urheberschaft, eigene Entscheidungen und die Verbindung zum Gesamtergebnis erkennbar sein.</w:t>
      </w:r>
    </w:p>
    <w:p>
      <w:pPr>
        <w:pStyle w:val="ListNumber"/>
        <w:suppressAutoHyphens w:val="1"/>
      </w:pPr>
      <w:r>
        <w:t>Bei der Bewertung: Für jedes Kriterium die individuell erreichten BE eintragen und mit einem persönlichen Nachweis begründen. Die eigenen Teilwerte A, B und C addieren. Keine Gruppenwerte übertragen, verteilen oder als Ausgangspunkt verwenden.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eine vorab offenzulegende Bewertungsvereinbarung, keine landesweit vorgeschriebene GKL-Gewichtung. Einzel- und Gruppenarbeit werden nach demselben individuellen Grundsatz bewertet. Ein Rollenwechsel oder eine Kombination von Modulen wird vorab vereinbart; Teil C umfasst insgesamt höchstens 40 BE. Gleiche Punktzahlen sind nur bei jeweils eigenständig belegter, gleichwertiger Leistung möglich, nicht allein aufgrund der Gruppenzugehörigkeit.</w:t>
      </w:r>
    </w:p>
    <w:p>
      <w:pPr>
        <w:pStyle w:val="Heading3"/>
        <w:pageBreakBefore/>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 xml:space="preserve">15.6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Die Person liefert einen richtigen, schlüssigen Beitrag zur Leitfrage und verknüpft ihn nachvollziehbar mit dem Gesamtergebnis.</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Quellen, Daten und Modelle des eigenen Beitrags sind nachprüfbar; fremde Anteile sind gekennzeichnet.</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 xml:space="preserve">Genau ein passendes Modul aus 15.8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 xml:space="preserve">15.7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Der selbst erarbeitete Untersuchungs- oder Auswertungsanteil ist richtig und trägt nachvollziehbar zur gemeinsamen Fragestellung bei.</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Der eigene Anteil an Anleitung, Daten, Auswertung und Schlussfolgerung ist zugeordnet und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 xml:space="preserve">Genau ein passendes Modul aus 15.8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 xml:space="preserve">15.8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 xml:space="preserve">15.8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 xml:space="preserve">15.9 Beispiel einer individuellen Bewertung</w:t>
      </w:r>
    </w:p>
    <w:p>
      <w:pPr>
        <w:suppressAutoHyphens w:val="0"/>
        <w:jc w:val="both"/>
      </w:pPr>
      <w:r>
        <w:rPr>
          <w:lang w:val="de-DE"/>
        </w:rPr>
        <w:t>Drei Personen führen gemeinsam eine analytische Kursuntersuchung durch. Alle Werte werden für jede Person anhand eigener Nachweise vergeben. Auch in Teil A ergeben sich unterschiedliche Punktzahlen: Bewertet wird der jeweilige Ergebnisbeitrag, nicht die Gruppe als Ganzes.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Summe</w:t>
            </w:r>
          </w:p>
        </w:tc>
        <w:tc>
          <w:tcPr>
            <w:tcW w:type="dxa" w:w="1286"/>
            <w:vAlign w:val="center"/>
            <w:shd w:fill="DDE9EC"/>
          </w:tcPr>
          <w:p>
            <w:pPr>
              <w:pStyle w:val="Compact"/>
              <w:spacing w:after="20" w:before="20"/>
              <w:suppressAutoHyphens w:val="1"/>
            </w:pPr>
            <w:r>
              <w:rPr>
                <w:b/>
              </w:rPr>
              <w:t>NP</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12</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68</w:t>
            </w:r>
          </w:p>
        </w:tc>
        <w:tc>
          <w:tcPr>
            <w:tcW w:type="dxa" w:w="1286"/>
            <w:vAlign w:val="center"/>
            <w:shd w:fill="F5F8F9"/>
          </w:tcPr>
          <w:p>
            <w:pPr>
              <w:pStyle w:val="Compact"/>
              <w:spacing w:after="20" w:before="20"/>
              <w:suppressAutoHyphens w:val="1"/>
            </w:pPr>
            <w:r>
              <w:rPr>
                <w:b w:val="0"/>
              </w:rPr>
              <w:t>9</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19</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91</w:t>
            </w:r>
          </w:p>
        </w:tc>
        <w:tc>
          <w:tcPr>
            <w:tcW w:type="dxa" w:w="1286"/>
            <w:vAlign w:val="center"/>
            <w:shd w:fill="FFFFFF"/>
          </w:tcPr>
          <w:p>
            <w:pPr>
              <w:pStyle w:val="Compact"/>
              <w:spacing w:after="20" w:before="20"/>
              <w:suppressAutoHyphens w:val="1"/>
            </w:pPr>
            <w:r>
              <w:rPr>
                <w:b w:val="0"/>
              </w:rPr>
              <w:t>14</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Eigener Ergebnisbeitrag 10/12; eigene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Summe</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Auch bei einem gemeinsamen Produkt entstehen vollständig individuelle Bewertungen. Die Werte in Teil A beruhen hier auf 10 + 6 BE für Person A, 8 + 4 BE für Person B und 12 + 7 BE für Person C. Stärken oder Fehler anderer Personen werden nicht pauschal zugerechnet. Bewertet wird auch, wie die einzelne Person ihren Beitrag fachlich mit den anderen Beiträgen verbindet.</w:t>
      </w:r>
    </w:p>
    <w:p>
      <w:pPr>
        <w:pStyle w:val="Heading3"/>
        <w:suppressAutoHyphens w:val="1"/>
      </w:pPr>
      <w:r>
        <w:t>Abgrenzung der Kriterien</w:t>
      </w:r>
    </w:p>
    <w:p>
      <w:pPr>
        <w:suppressAutoHyphens w:val="0"/>
        <w:jc w:val="both"/>
      </w:pPr>
      <w:r>
        <w:rPr>
          <w:lang w:val="de-DE"/>
        </w:rPr>
        <w:t>Teil A beurteilt die fachliche Qualität und Dokumentation des persönlich erarbeiteten Ergebnisses. Teil B erfasst dessen Verständnis, Begründung und Reflexion im individuellen Gespräch. Teil C beurteilt das eigene Vorgehen in der vereinbarten Rolle, einschließlich des nachgewiesenen Beitrags zur Zusammenarbeit. Ein gemeinsames Produkt dient als Bezug, erhält aber keine übertragbare Gruppenpunktzahl. Dieselbe Teilleistung wird nicht doppelt bepunktet. Bei Einzelarbeit entfällt die Bewertung nicht erbrachter Gruppenhandlungen.</w:t>
      </w:r>
    </w:p>
    <w:p>
      <w:bookmarkStart w:id="9901" w:name="vier_k_gkl"/>
      <w:pPr>
        <w:pStyle w:val="Heading2"/>
        <w:pageBreakBefore/>
        <w:suppressAutoHyphens w:val="1"/>
      </w:pPr>
      <w:r>
        <w:t xml:space="preserve">15.10 Die vier K in Aufgaben und Bewertung</w:t>
      </w:r>
      <w:bookmarkEnd w:id="9901"/>
    </w:p>
    <w:p>
      <w:pPr>
        <w:suppressAutoHyphens w:val="0"/>
        <w:jc w:val="both"/>
      </w:pPr>
      <w:r>
        <w:rPr>
          <w:lang w:val="de-DE"/>
        </w:rPr>
        <w:t xml:space="preserve">Kreativität, Kollaboration, Kommunikation und kritisches Denken werden in den Aufgaben 15.2 bis 15.4 sowie 15.11 und 15.12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pageBreakBefore/>
        <w:suppressAutoHyphens w:val="1"/>
      </w:pPr>
      <w:r>
        <w:t>Konkretisierung der Beispielaufgaben</w:t>
      </w:r>
    </w:p>
    <w:p>
      <w:pPr>
        <w:suppressAutoHyphens w:val="0"/>
        <w:jc w:val="both"/>
      </w:pPr>
      <w:r>
        <w:rPr>
          <w:lang w:val="de-DE"/>
        </w:rPr>
        <w:t xml:space="preserve">Präsentation (15.2):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 xml:space="preserve">Analytische Kursanleitung (15.3):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 xml:space="preserve">Polymerstationen (15.4):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2"/>
        <w:pageBreakBefore/>
        <w:suppressAutoHyphens w:val="1"/>
      </w:pPr>
      <w:r>
        <w:t xml:space="preserve">15.11 EF Beispiel zu Stoffkreisläufen</w:t>
      </w:r>
    </w:p>
    <w:p>
      <w:pPr>
        <w:suppressAutoHyphens w:val="0"/>
        <w:jc w:val="both"/>
      </w:pPr>
      <w:r>
        <w:t>Leitfrage: Wenn das Meer CO₂ aufnimmt – ist das Klimaproblem damit gelöst? Bezug: Kohlenstoffkreislauf, chemisches Gleichgewicht und Klima. Format: experimentelle Aufgabe mit begründeter Ergebnisdarstellung; einzeln oder im Team aus bis zu drei Personen. Voraussetzung sind die im Unterricht erarbeiteten Grundlagen zu Kohlenstoffdioxid und chemischen Gleichgewichten.</w:t>
      </w:r>
    </w:p>
    <w:p>
      <w:pPr>
        <w:suppressAutoHyphens w:val="0"/>
        <w:jc w:val="both"/>
      </w:pPr>
      <w:r>
        <w:t>Auftrag: Untersuchen Sie an einem freigegebenen Modellversuch, wie Erwärmung den Austausch von Kohlenstoffdioxid zwischen Wasser und Luft beeinflusst. Verbinden Sie Ihre Befunde mit einem selbst erstellten Schaubild des Kohlenstoffkreislaufs. Prüfen Sie anschließend die Behauptung, die Aufnahme von CO₂ durch die Meere mache eine Verringerung menschlicher Emissionen überflüssig.</w:t>
      </w:r>
    </w:p>
    <w:p>
      <w:pPr>
        <w:suppressAutoHyphens w:val="0"/>
        <w:jc w:val="both"/>
      </w:pPr>
      <w:r>
        <w:t>Planung und Erprobung: Formulieren Sie eine überprüfbare Vermutung. Entwickeln Sie zwei geeignete Varianten der Untersuchung und begründen Sie Ihre Auswahl. Vereinbaren Sie mit der Lehrkraft Material, Temperaturbereich, Messverfahren und Schutzmaßnahmen. Halten Sie Ausgangsprobe, Flüssigkeitsvolumen, Gefäßform und Beobachtungsdauer bei Vergleichsansätzen möglichst gleich.</w:t>
      </w:r>
    </w:p>
    <w:p>
      <w:pPr>
        <w:suppressAutoHyphens w:val="0"/>
        <w:jc w:val="both"/>
      </w:pPr>
      <w:r>
        <w:t>Modellversuch: Vergleichen Sie gleiche Teilproben desselben kohlensäurehaltigen Wassers bei unterschiedlichen Temperaturen. Dokumentieren Sie Temperatur, Gasentwicklung und den mit einem geeigneten Verfahren bestimmten pH-Wert im zeitlichen Verlauf. Eine nicht erwärmte Teilprobe dient als Vergleich; eine zusätzliche Probe ohne zugesetztes CO₂ hilft, Einflüsse des Wassers und des Messverfahrens zu erkennen. Führen Sie Vergleichsmessungen durch und beachten Sie den Temperatureinfluss auf die pH-Messung. Erwärmte Gefäße dürfen nicht gasdicht verschlossen werden. Die konkrete Durchführung erfolgt ausschließlich nach freigegebener Anleitung und unter Aufsicht.</w:t>
      </w:r>
    </w:p>
    <w:p>
      <w:pPr>
        <w:suppressAutoHyphens w:val="0"/>
        <w:jc w:val="both"/>
      </w:pPr>
      <w:r>
        <w:t>Auswertung: Trennen Sie Beobachtung und Erklärung. Erläutern Sie den Austausch CO₂(g) ⇌ CO₂(aq) und die damit gekoppelten Säure-Base-Gleichgewichte auf dem im Unterricht behandelten Niveau. Ein pH-Wert ist kein direktes Maß für die gesamte gelöste Kohlenstoffmenge. Gasblasen allein erlauben keine quantitative Bestimmung der CO₂-Abgabe. Bloßes Abkühlen führt in einem offenen Gefäß nicht zwangsläufig zum Ausgangszustand zurück, weil zuvor Gas entweichen konnte.</w:t>
      </w:r>
    </w:p>
    <w:p>
      <w:pPr>
        <w:pStyle w:val="Heading2"/>
        <w:pageBreakBefore/>
        <w:suppressAutoHyphens w:val="1"/>
      </w:pPr>
      <w:r>
        <w:t xml:space="preserve">15.11 EF Beispiel zu Stoffkreisläufen Fortsetzung</w:t>
      </w:r>
    </w:p>
    <w:p>
      <w:pPr>
        <w:suppressAutoHyphens w:val="0"/>
        <w:jc w:val="both"/>
      </w:pPr>
      <w:r>
        <w:t>Vom Versuch zum Stoffkreislauf: Stellen Sie Atmosphäre, Ozean, Biosphäre und Gesteine als Kohlenstoffspeicher dar. Kennzeichnen Sie Austauschprozesse, menschliche Eingriffe und unterschiedliche Zeitskalen. Unterscheiden Sie die Größe eines Speichers von einem Stoffstrom pro Zeit. Begründen Sie, warum Mineralwasser kein vollständiges Modell des Meerwassers ist: Salzgehalt, Pufferung, Strömungen und biologische Prozesse werden im Versuch nicht angemessen erfasst.</w:t>
      </w:r>
    </w:p>
    <w:p>
      <w:pPr>
        <w:suppressAutoHyphens w:val="0"/>
        <w:jc w:val="both"/>
      </w:pPr>
      <w:r>
        <w:t>Materialgestützte Bilanz: Werten Sie von der Lehrkraft bereitgestellte oder selbst überprüfte Daten zu Kohlenstoffspeichern und Stoffströmen aus. Nennen Sie Quelle, Bezugszeitraum, Einheit und Unsicherheiten. Als ausdrücklich vereinfachte Übungsdaten, nicht als aktuelle globale Messwerte, erhält ein Modellozean jährlich 9 Gt Kohlenstoff und gibt 7 Gt wieder ab. Berechnen und erklären Sie die jährliche Bestandsänderung. Prüfen Sie, was eine zusätzlich freigesetzte Menge von 1 Gt Kohlenstoff bei sonst unveränderten Stoffströmen an dieser Bilanz ändert.</w:t>
      </w:r>
    </w:p>
    <w:p>
      <w:pPr>
        <w:suppressAutoHyphens w:val="0"/>
        <w:jc w:val="both"/>
      </w:pPr>
      <w:r>
        <w:t>Fachlicher Erwartungshorizont zur Rechnung: Δm(C) = m(C, hinein) − m(C, hinaus) = 9 Gt − 7 Gt = 2 Gt pro Jahr. Bei einer zusätzlichen Abgabe von 1 Gt beträgt die Zunahme nur noch 1 Gt pro Jahr; der Modellozean bleibt unter diesen Annahmen eine Netto-Senke. Kohlenstoffmasse und CO₂-Masse sind nicht gleich: m(CO₂) = m(C) · 44/12. Eine Aufnahme von 2 Gt Kohlenstoff entspricht damit rund 7,3 Gt CO₂. Die Bilanz beschreibt weder die vorhandene Gesamtmenge noch eine unbegrenzt fortsetzbare Speicherung.</w:t>
      </w:r>
    </w:p>
    <w:p>
      <w:pPr>
        <w:suppressAutoHyphens w:val="0"/>
        <w:jc w:val="both"/>
      </w:pPr>
      <w:r>
        <w:t>Beurteilung und Transfer: Beantworten Sie die Leitfrage mit Belegen aus Versuch und Datenmaterial. Erklären Sie, warum die Aufnahme von CO₂ den Anstieg in der Atmosphäre vermindern kann, aber Emissionen nicht ungeschehen macht. Berücksichtigen Sie die Veränderung der Wasserchemie und die Grenzen des Modellversuchs. Untersuchen Sie als Transfer, welche Folgen eine Erwärmung oder eine Änderung eines Stoffstroms haben könnte, ohne daraus eine unbelegte quantitative Klimaprognose abzuleiten.</w:t>
      </w:r>
    </w:p>
    <w:p>
      <w:pPr>
        <w:suppressAutoHyphens w:val="0"/>
        <w:jc w:val="both"/>
      </w:pPr>
      <w:r>
        <w:t>Produkte und individueller Nachweis: Abzugeben sind Versuchsplanung und Erprobungsprotokoll, gekennzeichnete Rohdaten, eine fachlich erläuterte Auswertung, das Kreislaufschaubild mit Quellen sowie eine begründete Antwort auf die Leitfrage. Jede Person dokumentiert eigene Entscheidungen und erläutert im Fachgespräch eine Gleichgewichtsverschiebung, eine Bilanzrechnung und eine Modellgrenze.</w:t>
      </w:r>
    </w:p>
    <w:p>
      <w:pPr>
        <w:suppressAutoHyphens w:val="0"/>
        <w:jc w:val="both"/>
      </w:pPr>
      <w:r>
        <w:t xml:space="preserve">Bewertung und vier K: Für die experimentelle Aufgabe wird der Bogen aus 15.7 verwendet. In Teil C werden vorab passende Kriterien vereinbart: Bei E1 tritt die nachvollziehbare Dokumentation der eigenen Durchführung an die Stelle der Kursanleitung; bei E2 wird der eigene Umgang mit Messproblemen statt der Unterstützung von Kursgruppen bewertet. Die jeweiligen Höchstwerte bleiben unverändert. Kreativität zeigt sich in begründet verglichenen Versuchs- oder Darstellungsvarianten, Kommunikation in der verständlichen Erklärung, kritisches Denken in Quellenprüfung und Modellkritik. Bei Teamarbeit wird Kollaboration durch dokumentierte Absprachen und individuelle Beiträge nachgewiesen; bei Einzelarbeit wird keine Gruppenleistung vorausgesetzt.</w:t>
      </w:r>
    </w:p>
    <w:p>
      <w:pPr>
        <w:pStyle w:val="Heading2"/>
        <w:pageBreakBefore/>
        <w:suppressAutoHyphens w:val="1"/>
      </w:pPr>
      <w:r>
        <w:t xml:space="preserve">15.12 GKL Beispiel zum Lithium Eisenphosphat Akku</w:t>
      </w:r>
    </w:p>
    <w:p>
      <w:pPr>
        <w:suppressAutoHyphens w:val="0"/>
        <w:jc w:val="both"/>
      </w:pPr>
      <w:r>
        <w:t>Leitfrage: Mittags Sonne tanken, abends das Handy laden – eignet sich ein Lithium-Eisenphosphat-Akku als Speicher? Bezug: Elektrochemische Energiespeicherung im Grundkurs, Redoxreaktionen und Bewertung technischer Anwendungen. Format: materialgestützte Präsentation mit einem selbst entwickelten Funktionsmodell; einzeln oder im Team aus bis zu drei Personen.</w:t>
      </w:r>
    </w:p>
    <w:p>
      <w:pPr>
        <w:suppressAutoHyphens w:val="0"/>
        <w:jc w:val="both"/>
      </w:pPr>
      <w:r>
        <w:t>Auftrag: Erklären Sie das Laden und Entladen einer Lithium-Eisenphosphat-Zelle mit Graphitelektrode. Vergleichen Sie zwei selbst entwickelte Darstellungen und begründen Sie Ihre Auswahl. Ein begrenztes Materialpaket liefert Elektrodenschemata, Kenndaten und eine Entladekurve. Beurteilen Sie damit die Eignung des Speichers.</w:t>
      </w:r>
    </w:p>
    <w:p>
      <w:pPr>
        <w:suppressAutoHyphens w:val="0"/>
        <w:jc w:val="both"/>
      </w:pPr>
      <w:r>
        <w:t>Fachlicher Kern: Unterscheiden Sie Elektronenfluss im äußeren Stromkreis und Lithium-Ionen-Transport durch den Elektrolyten. Beim Entladen wird Lithium aus Graphit ausgelagert und in die Eisenphosphat-Elektrode eingelagert; dort wird Eisen(III) zu Eisen(II) reduziert. Beim Laden kehren sich die Vorgänge unter Energiezufuhr um. Kennzeichnen Sie für beide Betriebszustände Plus- und Minuspol, Oxidation und Reduktion. Erklären Sie Ladungsausgleich und Stoffveränderungen.</w:t>
      </w:r>
    </w:p>
    <w:p>
      <w:pPr>
        <w:suppressAutoHyphens w:val="0"/>
        <w:jc w:val="both"/>
      </w:pPr>
      <w:r>
        <w:t>Datenaufgabe: Vereinfachte Übungsdaten sind eine mittlere Entladespannung von 3,2 V und eine entnehmbare Ladung von 5,0 Ah. Ein Verbraucher benötigt 10 Wh; 80 % der abgegebenen Energie werden für ihn nutzbar. Berechnen Sie Energieinhalt und nutzbare Energie. Welche Angaben fehlen für eine verlässliche technische Entscheidung?</w:t>
      </w:r>
    </w:p>
    <w:p>
      <w:pPr>
        <w:suppressAutoHyphens w:val="0"/>
        <w:jc w:val="both"/>
      </w:pPr>
      <w:r>
        <w:t>Erwartungshorizont: 3,2 V · 5,0 Ah ergeben näherungsweise 16 Wh; nach den angesetzten Verlusten stehen 12,8 Wh zur Verfügung. Der Bedarf von 10 Wh wird im vereinfachten Modell gedeckt. Amperestunden beschreiben elektrische Ladung, nicht Energie. Reale Entladespannung, nutzbarer Ladebereich, Temperatur, Alterung und benötigte Leistung begrenzen die Aussage. Die Zahlen sind Übungsdaten und keine zugesicherten Kennwerte eines Handelsprodukts.</w:t>
      </w:r>
    </w:p>
    <w:p>
      <w:pPr>
        <w:suppressAutoHyphens w:val="0"/>
        <w:jc w:val="both"/>
      </w:pPr>
      <w:r>
        <w:t xml:space="preserve">Arbeitsumfang und Sicherheit: Produkt ist eine kurze Präsentation zu einem Akkutyp mit Modell, Rechnung und Urteil. Der individuelle Gesamtaufwand folgt 15.1; eine Marktstudie entfällt. Akkus werden weder geöffnet noch kurzgeschlossen, erhitzt oder mit improvisierten Geräten geladen. Ein praktischer Eingriff ist nicht vorgesehen.</w:t>
      </w:r>
    </w:p>
    <w:p>
      <w:pPr>
        <w:suppressAutoHyphens w:val="0"/>
        <w:jc w:val="both"/>
      </w:pPr>
      <w:r>
        <w:t xml:space="preserve">Individuelle Bewertung: Jede Person kennzeichnet ihren Beitrag und erklärt im Fachgespräch den Redoxvorgang sowie eine Modellgrenze. Es gilt 15.6 mit P1, P2 oder P3; alle Punkte einschließlich Teil A werden individuell vergeben. Die vier K werden am Modellvergleich, an Datenprüfung, Erklärung und gegebenenfalls am eigenen Beitrag zur Zusammenarbeit sichtbar.</w:t>
      </w:r>
    </w:p>
    <w:p>
      <w:pPr>
        <w:suppressAutoHyphens w:val="0"/>
        <w:jc w:val="both"/>
      </w:pPr>
      <w:r>
        <w:t>Materialgrundlage: U.S. Department of Energy, Defects and Surface Reactions Boost Batteries: energy.gov/science/bes/articles/defects-and-surface-reactions-boost-batteries. Die Lehrkraft ergänzt ein geprüftes Elektrodenschema und passende Kenndaten.</w:t>
      </w:r>
    </w:p>
    <w:p>
      <w:pPr>
        <w:pStyle w:val="Heading1"/>
        <w:jc w:val="left"/>
        <w:pageBreakBefore/>
      </w:pPr>
      <w:r>
        <w:rPr/>
        <w:t xml:space="preserve">16 Abiturprüfung</w:t>
      </w:r>
      <w:bookmarkStart w:id="9909" w:name="abiturpruefung"/>
      <w:bookmarkEnd w:id="9909"/>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17 erläutert.</w:t>
      </w:r>
    </w:p>
    <w:p>
      <w:pPr>
        <w:pStyle w:val="Heading2"/>
        <w:jc w:val="left"/>
      </w:pPr>
      <w:r>
        <w:rPr/>
        <w:t xml:space="preserve">16.1 Schriftliche Prüfung</w:t>
      </w:r>
      <w:bookmarkStart w:id="9910" w:name="abitur_schriftlich"/>
      <w:bookmarkEnd w:id="9910"/>
    </w:p>
    <w:p>
      <w:pPr>
        <w:jc w:val="both"/>
      </w:pPr>
      <w:r>
        <w:rPr/>
        <w:t xml:space="preserve">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14 erläutert.</w:t>
      </w:r>
    </w:p>
    <w:p>
      <w:pPr>
        <w:pStyle w:val="Heading2"/>
        <w:jc w:val="left"/>
      </w:pPr>
      <w:r>
        <w:rPr/>
        <w:t xml:space="preserve">16.2 Mündliche Prüfung und Fachgespräch</w:t>
      </w:r>
      <w:bookmarkStart w:id="9911" w:name="abitur_muendlich"/>
      <w:bookmarkEnd w:id="9911"/>
    </w:p>
    <w:p>
      <w:pPr>
        <w:jc w:val="both"/>
      </w:pPr>
      <w:r>
        <w:rPr/>
        <w:t>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16.3 Bewertung und Formulierungshilfen</w:t>
      </w:r>
      <w:bookmarkStart w:id="9912" w:name="abitur_bewertung"/>
      <w:bookmarkEnd w:id="9912"/>
    </w:p>
    <w:p>
      <w:pPr>
        <w:jc w:val="both"/>
      </w:pPr>
      <w:r>
        <w:rPr/>
        <w:t>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14.5,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Note und Notenpunkte</w:t>
            </w:r>
          </w:p>
        </w:tc>
        <w:tc>
          <w:tcPr>
            <w:tcW w:w="6674" w:type="dxa"/>
            <w:vAlign w:val="center"/>
            <w:shd w:fill="DDE9EC"/>
          </w:tcPr>
          <w:p>
            <w:pPr>
              <w:spacing w:before="20" w:after="20" w:line="260" w:lineRule="auto"/>
              <w:jc w:val="left"/>
              <w:keepNext/>
            </w:pPr>
            <w:r>
              <w:rPr>
                <w:sz w:val="18"/>
                <w:b/>
              </w:rPr>
              <w:t>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Amtliche Grundlagen:</w:t>
      </w:r>
      <w:r>
        <w:rPr/>
        <w:t xml:space="preserve"> </w:t>
      </w:r>
      <w:hyperlink r:id="rIdKlausur63">
        <w:r>
          <w:rPr>
            <w:color w:val="174D72"/>
            <w:u w:val="single"/>
          </w:rPr>
          <w:t xml:space="preserve">APO-GOSt bisher: §§ 32–38</w:t>
        </w:r>
      </w:hyperlink>
      <w:r>
        <w:rPr/>
        <w:t xml:space="preserve"> · </w:t>
      </w:r>
      <w:hyperlink r:id="rIdKlausur64">
        <w:r>
          <w:rPr>
            <w:color w:val="174D72"/>
            <w:u w:val="single"/>
          </w:rPr>
          <w:t xml:space="preserve">APO-GOSt ab EF 2027/28: §§ 33–35</w:t>
        </w:r>
      </w:hyperlink>
      <w:r>
        <w:rPr/>
        <w:t xml:space="preserve"> · </w:t>
      </w:r>
      <w:hyperlink r:id="rIdKlausur65">
        <w:r>
          <w:rPr>
            <w:color w:val="174D72"/>
            <w:u w:val="single"/>
          </w:rPr>
          <w:t xml:space="preserve">Kernlehrplan 2022, Kapitel 4</w:t>
        </w:r>
      </w:hyperlink>
      <w:r>
        <w:rPr/>
        <w:t>.</w:t>
      </w:r>
    </w:p>
    <w:p>
      <w:bookmarkStart w:id="50" w:name="fuenftes"/>
      <w:pPr>
        <w:pStyle w:val="Heading1"/>
        <w:pageBreakBefore/>
        <w:suppressAutoHyphens w:val="1"/>
      </w:pPr>
      <w:r>
        <w:t xml:space="preserve">17 Vorbereitung auf das fünfte Abiturfach</w:t>
      </w:r>
      <w:bookmarkEnd w:id="50"/>
    </w:p>
    <w:p>
      <w:pPr>
        <w:pStyle w:val="Heading2"/>
        <w:suppressAutoHyphens w:val="1"/>
      </w:pPr>
      <w:r>
        <w:t xml:space="preserve">17.1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 xml:space="preserve">17.2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w:t>
      </w:r>
    </w:p>
    <w:p>
      <w:pPr>
        <w:jc w:val="both"/>
      </w:pPr>
      <w:r>
        <w:rPr/>
        <w:t>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w:t>
      </w:r>
    </w:p>
    <w:p>
      <w:pPr>
        <w:jc w:val="both"/>
        <w:keepLines/>
      </w:pPr>
      <w:r>
        <w:rPr/>
        <w:t>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Beispiel 1 · Batterien und Brennstoffzellen</w:t>
      </w:r>
    </w:p>
    <w:p>
      <w:pPr>
        <w:jc w:val="both"/>
        <w:keepLines/>
        <w:keepNext/>
      </w:pPr>
      <w:r>
        <w:rPr>
          <w:b/>
        </w:rPr>
        <w:t>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Übergreifende Fragestellung.</w:t>
      </w:r>
      <w:r>
        <w:rPr/>
        <w:t xml:space="preserve"> Wie bestimmen die elektrochemischen Reaktionen die Möglichkeiten und Grenzen beider Systeme zur Energieversorgung?</w:t>
      </w:r>
    </w:p>
    <w:p>
      <w:pPr>
        <w:jc w:val="both"/>
        <w:keepLines/>
      </w:pPr>
      <w:r>
        <w:rPr>
          <w:b/>
        </w:rPr>
        <w:t>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Beispiel 2 · Wie zuverlässig ist eine chemische Analyse</w:t>
      </w:r>
    </w:p>
    <w:p>
      <w:pPr>
        <w:jc w:val="both"/>
        <w:keepLines/>
        <w:keepNext/>
      </w:pPr>
      <w:r>
        <w:rPr>
          <w:b/>
        </w:rPr>
        <w:t>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Übergreifende Fragestellung.</w:t>
      </w:r>
      <w:r>
        <w:rPr/>
        <w:t xml:space="preserve"> Wie beeinflussen chemische Grundlagen, Verfahrenswahl und Messunsicherheiten die Aussagekraft einer Analyse?</w:t>
      </w:r>
    </w:p>
    <w:p>
      <w:pPr>
        <w:jc w:val="both"/>
        <w:keepLines/>
      </w:pPr>
      <w:r>
        <w:rPr>
          <w:b/>
        </w:rPr>
        <w:t>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Beispiel 3 · Kunststoffe gezielt gestalten</w:t>
      </w:r>
    </w:p>
    <w:p>
      <w:pPr>
        <w:jc w:val="both"/>
        <w:keepLines/>
        <w:keepNext/>
      </w:pPr>
      <w:r>
        <w:rPr>
          <w:b/>
        </w:rPr>
        <w:t>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Übergreifende Fragestellung.</w:t>
      </w:r>
      <w:r>
        <w:rPr/>
        <w:t xml:space="preserve"> Wie hängen molekulare Struktur, Verarbeitung und Materialeigenschaften zusammen, und weshalb bedeutet „biobasiert“ nicht automatisch „biologisch abbaubar“?</w:t>
      </w:r>
    </w:p>
    <w:p>
      <w:pPr>
        <w:jc w:val="both"/>
        <w:keepLines/>
      </w:pPr>
      <w:r>
        <w:rPr>
          <w:b/>
        </w:rPr>
        <w:t>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 xml:space="preserve">Folgerung für die Unterrichts- und Klausurgestaltung.</w:t>
      </w:r>
      <w:r>
        <w:rPr/>
        <w:t xml:space="preserve"> Die in Kapitel 14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16.2.</w:t>
      </w:r>
    </w:p>
    <w:p>
      <w:pPr>
        <w:jc w:val="both"/>
      </w:pPr>
      <w:r>
        <w:rPr/>
        <w:t>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Bewertungsgrenze für das Fachgespräch:</w:t>
      </w:r>
      <w:r>
        <w:rPr/>
        <w:t xml:space="preserve"> Wird der zweite Prüfungsteil mit </w:t>
      </w:r>
      <w:r>
        <w:rPr>
          <w:b/>
        </w:rPr>
        <w:t>drei Notenpunkten oder weniger</w:t>
      </w:r>
      <w:r>
        <w:rPr/>
        <w:t xml:space="preserve"> bewertet, darf die </w:t>
      </w:r>
      <w:r>
        <w:rPr>
          <w:b/>
        </w:rPr>
        <w:t>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 xml:space="preserve">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15 ersetzen diese nicht.</w:t>
      </w:r>
    </w:p>
    <w:p>
      <w:pPr>
        <w:pStyle w:val="Heading2"/>
        <w:suppressAutoHyphens w:val="1"/>
      </w:pPr>
      <w:r>
        <w:t xml:space="preserve">17.3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 xml:space="preserve">17.4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 xml:space="preserve">17.5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 xml:space="preserve">17.6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 xml:space="preserve">17.7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 xml:space="preserve">17.8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 xml:space="preserve">17.9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 xml:space="preserve">17.10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 xml:space="preserve">18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 xml:space="preserve">18.1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 xml:space="preserve">18.2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 xml:space="preserve">18.3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 xml:space="preserve">Der folgende Beispielprompt greift den schulischen Entwurf mit 100 BE und den Bereichen Korrosion (30 BE), organische Reaktionen (50 BE) und Stereochemie (20 BE) auf. Er ist für einen Leistungskurs nach Behandlung dieser Inhalte vorgesehen. Die Kombination setzt voraus, dass die entsprechenden organischen Reaktionswege und stereochemischen Grundlagen bereits erarbeitet wurden; der konkrete Einsatz richtet sich nach dem erreichten Lernstand.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 xml:space="preserve">18.4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 xml:space="preserve">18.5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 xml:space="preserve">18.6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 xml:space="preserve">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15.6 bis 15.8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 xml:space="preserve">18.7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arbeitskopie.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arbeitskopie.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 Id="rIdAudit77" Type="http://schemas.openxmlformats.org/officeDocument/2006/relationships/hyperlink" Target="https://genaiedu.github.io/LearningApps2/chemie-curriculum-arbeitskopie.html#uv_07_1" TargetMode="External"/><Relationship Id="rIdAudit78" Type="http://schemas.openxmlformats.org/officeDocument/2006/relationships/hyperlink" Target="https://genaiedu.github.io/LearningApps2/chemie-curriculum-arbeitskopie.html#uv_07_2" TargetMode="External"/><Relationship Id="rIdAudit79" Type="http://schemas.openxmlformats.org/officeDocument/2006/relationships/hyperlink" Target="https://genaiedu.github.io/LearningApps2/chemie-curriculum-arbeitskopie.html#uv_07_3" TargetMode="External"/><Relationship Id="rIdAudit80" Type="http://schemas.openxmlformats.org/officeDocument/2006/relationships/hyperlink" Target="https://genaiedu.github.io/LearningApps2/chemie-curriculum-arbeitskopie.html#uv_07_4" TargetMode="External"/><Relationship Id="rIdAudit81" Type="http://schemas.openxmlformats.org/officeDocument/2006/relationships/hyperlink" Target="https://genaiedu.github.io/LearningApps2/chemie-curriculum-arbeitskopie.html#uv_08_1" TargetMode="External"/><Relationship Id="rIdAudit82" Type="http://schemas.openxmlformats.org/officeDocument/2006/relationships/hyperlink" Target="https://genaiedu.github.io/LearningApps2/chemie-curriculum-arbeitskopie.html#uv_08_2" TargetMode="External"/><Relationship Id="rIdAudit83" Type="http://schemas.openxmlformats.org/officeDocument/2006/relationships/hyperlink" Target="https://genaiedu.github.io/LearningApps2/chemie-curriculum-arbeitskopie.html#uv_08_3" TargetMode="External"/><Relationship Id="rIdAudit84" Type="http://schemas.openxmlformats.org/officeDocument/2006/relationships/hyperlink" Target="https://genaiedu.github.io/LearningApps2/chemie-curriculum-arbeitskopie.html#uv_08_4" TargetMode="External"/><Relationship Id="rIdAudit85" Type="http://schemas.openxmlformats.org/officeDocument/2006/relationships/hyperlink" Target="https://genaiedu.github.io/LearningApps2/chemie-curriculum-arbeitskopie.html#uv_09_1" TargetMode="External"/><Relationship Id="rIdAudit86" Type="http://schemas.openxmlformats.org/officeDocument/2006/relationships/hyperlink" Target="https://genaiedu.github.io/LearningApps2/chemie-curriculum-arbeitskopie.html#uv_09_2" TargetMode="External"/><Relationship Id="rIdAudit87" Type="http://schemas.openxmlformats.org/officeDocument/2006/relationships/hyperlink" Target="https://genaiedu.github.io/LearningApps2/chemie-curriculum-arbeitskopie.html#uv_09_3" TargetMode="External"/><Relationship Id="rIdAudit88" Type="http://schemas.openxmlformats.org/officeDocument/2006/relationships/hyperlink" Target="https://genaiedu.github.io/LearningApps2/chemie-curriculum-arbeitskopie.html#uv_10_1" TargetMode="External"/><Relationship Id="rIdAudit89" Type="http://schemas.openxmlformats.org/officeDocument/2006/relationships/hyperlink" Target="https://genaiedu.github.io/LearningApps2/chemie-curriculum-arbeitskopie.html#uv_10_2" TargetMode="External"/><Relationship Id="rIdAudit90" Type="http://schemas.openxmlformats.org/officeDocument/2006/relationships/hyperlink" Target="https://genaiedu.github.io/LearningApps2/chemie-curriculum-arbeitskopie.html#uv_10_3" TargetMode="External"/><Relationship Id="rIdAudit91" Type="http://schemas.openxmlformats.org/officeDocument/2006/relationships/hyperlink" Target="https://genaiedu.github.io/LearningApps2/chemie-curriculum-arbeitskopie.html#uv_10_4" TargetMode="External"/><Relationship Id="rIdAudit92" Type="http://schemas.openxmlformats.org/officeDocument/2006/relationships/hyperlink" Target="https://genaiedu.github.io/LearningApps2/chemie-curriculum-arbeitskopie.html#uv_EF_01" TargetMode="External"/><Relationship Id="rIdAudit93" Type="http://schemas.openxmlformats.org/officeDocument/2006/relationships/hyperlink" Target="https://genaiedu.github.io/LearningApps2/chemie-curriculum-arbeitskopie.html#uv_EF_02" TargetMode="External"/><Relationship Id="rIdAudit94" Type="http://schemas.openxmlformats.org/officeDocument/2006/relationships/hyperlink" Target="https://genaiedu.github.io/LearningApps2/chemie-curriculum-arbeitskopie.html#uv_EF_03" TargetMode="External"/><Relationship Id="rIdAudit95" Type="http://schemas.openxmlformats.org/officeDocument/2006/relationships/hyperlink" Target="https://genaiedu.github.io/LearningApps2/chemie-curriculum-arbeitskopie.html#uv_EF_04" TargetMode="External"/><Relationship Id="rIdAudit96" Type="http://schemas.openxmlformats.org/officeDocument/2006/relationships/hyperlink" Target="https://genaiedu.github.io/LearningApps2/chemie-curriculum-arbeitskopie.html#uv_GK_01" TargetMode="External"/><Relationship Id="rIdAudit97" Type="http://schemas.openxmlformats.org/officeDocument/2006/relationships/hyperlink" Target="https://genaiedu.github.io/LearningApps2/chemie-curriculum-arbeitskopie.html#uv_GK_02" TargetMode="External"/><Relationship Id="rIdAudit98" Type="http://schemas.openxmlformats.org/officeDocument/2006/relationships/hyperlink" Target="https://genaiedu.github.io/LearningApps2/chemie-curriculum-arbeitskopie.html#uv_GK_03" TargetMode="External"/><Relationship Id="rIdAudit99" Type="http://schemas.openxmlformats.org/officeDocument/2006/relationships/hyperlink" Target="https://genaiedu.github.io/LearningApps2/chemie-curriculum-arbeitskopie.html#uv_GK_04" TargetMode="External"/><Relationship Id="rIdAudit100" Type="http://schemas.openxmlformats.org/officeDocument/2006/relationships/hyperlink" Target="https://genaiedu.github.io/LearningApps2/chemie-curriculum-arbeitskopie.html#uv_GK_05" TargetMode="External"/><Relationship Id="rIdAudit101" Type="http://schemas.openxmlformats.org/officeDocument/2006/relationships/hyperlink" Target="https://genaiedu.github.io/LearningApps2/chemie-curriculum-arbeitskopie.html#uv_GK_06" TargetMode="External"/><Relationship Id="rIdAudit102" Type="http://schemas.openxmlformats.org/officeDocument/2006/relationships/hyperlink" Target="https://genaiedu.github.io/LearningApps2/chemie-curriculum-arbeitskopie.html#uv_GK_07" TargetMode="External"/><Relationship Id="rIdAudit103" Type="http://schemas.openxmlformats.org/officeDocument/2006/relationships/hyperlink" Target="https://genaiedu.github.io/LearningApps2/chemie-curriculum-arbeitskopie.html#uv_LK_01" TargetMode="External"/><Relationship Id="rIdAudit104" Type="http://schemas.openxmlformats.org/officeDocument/2006/relationships/hyperlink" Target="https://genaiedu.github.io/LearningApps2/chemie-curriculum-arbeitskopie.html#uv_LK_02" TargetMode="External"/><Relationship Id="rIdAudit105" Type="http://schemas.openxmlformats.org/officeDocument/2006/relationships/hyperlink" Target="https://genaiedu.github.io/LearningApps2/chemie-curriculum-arbeitskopie.html#uv_LK_03" TargetMode="External"/><Relationship Id="rIdAudit106" Type="http://schemas.openxmlformats.org/officeDocument/2006/relationships/hyperlink" Target="https://genaiedu.github.io/LearningApps2/chemie-curriculum-arbeitskopie.html#uv_LK_04" TargetMode="External"/><Relationship Id="rIdAudit107" Type="http://schemas.openxmlformats.org/officeDocument/2006/relationships/hyperlink" Target="https://genaiedu.github.io/LearningApps2/chemie-curriculum-arbeitskopie.html#uv_LK_05" TargetMode="External"/><Relationship Id="rIdAudit108" Type="http://schemas.openxmlformats.org/officeDocument/2006/relationships/hyperlink" Target="https://genaiedu.github.io/LearningApps2/chemie-curriculum-arbeitskopie.html#uv_LK_06" TargetMode="External"/><Relationship Id="rIdAudit109" Type="http://schemas.openxmlformats.org/officeDocument/2006/relationships/hyperlink" Target="https://genaiedu.github.io/LearningApps2/chemie-curriculum-arbeitskopie.html#uv_LK_07" TargetMode="External"/><Relationship Id="rIdAudit110" Type="http://schemas.openxmlformats.org/officeDocument/2006/relationships/hyperlink" Target="https://genaiedu.github.io/LearningApps2/chemie-curriculum-arbeitskopie.html#uv_LK_08" TargetMode="External"/><Relationship Id="rIdAudit111" Type="http://schemas.openxmlformats.org/officeDocument/2006/relationships/hyperlink" Target="https://genaiedu.github.io/LearningApps2/chemie-arbeitskopie-kalender.html?fach=chemie&amp;jahr=2026" TargetMode="External"/><Relationship Id="rIdAudit112" Type="http://schemas.openxmlformats.org/officeDocument/2006/relationships/hyperlink" Target="https://lehrplannavigator.nrw.de/system/files/media/document/file/g9_ch_klp_3415_2019_06_23.pdf#page=37" TargetMode="External"/><Relationship Id="rIdAudit113" Type="http://schemas.openxmlformats.org/officeDocument/2006/relationships/hyperlink" Target="https://genaiedu.github.io/LearningApps2/chemie-curriculum-arbeitskopie.html#medien-verbraucherbildung" TargetMode="External"/><Relationship Id="rIdAudit114" Type="http://schemas.openxmlformats.org/officeDocument/2006/relationships/hyperlink" Target="https://medienkompetenzrahmen.nrw/fileadmin/pdf/01_LVR_ZMB_MKR_Rahmen_A4_2018_08_Final.pdf" TargetMode="External"/><Relationship Id="rIdAudit115" Type="http://schemas.openxmlformats.org/officeDocument/2006/relationships/hyperlink" Target="https://lehrplannavigator.nrw.de/system/files/media/document/file/rahmenvorgabe_verbraucherbildung_ps_si_2017.pdf" TargetMode="External"/><Relationship Id="rIdAudit116" Type="http://schemas.openxmlformats.org/officeDocument/2006/relationships/hyperlink" Target="https://lehrplannavigator.nrw.de/system/files/media/document/file/klp_si_mkr_formulierungen_finalb_docx.pdf#page=22" TargetMode="External"/><Relationship Id="rIdAudit117" Type="http://schemas.openxmlformats.org/officeDocument/2006/relationships/hyperlink" Target="https://lehrplannavigator.nrw.de/system/files/media/document/file/gost_ch_klp_beitraege_medienkompetenzrahmen_nrw_synopse_2022_06_09.pdf" TargetMode="External"/><Relationship Id="rIdAudit118" Type="http://schemas.openxmlformats.org/officeDocument/2006/relationships/hyperlink" Target="https://lehrplannavigator.nrw.de/system/files/media/document/file/synopse_bercksichtigung_vb_in_den_klp_gym_si_2019-07-12_final_wei.pdf#page=3" TargetMode="External"/><Relationship Id="rIdAudit119" Type="http://schemas.openxmlformats.org/officeDocument/2006/relationships/hyperlink" Target="https://lehrplannavigator.nrw.de/system/files/media/document/file/gost_ch_klp_beitraege_rahmenvorgabe_verbraucherbildung_synopse_2022_06_09.pdf" TargetMode="External"/><Relationship Id="rIdAudit120" Type="http://schemas.openxmlformats.org/officeDocument/2006/relationships/hyperlink" Target="https://genaiedu.github.io/LearningApps2/chemie-curriculum-arbeitskopie.html#uv_07_4" TargetMode="External"/><Relationship Id="rIdAudit121" Type="http://schemas.openxmlformats.org/officeDocument/2006/relationships/hyperlink" Target="https://medienkompetenzrahmen.nrw/fileadmin/pdf/01_LVR_ZMB_MKR_Rahmen_A4_2018_08_Final.pdf" TargetMode="External"/><Relationship Id="rIdAudit122" Type="http://schemas.openxmlformats.org/officeDocument/2006/relationships/hyperlink" Target="https://genaiedu.github.io/LearningApps2/chemie-curriculum-arbeitskopie.html#uv_09_2" TargetMode="External"/><Relationship Id="rIdAudit123" Type="http://schemas.openxmlformats.org/officeDocument/2006/relationships/hyperlink" Target="https://medienkompetenzrahmen.nrw/fileadmin/pdf/01_LVR_ZMB_MKR_Rahmen_A4_2018_08_Final.pdf" TargetMode="External"/><Relationship Id="rIdAudit124" Type="http://schemas.openxmlformats.org/officeDocument/2006/relationships/hyperlink" Target="https://genaiedu.github.io/LearningApps2/chemie-curriculum-arbeitskopie.html#uv_09_3" TargetMode="External"/><Relationship Id="rIdAudit125" Type="http://schemas.openxmlformats.org/officeDocument/2006/relationships/hyperlink" Target="https://medienkompetenzrahmen.nrw/fileadmin/pdf/01_LVR_ZMB_MKR_Rahmen_A4_2018_08_Final.pdf" TargetMode="External"/><Relationship Id="rIdAudit126" Type="http://schemas.openxmlformats.org/officeDocument/2006/relationships/hyperlink" Target="https://genaiedu.github.io/LearningApps2/chemie-curriculum-arbeitskopie.html#uv_10_1" TargetMode="External"/><Relationship Id="rIdAudit127" Type="http://schemas.openxmlformats.org/officeDocument/2006/relationships/hyperlink" Target="https://medienkompetenzrahmen.nrw/fileadmin/pdf/01_LVR_ZMB_MKR_Rahmen_A4_2018_08_Final.pdf" TargetMode="External"/><Relationship Id="rIdAudit128" Type="http://schemas.openxmlformats.org/officeDocument/2006/relationships/hyperlink" Target="https://genaiedu.github.io/LearningApps2/chemie-curriculum-arbeitskopie.html#uv_10_2" TargetMode="External"/><Relationship Id="rIdAudit129" Type="http://schemas.openxmlformats.org/officeDocument/2006/relationships/hyperlink" Target="https://medienkompetenzrahmen.nrw/fileadmin/pdf/01_LVR_ZMB_MKR_Rahmen_A4_2018_08_Final.pdf" TargetMode="External"/><Relationship Id="rIdAudit130" Type="http://schemas.openxmlformats.org/officeDocument/2006/relationships/hyperlink" Target="https://genaiedu.github.io/LearningApps2/chemie-curriculum-arbeitskopie.html#uv_10_4" TargetMode="External"/><Relationship Id="rIdAudit131" Type="http://schemas.openxmlformats.org/officeDocument/2006/relationships/hyperlink" Target="https://medienkompetenzrahmen.nrw/fileadmin/pdf/01_LVR_ZMB_MKR_Rahmen_A4_2018_08_Final.pdf" TargetMode="External"/><Relationship Id="rIdAudit132" Type="http://schemas.openxmlformats.org/officeDocument/2006/relationships/hyperlink" Target="https://genaiedu.github.io/LearningApps2/chemie-curriculum-arbeitskopie.html#uv_EF_01" TargetMode="External"/><Relationship Id="rIdAudit133" Type="http://schemas.openxmlformats.org/officeDocument/2006/relationships/hyperlink" Target="https://genaiedu.github.io/LearningApps2/chemie-curriculum-arbeitskopie.html#uv_EF_02" TargetMode="External"/><Relationship Id="rIdAudit134" Type="http://schemas.openxmlformats.org/officeDocument/2006/relationships/hyperlink" Target="https://genaiedu.github.io/LearningApps2/chemie-curriculum-arbeitskopie.html#uv_EF_03" TargetMode="External"/><Relationship Id="rIdAudit135" Type="http://schemas.openxmlformats.org/officeDocument/2006/relationships/hyperlink" Target="https://medienkompetenzrahmen.nrw/fileadmin/pdf/01_LVR_ZMB_MKR_Rahmen_A4_2018_08_Final.pdf" TargetMode="External"/><Relationship Id="rIdAudit136" Type="http://schemas.openxmlformats.org/officeDocument/2006/relationships/hyperlink" Target="https://genaiedu.github.io/LearningApps2/chemie-curriculum-arbeitskopie.html#uv_EF_04" TargetMode="External"/><Relationship Id="rIdAudit137" Type="http://schemas.openxmlformats.org/officeDocument/2006/relationships/hyperlink" Target="https://medienkompetenzrahmen.nrw/fileadmin/pdf/01_LVR_ZMB_MKR_Rahmen_A4_2018_08_Final.pdf" TargetMode="External"/><Relationship Id="rIdAudit138" Type="http://schemas.openxmlformats.org/officeDocument/2006/relationships/hyperlink" Target="https://genaiedu.github.io/LearningApps2/chemie-curriculum-arbeitskopie.html#uv_GK_02" TargetMode="External"/><Relationship Id="rIdAudit139" Type="http://schemas.openxmlformats.org/officeDocument/2006/relationships/hyperlink" Target="https://genaiedu.github.io/LearningApps2/chemie-curriculum-arbeitskopie.html#uv_LK_02" TargetMode="External"/><Relationship Id="rIdAudit140" Type="http://schemas.openxmlformats.org/officeDocument/2006/relationships/hyperlink" Target="https://medienkompetenzrahmen.nrw/fileadmin/pdf/01_LVR_ZMB_MKR_Rahmen_A4_2018_08_Final.pdf" TargetMode="External"/><Relationship Id="rIdAudit141" Type="http://schemas.openxmlformats.org/officeDocument/2006/relationships/hyperlink" Target="https://genaiedu.github.io/LearningApps2/chemie-curriculum-arbeitskopie.html#uv_GK_03" TargetMode="External"/><Relationship Id="rIdAudit142" Type="http://schemas.openxmlformats.org/officeDocument/2006/relationships/hyperlink" Target="https://genaiedu.github.io/LearningApps2/chemie-curriculum-arbeitskopie.html#uv_LK_03" TargetMode="External"/><Relationship Id="rIdAudit143" Type="http://schemas.openxmlformats.org/officeDocument/2006/relationships/hyperlink" Target="https://genaiedu.github.io/LearningApps2/chemie-curriculum-arbeitskopie.html#uv_GK_05" TargetMode="External"/><Relationship Id="rIdAudit144" Type="http://schemas.openxmlformats.org/officeDocument/2006/relationships/hyperlink" Target="https://genaiedu.github.io/LearningApps2/chemie-curriculum-arbeitskopie.html#uv_LK_05" TargetMode="External"/><Relationship Id="rIdAudit145" Type="http://schemas.openxmlformats.org/officeDocument/2006/relationships/hyperlink" Target="https://medienkompetenzrahmen.nrw/fileadmin/pdf/01_LVR_ZMB_MKR_Rahmen_A4_2018_08_Final.pdf" TargetMode="External"/><Relationship Id="rIdAudit146" Type="http://schemas.openxmlformats.org/officeDocument/2006/relationships/hyperlink" Target="https://genaiedu.github.io/LearningApps2/chemie-curriculum-arbeitskopie.html#uv_GK_07" TargetMode="External"/><Relationship Id="rIdAudit147" Type="http://schemas.openxmlformats.org/officeDocument/2006/relationships/hyperlink" Target="https://genaiedu.github.io/LearningApps2/chemie-curriculum-arbeitskopie.html#uv_LK_07" TargetMode="External"/><Relationship Id="rIdAudit148" Type="http://schemas.openxmlformats.org/officeDocument/2006/relationships/hyperlink" Target="https://medienkompetenzrahmen.nrw/fileadmin/pdf/01_LVR_ZMB_MKR_Rahmen_A4_2018_08_Final.pdf" TargetMode="External"/><Relationship Id="rIdAudit149" Type="http://schemas.openxmlformats.org/officeDocument/2006/relationships/hyperlink" Target="https://genaiedu.github.io/LearningApps2/chemie-curriculum-arbeitskopie.html#uv_07_4" TargetMode="External"/><Relationship Id="rIdAudit150" Type="http://schemas.openxmlformats.org/officeDocument/2006/relationships/hyperlink" Target="https://lehrplannavigator.nrw.de/system/files/media/document/file/synopse_bercksichtigung_vb_in_den_klp_gym_si_2019-07-12_final_wei.pdf#page=3" TargetMode="External"/><Relationship Id="rIdAudit151" Type="http://schemas.openxmlformats.org/officeDocument/2006/relationships/hyperlink" Target="https://genaiedu.github.io/LearningApps2/chemie-curriculum-arbeitskopie.html#uv_08_1" TargetMode="External"/><Relationship Id="rIdAudit152" Type="http://schemas.openxmlformats.org/officeDocument/2006/relationships/hyperlink" Target="https://lehrplannavigator.nrw.de/system/files/media/document/file/synopse_bercksichtigung_vb_in_den_klp_gym_si_2019-07-12_final_wei.pdf#page=3" TargetMode="External"/><Relationship Id="rIdAudit153" Type="http://schemas.openxmlformats.org/officeDocument/2006/relationships/hyperlink" Target="https://genaiedu.github.io/LearningApps2/chemie-curriculum-arbeitskopie.html#uv_08_4" TargetMode="External"/><Relationship Id="rIdAudit154" Type="http://schemas.openxmlformats.org/officeDocument/2006/relationships/hyperlink" Target="https://lehrplannavigator.nrw.de/system/files/media/document/file/synopse_bercksichtigung_vb_in_den_klp_gym_si_2019-07-12_final_wei.pdf#page=3" TargetMode="External"/><Relationship Id="rIdAudit155" Type="http://schemas.openxmlformats.org/officeDocument/2006/relationships/hyperlink" Target="https://genaiedu.github.io/LearningApps2/chemie-curriculum-arbeitskopie.html#uv_10_1" TargetMode="External"/><Relationship Id="rIdAudit156" Type="http://schemas.openxmlformats.org/officeDocument/2006/relationships/hyperlink" Target="https://lehrplannavigator.nrw.de/system/files/media/document/file/synopse_bercksichtigung_vb_in_den_klp_gym_si_2019-07-12_final_wei.pdf#page=3" TargetMode="External"/><Relationship Id="rIdAudit157" Type="http://schemas.openxmlformats.org/officeDocument/2006/relationships/hyperlink" Target="https://genaiedu.github.io/LearningApps2/chemie-curriculum-arbeitskopie.html#uv_10_2" TargetMode="External"/><Relationship Id="rIdAudit158" Type="http://schemas.openxmlformats.org/officeDocument/2006/relationships/hyperlink" Target="https://lehrplannavigator.nrw.de/system/files/media/document/file/synopse_bercksichtigung_vb_in_den_klp_gym_si_2019-07-12_final_wei.pdf#page=3" TargetMode="External"/><Relationship Id="rIdAudit159" Type="http://schemas.openxmlformats.org/officeDocument/2006/relationships/hyperlink" Target="https://genaiedu.github.io/LearningApps2/chemie-curriculum-arbeitskopie.html#uv_10_3" TargetMode="External"/><Relationship Id="rIdAudit160" Type="http://schemas.openxmlformats.org/officeDocument/2006/relationships/hyperlink" Target="https://lehrplannavigator.nrw.de/system/files/media/document/file/synopse_bercksichtigung_vb_in_den_klp_gym_si_2019-07-12_final_wei.pdf#page=3" TargetMode="External"/><Relationship Id="rIdAudit161" Type="http://schemas.openxmlformats.org/officeDocument/2006/relationships/hyperlink" Target="https://genaiedu.github.io/LearningApps2/chemie-curriculum-arbeitskopie.html#uv_10_4" TargetMode="External"/><Relationship Id="rIdAudit162" Type="http://schemas.openxmlformats.org/officeDocument/2006/relationships/hyperlink" Target="https://lehrplannavigator.nrw.de/system/files/media/document/file/synopse_bercksichtigung_vb_in_den_klp_gym_si_2019-07-12_final_wei.pdf#page=3" TargetMode="External"/><Relationship Id="rIdAudit163" Type="http://schemas.openxmlformats.org/officeDocument/2006/relationships/hyperlink" Target="https://genaiedu.github.io/LearningApps2/chemie-curriculum-arbeitskopie.html#uv_EF_01" TargetMode="External"/><Relationship Id="rIdAudit164" Type="http://schemas.openxmlformats.org/officeDocument/2006/relationships/hyperlink" Target="https://lehrplannavigator.nrw.de/system/files/media/document/file/gost_ch_klp_beitraege_rahmenvorgabe_verbraucherbildung_synopse_2022_06_09.pdf" TargetMode="External"/><Relationship Id="rIdAudit165" Type="http://schemas.openxmlformats.org/officeDocument/2006/relationships/hyperlink" Target="https://genaiedu.github.io/LearningApps2/chemie-curriculum-arbeitskopie.html#uv_EF_04" TargetMode="External"/><Relationship Id="rIdAudit166" Type="http://schemas.openxmlformats.org/officeDocument/2006/relationships/hyperlink" Target="https://lehrplannavigator.nrw.de/system/files/media/document/file/gost_ch_klp_beitraege_rahmenvorgabe_verbraucherbildung_synopse_2022_06_09.pdf" TargetMode="External"/><Relationship Id="rIdAudit167" Type="http://schemas.openxmlformats.org/officeDocument/2006/relationships/hyperlink" Target="https://genaiedu.github.io/LearningApps2/chemie-curriculum-arbeitskopie.html#uv_GK_01" TargetMode="External"/><Relationship Id="rIdAudit168" Type="http://schemas.openxmlformats.org/officeDocument/2006/relationships/hyperlink" Target="https://genaiedu.github.io/LearningApps2/chemie-curriculum-arbeitskopie.html#uv_LK_01" TargetMode="External"/><Relationship Id="rIdAudit169" Type="http://schemas.openxmlformats.org/officeDocument/2006/relationships/hyperlink" Target="https://lehrplannavigator.nrw.de/system/files/media/document/file/gost_ch_klp_beitraege_rahmenvorgabe_verbraucherbildung_synopse_2022_06_09.pdf" TargetMode="External"/><Relationship Id="rIdAudit170" Type="http://schemas.openxmlformats.org/officeDocument/2006/relationships/hyperlink" Target="https://genaiedu.github.io/LearningApps2/chemie-curriculum-arbeitskopie.html#uv_GK_02" TargetMode="External"/><Relationship Id="rIdAudit171" Type="http://schemas.openxmlformats.org/officeDocument/2006/relationships/hyperlink" Target="https://genaiedu.github.io/LearningApps2/chemie-curriculum-arbeitskopie.html#uv_LK_02" TargetMode="External"/><Relationship Id="rIdAudit172" Type="http://schemas.openxmlformats.org/officeDocument/2006/relationships/hyperlink" Target="https://genaiedu.github.io/LearningApps2/chemie-curriculum-arbeitskopie.html#uv_GK_03" TargetMode="External"/><Relationship Id="rIdAudit173" Type="http://schemas.openxmlformats.org/officeDocument/2006/relationships/hyperlink" Target="https://genaiedu.github.io/LearningApps2/chemie-curriculum-arbeitskopie.html#uv_LK_03" TargetMode="External"/><Relationship Id="rIdAudit174" Type="http://schemas.openxmlformats.org/officeDocument/2006/relationships/hyperlink" Target="https://genaiedu.github.io/LearningApps2/chemie-curriculum-arbeitskopie.html#uv_GK_04" TargetMode="External"/><Relationship Id="rIdAudit175" Type="http://schemas.openxmlformats.org/officeDocument/2006/relationships/hyperlink" Target="https://genaiedu.github.io/LearningApps2/chemie-curriculum-arbeitskopie.html#uv_LK_04" TargetMode="External"/><Relationship Id="rIdAudit176" Type="http://schemas.openxmlformats.org/officeDocument/2006/relationships/hyperlink" Target="https://lehrplannavigator.nrw.de/system/files/media/document/file/gost_ch_klp_beitraege_rahmenvorgabe_verbraucherbildung_synopse_2022_06_09.pdf" TargetMode="External"/><Relationship Id="rIdAudit177" Type="http://schemas.openxmlformats.org/officeDocument/2006/relationships/hyperlink" Target="https://genaiedu.github.io/LearningApps2/chemie-curriculum-arbeitskopie.html#uv_GK_05" TargetMode="External"/><Relationship Id="rIdAudit178" Type="http://schemas.openxmlformats.org/officeDocument/2006/relationships/hyperlink" Target="https://genaiedu.github.io/LearningApps2/chemie-curriculum-arbeitskopie.html#uv_LK_05" TargetMode="External"/><Relationship Id="rIdAudit179" Type="http://schemas.openxmlformats.org/officeDocument/2006/relationships/hyperlink" Target="https://genaiedu.github.io/LearningApps2/chemie-curriculum-arbeitskopie.html#uv_GK_06" TargetMode="External"/><Relationship Id="rIdAudit180" Type="http://schemas.openxmlformats.org/officeDocument/2006/relationships/hyperlink" Target="https://genaiedu.github.io/LearningApps2/chemie-curriculum-arbeitskopie.html#uv_LK_06" TargetMode="External"/><Relationship Id="rIdAudit181" Type="http://schemas.openxmlformats.org/officeDocument/2006/relationships/hyperlink" Target="https://lehrplannavigator.nrw.de/system/files/media/document/file/gost_ch_klp_beitraege_rahmenvorgabe_verbraucherbildung_synopse_2022_06_09.pdf" TargetMode="External"/><Relationship Id="rIdAudit182" Type="http://schemas.openxmlformats.org/officeDocument/2006/relationships/hyperlink" Target="https://genaiedu.github.io/LearningApps2/chemie-curriculum-arbeitskopie.html#uv_GK_07" TargetMode="External"/><Relationship Id="rIdAudit183" Type="http://schemas.openxmlformats.org/officeDocument/2006/relationships/hyperlink" Target="https://genaiedu.github.io/LearningApps2/chemie-curriculum-arbeitskopie.html#uv_LK_07" TargetMode="External"/><Relationship Id="rIdAudit184" Type="http://schemas.openxmlformats.org/officeDocument/2006/relationships/hyperlink" Target="https://lehrplannavigator.nrw.de/system/files/media/document/file/gost_ch_klp_beitraege_rahmenvorgabe_verbraucherbildung_synopse_2022_06_09.pdf" TargetMode="External"/><Relationship Id="rIdAudit185" Type="http://schemas.openxmlformats.org/officeDocument/2006/relationships/hyperlink" Target="https://genaiedu.github.io/LearningApps2/chemie-curriculum-arbeitskopie.html#uv_LK_08" TargetMode="External"/><Relationship Id="rIdAudit186" Type="http://schemas.openxmlformats.org/officeDocument/2006/relationships/hyperlink" Target="https://lehrplannavigator.nrw.de/system/files/media/document/file/gost_ch_klp_beitraege_rahmenvorgabe_verbraucherbildung_synopse_2022_06_09.pdf" TargetMode="External"/><Relationship Id="rIdAudit187" Type="http://schemas.openxmlformats.org/officeDocument/2006/relationships/hyperlink" Target="https://medienkompetenzrahmen.nrw/fileadmin/pdf/01_LVR_ZMB_MKR_Rahmen_A4_2018_08_Final.pdf" TargetMode="External"/><Relationship Id="rIdAudit188" Type="http://schemas.openxmlformats.org/officeDocument/2006/relationships/hyperlink" Target="https://lehrplannavigator.nrw.de/system/files/media/document/file/klp_si_mkr_formulierungen_finalb_docx.pdf#page=22" TargetMode="External"/><Relationship Id="rIdAudit189" Type="http://schemas.openxmlformats.org/officeDocument/2006/relationships/hyperlink" Target="https://lehrplannavigator.nrw.de/system/files/media/document/file/gost_ch_klp_beitraege_medienkompetenzrahmen_nrw_synopse_2022_06_09.pdf" TargetMode="External"/><Relationship Id="rIdAudit190" Type="http://schemas.openxmlformats.org/officeDocument/2006/relationships/hyperlink" Target="https://lehrplannavigator.nrw.de/system/files/media/document/file/rahmenvorgabe_verbraucherbildung_ps_si_2017.pdf" TargetMode="External"/><Relationship Id="rIdAudit191" Type="http://schemas.openxmlformats.org/officeDocument/2006/relationships/hyperlink" Target="https://lehrplannavigator.nrw.de/system/files/media/document/file/synopse_bercksichtigung_vb_in_den_klp_gym_si_2019-07-12_final_wei.pdf#page=3" TargetMode="External"/><Relationship Id="rIdAudit192" Type="http://schemas.openxmlformats.org/officeDocument/2006/relationships/hyperlink" Target="https://lehrplannavigator.nrw.de/system/files/media/document/file/gost_ch_klp_beitraege_rahmenvorgabe_verbraucherbildung_synopse_2022_06_09.pdf" TargetMode="External"/><Relationship Id="rIdAudit193" Type="http://schemas.openxmlformats.org/officeDocument/2006/relationships/hyperlink" Target="https://genaiedu.github.io/LearningApps2/chemie-arbeitskopie-kalender.html?fach=chemie&amp;jahr=2026"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Chemie Arbeitskopie des schulinternen Curriculums</dc:title>
  <dc:subject>Neuordnung der Jahrgangsfolge auf Grundlage der Kernlehrpläne 2019 und 2022</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