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49">
        <w:r>
          <w:rPr>
            <w:rFonts w:ascii="Inter" w:hAnsi="Inter" w:eastAsia="Inter" w:cs="Inter"/>
            <w:color w:val="174D72"/>
            <w:u w:val="single"/>
            <w:sz w:val="23"/>
          </w:rPr>
          <w:t>Kernlehrplan Chemie Sekundarstufe II · Fassung 2022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4">
        <w:r>
          <w:rPr>
            <w:rFonts w:ascii="Inter" w:hAnsi="Inter" w:eastAsia="Inter" w:cs="Inter"/>
            <w:color w:val="174D72"/>
            <w:u w:val="single"/>
            <w:sz w:val="23"/>
          </w:rPr>
          <w:t>APO-GOSt · aktuell geltende Fassung  ↗</w:t>
        </w:r>
      </w:hyperlink>
    </w:p>
    <w:p>
      <w:pPr>
        <w:spacing w:before="0" w:after="180"/>
        <w:jc w:val="left"/>
        <w:keepLines/>
      </w:pPr>
      <w:hyperlink r:id="rIdOfficial55">
        <w:r>
          <w:rPr>
            <w:rFonts w:ascii="Inter" w:hAnsi="Inter" w:eastAsia="Inter" w:cs="Inter"/>
            <w:color w:val="174D72"/>
            <w:u w:val="single"/>
            <w:sz w:val="23"/>
          </w:rPr>
          <w:t>APO-GOSt · Neufassung ab 1. August 2027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gkl">
        <w:r>
          <w:rPr>
            <w:color w:val="174D72"/>
          </w:rPr>
          <w:t>13 Gleichwertige komplexe Leistungsnachweise: Aufgaben und Bewertungsraster</w:t>
        </w:r>
      </w:hyperlink>
      <w:r>
        <w:tab/>
      </w:r>
      <w:fldSimple w:instr="PAGEREF gkl \h"/>
    </w:p>
    <w:p>
      <w:pPr>
        <w:keepNext/>
        <w:tabs>
          <w:tab w:pos="9074" w:val="right" w:leader="dot"/>
        </w:tabs>
        <w:suppressAutoHyphens w:val="1"/>
      </w:pPr>
      <w:r/>
      <w:hyperlink w:anchor="fuenftes">
        <w:r>
          <w:rPr>
            <w:color w:val="174D72"/>
          </w:rPr>
          <w:t>14 Vorbereitung auf das fünfte Abiturfach</w:t>
        </w:r>
      </w:hyperlink>
      <w:r>
        <w:tab/>
      </w:r>
      <w:fldSimple w:instr="PAGEREF fuenftes \h"/>
    </w:p>
    <w:p>
      <w:pPr>
        <w:keepNext/>
        <w:tabs>
          <w:tab w:pos="9074" w:val="right" w:leader="dot"/>
        </w:tabs>
        <w:suppressAutoHyphens w:val="1"/>
      </w:pPr>
      <w:r/>
      <w:hyperlink w:anchor="ki">
        <w:r>
          <w:rPr>
            <w:color w:val="174D72"/>
          </w:rPr>
          <w:t>15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13.10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13 konkretisiert die vier K durch Präsentationen und Experimente, bei denen Lernende den Kurs anleiten, Daten auswerten und Entscheidungen begründen. Gemeinsames Produkt und individuelle Beiträge werden getrennt bewertet. Kapitel 14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15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13. Methodische Vorbereitungen und beispielhafte Aufgaben für die Präsentationsprüfung im fünften Abiturfach sind in Kapitel 14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13 und 14).</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15.</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bookmarkStart w:id="49" w:name="gkl"/>
      <w:pPr>
        <w:pStyle w:val="Heading1"/>
        <w:pageBreakBefore/>
        <w:suppressAutoHyphens w:val="1"/>
      </w:pPr>
      <w:r>
        <w:t>13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13.1 Einordnung und transparente Vereinbarungen</w:t>
      </w:r>
    </w:p>
    <w:p>
      <w:pPr>
        <w:suppressAutoHyphens w:val="0"/>
        <w:jc w:val="both"/>
      </w:pPr>
      <w:r>
        <w:t>Vor diesem Hintergrund entwickeln die GKL-Aufgaben ausdrücklich Kreativität, Kollaboration, Kommunikation und kritisches Denken. Abschnitt 13.10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13.2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13.3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13.4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13.5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13.6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13.10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bookmarkStart w:id="50" w:name="fuenftes"/>
      <w:pPr>
        <w:pStyle w:val="Heading1"/>
        <w:pageBreakBefore/>
        <w:suppressAutoHyphens w:val="1"/>
      </w:pPr>
      <w:r>
        <w:t>14 Vorbereitung auf das fünfte Abiturfach</w:t>
      </w:r>
      <w:bookmarkEnd w:id="50"/>
    </w:p>
    <w:p>
      <w:pPr>
        <w:pStyle w:val="Heading2"/>
        <w:suppressAutoHyphens w:val="1"/>
      </w:pPr>
      <w:r>
        <w:t>14.1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14.2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suppressAutoHyphens w:val="0"/>
        <w:jc w:val="both"/>
      </w:pPr>
      <w:r>
        <w:rPr>
          <w:lang w:val="de-DE"/>
        </w:rPr>
        <w:t>Die Einzelprüfung dauert insgesamt 20 bis 30 Minuten. Der erste Prüfungsteil umfasst zehn Minuten Präsentation und Reflexion; es schließt sich ein fachlich vertiefendes Gespräch an. Beide Teile werden gleich gewichtet. Wird der zweite Teil mit höchstens drei Notenpunkten bewertet, darf das Gesamtergebnis höchstens vier Notenpunkte betragen. Für Gruppenprüfungen gelten die besonderen Zeit- und Zuordnungsregeln; die Prüfungsdauer verlängert sich je weiterer Person um zehn bis 30 Minuten. Individuelle Leistungen müssen eindeutig erkennbar bleiben.</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13 ersetzen diese nicht.</w:t>
      </w:r>
    </w:p>
    <w:p>
      <w:pPr>
        <w:pStyle w:val="Heading2"/>
        <w:suppressAutoHyphens w:val="1"/>
      </w:pPr>
      <w:r>
        <w:t>14.3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14.4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14.5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14.6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14.7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14.8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14.9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14.10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15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15.1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15.2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15.3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15.4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Materialien und Aufgaben aus.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15.5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15.6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13.6 bis 13.8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15.7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