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sz w:val="52"/>
        </w:rPr>
        <w:t>Gleichwertige komplexe Leistungsnachweise im Fach Chemie</w:t>
      </w:r>
    </w:p>
    <w:p>
      <w:r>
        <w:t>Thomaeum Kempen · Stand 4. Oktober 2026</w:t>
      </w:r>
    </w:p>
    <w:p>
      <w:r>
        <w:t>Dieses Dokument bündelt die schulischen Vereinbarungen zu GKL im Fach Chemie. Es enthält mögliche Formate, fünf Aufgabenbeispiele und die Bewertungsraster. Gruppenarbeit ist möglich; alle Bewertungsteile beruhen auf nachgewiesenen Einzelleistungen. Der Arbeitsaufwand soll der Vorbereitung und Durchführung einer Klausur im jeweiligen Quartal entsprechen.</w:t>
      </w:r>
    </w:p>
    <w:p>
      <w:r>
        <w:t>Die Abschnittsnummern 14.1 bis 14.12 entsprechen der neu gegliederten Arbeitskopie des Chemiecurriculums. Die Regelungen zur Einführung der GKL werden in 14.1 erläutert; damit wird keine vorzeitige Geltung der neuen Prüfungsordnung behauptet.</w:t>
      </w:r>
    </w:p>
    <w:p>
      <w:pPr>
        <w:pStyle w:val="Heading2"/>
      </w:pPr>
      <w:r>
        <w:t>Inhalt</w:t>
      </w:r>
    </w:p>
    <w:p>
      <w:r>
        <w:t>Formate und Vereinbarungen 14.1</w:t>
      </w:r>
    </w:p>
    <w:p>
      <w:r>
        <w:t>Fünf Aufgabenbeispiele für EF und Qualifikationsphase Grundkurs 14.2 bis 14.6</w:t>
      </w:r>
    </w:p>
    <w:p>
      <w:r>
        <w:t>Die vier K und individuelle Bewertung 14.7 und 14.8</w:t>
      </w:r>
    </w:p>
    <w:p>
      <w:r>
        <w:t>Bewertungsbögen und Rollenmodule 14.9 bis 14.11</w:t>
      </w:r>
    </w:p>
    <w:p>
      <w:r>
        <w:t>Beispiel einer individuellen Bewertung 14.12</w:t>
      </w:r>
    </w:p>
    <w:p>
      <w:r>
        <w:t>Notengrenzen und ergänzende Quellen</w:t>
      </w:r>
    </w:p>
    <w:p>
      <w:r>
        <w:t>Die beiden ausfüllbaren Bewertungsbögen stehen zusätzlich als separate PDF-Dateien bei den Chemiecurricula zur Verfügung. Die Raster in dieser Wordfassung lassen sich direkt bearbeiten.</w:t>
      </w:r>
    </w:p>
    <w:p>
      <w:bookmarkStart w:id="49" w:name="gkl"/>
      <w:pPr>
        <w:pStyle w:val="Heading1"/>
        <w:pageBreakBefore/>
        <w:suppressAutoHyphens w:val="1"/>
      </w:pPr>
      <w:r>
        <w:t xml:space="preserve">14 Gleichwertige komplexe Leistungsnachweise: Aufgaben und Bewertungsraster</w:t>
      </w:r>
      <w:bookmarkEnd w:id="49"/>
    </w:p>
    <w:p>
      <w:pPr>
        <w:spacing w:after="140"/>
      </w:pPr>
      <w:r>
        <w:rPr>
          <w:b w:val="0"/>
          <w:i w:val="0"/>
        </w:rPr>
        <w:t>Für GKL im Fach Chemie stehen vier Formate zur Verfügung. Das gewählte Format, die fachlichen Anforderungen und die individuellen Nachweise werden vor Arbeitsbeginn vereinbart.</w:t>
      </w:r>
    </w:p>
    <w:p>
      <w:pPr>
        <w:spacing w:after="140"/>
      </w:pPr>
      <w:r>
        <w:rPr>
          <w:b w:val="0"/>
          <w:i w:val="0"/>
        </w:rPr>
        <w:t>Präsentation: Eine chemische Fragestellung anhand überprüfbarer Quellen, Daten und Modelle bearbeiten, Ergebnisse adressatengerecht präsentieren und im Fachgespräch begründen.</w:t>
      </w:r>
    </w:p>
    <w:p>
      <w:pPr>
        <w:spacing w:after="140"/>
      </w:pPr>
      <w:r>
        <w:rPr>
          <w:b w:val="0"/>
          <w:i w:val="0"/>
        </w:rPr>
        <w:t>Experimentelle Aufgabe: Eine eigene Untersuchung planen, nach Freigabe durchführen, Messwerte auswerten und die Aussagekraft der Ergebnisse beurteilen. Eine Anleitung des gesamten Kurses ist dabei nicht erforderlich.</w:t>
      </w:r>
    </w:p>
    <w:p>
      <w:pPr>
        <w:spacing w:after="140"/>
      </w:pPr>
      <w:r>
        <w:rPr>
          <w:b w:val="0"/>
          <w:i w:val="0"/>
        </w:rPr>
        <w:t>Anleitung des Kurses zum Experimentieren: Ein freigegebenes Verfahren erproben, den Kurs fachlich anleiten, bei Schwierigkeiten unterstützen und die Ergebnisse gemeinsam auswerten.</w:t>
      </w:r>
    </w:p>
    <w:p>
      <w:pPr>
        <w:spacing w:after="140"/>
      </w:pPr>
      <w:r>
        <w:rPr>
          <w:b w:val="0"/>
          <w:i w:val="0"/>
        </w:rPr>
        <w:t>Erarbeitung eines stationsbetriebenen Lernzirkels: Inhaltlich zusammenhängende Stationen mit Aufgaben, Experimenten oder Modellen, abgestuften Hilfen und einer gemeinsamen Ergebnissicherung entwickeln, erproben und mit dem Kurs durchführen.</w:t>
      </w:r>
    </w:p>
    <w:p>
      <w:pPr>
        <w:spacing w:after="140"/>
      </w:pPr>
      <w:r>
        <w:rPr>
          <w:b w:val="0"/>
          <w:i w:val="0"/>
        </w:rPr>
        <w:t>Die fünf Aufgabenbeispiele in 14.2 bis 14.6 stehen zusammenhängend: zuerst ein Beispiel für die Einführungsphase, anschließend vier Beispiele für den Grundkurs der Qualifikationsphase. Sie konkretisieren die vier Formate. Kombinationen sind möglich, wenn Umfang, Zuständigkeiten und Bewertung vorab feststehen. Bei allen experimentellen Formaten verbleiben Freigabe und Aufsicht bei der Lehrkraft.</w:t>
      </w:r>
    </w:p>
    <w:p>
      <w:pPr>
        <w:spacing w:after="140"/>
      </w:pPr>
      <w:r>
        <w:rPr>
          <w:b w:val="0"/>
          <w:i w:val="0"/>
        </w:rPr>
        <w:t xml:space="preserve">Gleichwertige komplexe Leistungsnachweise (GKL) sind nach </w:t>
      </w:r>
      <w:hyperlink r:id="rId50">
        <w:r>
          <w:rPr>
            <w:color w:val="174D72"/>
          </w:rPr>
          <w:t>§ 14 APO-GOSt</w:t>
        </w:r>
      </w:hyperlink>
      <w:r>
        <w:rPr>
          <w:b w:val="0"/>
          <w:i w:val="0"/>
        </w:rPr>
        <w:t xml:space="preserve"> Leistungsnachweise im Beurteilungsbereich „Schriftliche Arbeiten“. Sie prüfen eine komplexe chemische Fragestellung in einer fachlich geeigneten Form gemäß dem geltenden Kernlehrplan und verlangen eine individuell erkennbare Leistung. Die in </w:t>
      </w:r>
      <w:hyperlink r:id="rId51">
        <w:r>
          <w:rPr>
            <w:color w:val="174D72"/>
          </w:rPr>
          <w:t>Abschnitt 1.1</w:t>
        </w:r>
      </w:hyperlink>
      <w:r>
        <w:rPr>
          <w:b w:val="0"/>
          <w:i w:val="0"/>
        </w:rPr>
        <w:t xml:space="preserve"> erläuterte Verbindung der vier K mit fachlicher Bildung bildet den pädagogischen Rahmen dieser Prüfungsform. Die Aufgaben und Raster dieses Kapitels sind Beispiele; konkrete Anforderungen und Kriterien werden vor Beginn bekannt gegeben.</w:t>
      </w:r>
    </w:p>
    <w:p>
      <w:pPr>
        <w:spacing w:after="140"/>
      </w:pPr>
      <w:r>
        <w:rPr>
          <w:b w:val="0"/>
          <w:i w:val="0"/>
        </w:rPr>
        <w:t>Nach den Aufgabenbeispielen erläutern 14.7 und 14.8 die fachbezogenen Anforderungen und die individuelle Bewertung. Die Bewertungsbögen stehen in 14.9 und 14.10, die Rollenmodule in 14.11. Abschnitt 14.12 zeigt eine ausgefüllte individuelle Bewertung. Die Zuordnung zu den Anforderungsbereichen erfolgt ausschließlich nach Abschnitt 13.2.</w:t>
      </w:r>
    </w:p>
    <w:p>
      <w:pPr>
        <w:spacing w:after="140"/>
      </w:pPr>
      <w:bookmarkStart w:id="60093" w:name="gkl_afb_verweis"/>
      <w:r>
        <w:rPr>
          <w:b/>
          <w:i w:val="0"/>
        </w:rPr>
        <w:t>Anforderungsbereiche:</w:t>
      </w:r>
      <w:r>
        <w:rPr>
          <w:b w:val="0"/>
          <w:i w:val="0"/>
        </w:rPr>
        <w:t xml:space="preserve"> Für die aufgabenbezogene Zuordnung der fachlichen Leistungen gelten die </w:t>
      </w:r>
      <w:hyperlink r:id="rId52">
        <w:r>
          <w:rPr>
            <w:color w:val="174D72"/>
          </w:rPr>
          <w:t>Definitionen von AFB I, II und III in Abschnitt 13.2 des Klausurenkapitels</w:t>
        </w:r>
      </w:hyperlink>
      <w:r>
        <w:rPr>
          <w:b w:val="0"/>
          <w:i w:val="0"/>
        </w:rPr>
        <w:t xml:space="preserve">, ergänzt durch die dortige </w:t>
      </w:r>
      <w:hyperlink r:id="rId53">
        <w:r>
          <w:rPr>
            <w:color w:val="174D72"/>
          </w:rPr>
          <w:t>chemiespezifische Konkretisierung</w:t>
        </w:r>
      </w:hyperlink>
      <w:r>
        <w:rPr>
          <w:b w:val="0"/>
          <w:i w:val="0"/>
        </w:rPr>
        <w:t>.</w:t>
      </w:r>
      <w:bookmarkEnd w:id="60093"/>
    </w:p>
    <w:p>
      <w:pPr>
        <w:pStyle w:val="Heading2"/>
        <w:pageBreakBefore w:val="0"/>
        <w:suppressAutoHyphens w:val="1"/>
      </w:pPr>
      <w:bookmarkStart w:id="60047" w:name="abschnitt_273"/>
      <w:r>
        <w:t xml:space="preserve">14.1 Einordnung und transparente Vereinbarungen</w:t>
      </w:r>
      <w:bookmarkEnd w:id="60047"/>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14.7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bookmarkStart w:id="60048" w:name="gkl_ef_stoffkreislaeufe"/>
      <w:r>
        <w:t xml:space="preserve">14.2 Beispiel Experimentelle Aufgabe zu Stoffkreisläufen</w:t>
      </w:r>
      <w:bookmarkEnd w:id="60048"/>
    </w:p>
    <w:p>
      <w:pPr>
        <w:spacing w:after="140"/>
      </w:pPr>
      <w:r>
        <w:rPr>
          <w:b/>
          <w:i w:val="0"/>
        </w:rPr>
        <w:t>Zuordnung:</w:t>
      </w:r>
      <w:r>
        <w:rPr>
          <w:b w:val="0"/>
          <w:i w:val="0"/>
        </w:rPr>
        <w:t xml:space="preserve"> Einführungsphase (EF). </w:t>
      </w:r>
      <w:r>
        <w:rPr>
          <w:b/>
          <w:i w:val="0"/>
        </w:rPr>
        <w:t>Unterrichtsvorhaben:</w:t>
      </w:r>
      <w:r>
        <w:rPr>
          <w:b w:val="0"/>
          <w:i w:val="0"/>
        </w:rPr>
        <w:t xml:space="preserve"> EF.04 Kohlenstoffkreislauf und Klima, aufbauend auf EF.03 Das chemische Gleichgewicht.</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suppressAutoHyphens w:val="0"/>
        <w:jc w:val="both"/>
        <w:pageBreakBefore/>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14.10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bookmarkStart w:id="60049" w:name="abschnitt_275"/>
      <w:r>
        <w:t xml:space="preserve">14.3 Beispiel Analytische Untersuchung mit Kursanleitung</w:t>
      </w:r>
      <w:bookmarkEnd w:id="60049"/>
    </w:p>
    <w:p>
      <w:pPr>
        <w:spacing w:after="140"/>
      </w:pPr>
      <w:r>
        <w:rPr>
          <w:b/>
          <w:i w:val="0"/>
        </w:rPr>
        <w:t>Zuordnung:</w:t>
      </w:r>
      <w:r>
        <w:rPr>
          <w:b w:val="0"/>
          <w:i w:val="0"/>
        </w:rPr>
        <w:t xml:space="preserve"> Qualifikationsphase, Grundkurs. </w:t>
      </w:r>
      <w:r>
        <w:rPr>
          <w:b/>
          <w:i w:val="0"/>
        </w:rPr>
        <w:t>Unterrichtsvorhaben:</w:t>
      </w:r>
      <w:r>
        <w:rPr>
          <w:b w:val="0"/>
          <w:i w:val="0"/>
        </w:rPr>
        <w:t xml:space="preserve"> GK.01 Säuren und Basen mit analytischen Verfahren.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14.4 Beispiel Präsentation zum Lithium Eisenphosphat Akku</w:t>
      </w:r>
    </w:p>
    <w:p>
      <w:pPr>
        <w:spacing w:after="140"/>
      </w:pPr>
      <w:r>
        <w:rPr>
          <w:b/>
          <w:i w:val="0"/>
        </w:rPr>
        <w:t>Zuordnung:</w:t>
      </w:r>
      <w:r>
        <w:rPr>
          <w:b w:val="0"/>
          <w:i w:val="0"/>
        </w:rPr>
        <w:t xml:space="preserve"> Qualifikationsphase, Grundkurs. </w:t>
      </w:r>
      <w:r>
        <w:rPr>
          <w:b/>
          <w:i w:val="0"/>
        </w:rPr>
        <w:t>Unterrichtsvorhaben:</w:t>
      </w:r>
      <w:r>
        <w:rPr>
          <w:b w:val="0"/>
          <w:i w:val="0"/>
        </w:rPr>
        <w:t xml:space="preserve"> GK.03 Elektrochemie mit galvanischer Zelle und Elektrolyse.</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14.9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2"/>
        <w:pageBreakBefore/>
        <w:suppressAutoHyphens w:val="1"/>
      </w:pPr>
      <w:bookmarkStart w:id="60050" w:name="abschnitt_274"/>
      <w:r>
        <w:t xml:space="preserve">14.5 Beispiel Präsentation und begründete Produktentscheidung</w:t>
      </w:r>
      <w:bookmarkEnd w:id="60050"/>
    </w:p>
    <w:p>
      <w:pPr>
        <w:spacing w:after="140"/>
      </w:pPr>
      <w:r>
        <w:rPr>
          <w:b/>
          <w:i w:val="0"/>
        </w:rPr>
        <w:t>Zuordnung:</w:t>
      </w:r>
      <w:r>
        <w:rPr>
          <w:b w:val="0"/>
          <w:i w:val="0"/>
        </w:rPr>
        <w:t xml:space="preserve"> Qualifikationsphase, Grundkurs. </w:t>
      </w:r>
      <w:r>
        <w:rPr>
          <w:b/>
          <w:i w:val="0"/>
        </w:rPr>
        <w:t>Unterrichtsvorhaben:</w:t>
      </w:r>
      <w:r>
        <w:rPr>
          <w:b w:val="0"/>
          <w:i w:val="0"/>
        </w:rPr>
        <w:t xml:space="preserve"> GK.07 Kunststoffe und funktionale Werkstoffe.</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bookmarkStart w:id="60051" w:name="abschnitt_276"/>
      <w:r>
        <w:t xml:space="preserve">14.6 Beispiel Lernzirkel zu Polymeren</w:t>
      </w:r>
      <w:bookmarkEnd w:id="60051"/>
    </w:p>
    <w:p>
      <w:pPr>
        <w:spacing w:after="140"/>
      </w:pPr>
      <w:r>
        <w:rPr>
          <w:b/>
          <w:i w:val="0"/>
        </w:rPr>
        <w:t>Zuordnung:</w:t>
      </w:r>
      <w:r>
        <w:rPr>
          <w:b w:val="0"/>
          <w:i w:val="0"/>
        </w:rPr>
        <w:t xml:space="preserve"> Qualifikationsphase, Grundkurs. </w:t>
      </w:r>
      <w:r>
        <w:rPr>
          <w:b/>
          <w:i w:val="0"/>
        </w:rPr>
        <w:t>Unterrichtsvorhaben:</w:t>
      </w:r>
      <w:r>
        <w:rPr>
          <w:b w:val="0"/>
          <w:i w:val="0"/>
        </w:rPr>
        <w:t xml:space="preserve"> GK.07 Kunststoffe und funktionale Werkstoffe.</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bookmarkStart w:id="9901" w:name="vier_k_gkl"/>
      <w:pPr>
        <w:pStyle w:val="Heading2"/>
        <w:pageBreakBefore/>
        <w:suppressAutoHyphens w:val="1"/>
        <w:pageBreakBefore/>
        <w:pageBreakBefore/>
      </w:pPr>
      <w:r>
        <w:t xml:space="preserve">14.7 Die vier K in Aufgaben und Bewertung</w:t>
      </w:r>
      <w:bookmarkEnd w:id="9901"/>
    </w:p>
    <w:p>
      <w:pPr>
        <w:spacing w:after="140"/>
      </w:pPr>
      <w:r>
        <w:rPr>
          <w:b w:val="0"/>
          <w:i w:val="0"/>
        </w:rPr>
        <w:t>Kreativität, Kollaboration, Kommunikation und kritisches Denken werden in den Aufgaben 14.2 bis 14.6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Vier K</w:t>
            </w:r>
            <w:r>
              <w:rPr>
                <w:b/>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Aufgabe und individueller Nachweis</w:t>
            </w:r>
            <w:r>
              <w:rPr>
                <w:b/>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Bezug zum Bewertungsbogen</w:t>
            </w:r>
            <w:r>
              <w:rPr>
                <w:b/>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Kreativität</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Mindestens zwei fachlich vertretbare Lösungs- oder Darstellungsvarianten entwickeln, eine auswählen und nach Rückmeldung verbessern. Entwürfe und Begründung aufbewahren.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Reflexion und Transfer (10 BE); je nach vereinbarter Rolle </w:t>
            </w:r>
            <w:hyperlink w:anchor="abschnitt_288">
              <w:r>
                <w:rPr>
                  <w:color w:val="174D72"/>
                </w:rPr>
                <w:t>Teil C</w:t>
              </w:r>
            </w:hyperlink>
            <w:r>
              <w:rPr>
                <w:b/>
                <w:i w:val="0"/>
                <w:color w:val="000000"/>
                <w:sz w:val="20"/>
              </w:rPr>
              <w:t xml:space="preserve">, etwa </w:t>
            </w:r>
            <w:hyperlink w:anchor="abschnitt_290">
              <w:r>
                <w:rPr>
                  <w:color w:val="174D72"/>
                </w:rPr>
                <w:t>P2</w:t>
              </w:r>
            </w:hyperlink>
            <w:r>
              <w:rPr>
                <w:b/>
                <w:i w:val="0"/>
                <w:color w:val="000000"/>
                <w:sz w:val="20"/>
              </w:rPr>
              <w:t xml:space="preserve"> Modellentwicklung oder </w:t>
            </w:r>
            <w:hyperlink w:anchor="abschnitt_293">
              <w:r>
                <w:rPr>
                  <w:color w:val="174D72"/>
                </w:rPr>
                <w:t>E1</w:t>
              </w:r>
            </w:hyperlink>
            <w:r>
              <w:rPr>
                <w:b/>
                <w:i w:val="0"/>
                <w:color w:val="000000"/>
                <w:sz w:val="20"/>
              </w:rPr>
              <w:t xml:space="preserve"> Versuchsplanung.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Kollaboration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Arbeitsschritte abstimmen, gemeinsame Qualitätsregeln vereinbaren und fachliches Feedback verarbeiten. Eigenen Beitrag und eine begründete Teamentscheidung dokumentieren.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Eigener Arbeitsbeitrag (5 BE); </w:t>
            </w:r>
            <w:hyperlink w:anchor="abschnitt_288">
              <w:r>
                <w:rPr>
                  <w:color w:val="174D72"/>
                </w:rPr>
                <w:t>Teil C</w:t>
              </w:r>
            </w:hyperlink>
            <w:r>
              <w:rPr>
                <w:b/>
                <w:i w:val="0"/>
                <w:color w:val="000000"/>
                <w:sz w:val="20"/>
              </w:rPr>
              <w:t>: aufgabenspezifische Übergaben, Moderation oder Unterstützung.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Kommunikation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Chemische Zusammenhänge verständlich darstellen, Verständnisfragen stellen und auf Rückfragen eingehen. Eigenständige Erklärung im Fachgespräch bzw. beobachtete Kursanleitung.</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Chemisches Verständnis (15 BE); </w:t>
            </w:r>
            <w:hyperlink w:anchor="abschnitt_288">
              <w:r>
                <w:rPr>
                  <w:color w:val="174D72"/>
                </w:rPr>
                <w:t>Teil C</w:t>
              </w:r>
            </w:hyperlink>
            <w:r>
              <w:rPr>
                <w:b/>
                <w:i w:val="0"/>
                <w:color w:val="000000"/>
                <w:sz w:val="20"/>
              </w:rPr>
              <w:t>: Erläuterung, Moderation oder Kursanleitung.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Kritisches Denken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Quellen und Daten prüfen, Beobachtung von Deutung trennen, Unsicherheiten und Gegenargumente berücksichtigen. Eine begründete Grenze der eigenen Aussage benennen.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Umgang mit Belegen bzw. Befunden (10 BE), Reflexion und Transfer (10 BE); passende fachliche Kriterien in </w:t>
            </w:r>
            <w:hyperlink w:anchor="abschnitt_288">
              <w:r>
                <w:rPr>
                  <w:color w:val="174D72"/>
                </w:rPr>
                <w:t>Teil C</w:t>
              </w:r>
            </w:hyperlink>
            <w:r>
              <w:rPr>
                <w:b/>
                <w:i w:val="0"/>
                <w:color w:val="000000"/>
                <w:sz w:val="20"/>
              </w:rPr>
              <w:t>.</w:t>
            </w:r>
            <w:r>
              <w:rPr>
                <w:b w:val="0"/>
                <w:i w:val="0"/>
                <w:color w:val="000000"/>
                <w:sz w:val="20"/>
              </w:rPr>
              <w:br/>
            </w:r>
          </w:p>
        </w:tc>
      </w:tr>
    </w:tbl>
    <w:p>
      <w:pPr>
        <w:spacing w:after="60"/>
      </w:pPr>
    </w:p>
    <w:p>
      <w:pPr>
        <w:pStyle w:val="Heading3"/>
        <w:keepNext/>
        <w:spacing w:after="140"/>
      </w:pPr>
      <w:bookmarkStart w:id="60092" w:name="abschnitt_300"/>
      <w:r>
        <w:rPr>
          <w:b/>
          <w:i w:val="0"/>
          <w:color w:val="000000"/>
        </w:rPr>
        <w:t>Konkretisierung der Beispielaufgaben</w:t>
      </w:r>
      <w:bookmarkEnd w:id="60092"/>
    </w:p>
    <w:p>
      <w:pPr>
        <w:spacing w:after="140"/>
      </w:pPr>
      <w:r>
        <w:rPr>
          <w:b w:val="0"/>
          <w:i w:val="0"/>
        </w:rPr>
        <w:t>Stoffkreisläufe (14.2): Zwei geeignete Untersuchungs- oder Darstellungsvarianten vergleichen, Messbedingungen vereinbaren und eigene Entscheidungen dokumentieren. Jede Person erläutert die Gleichgewichtsverschiebung und die Kohlenstoffbilanz; Quellenprüfung und Modellgrenzen begrenzen die abschließende Beurteilung.</w:t>
      </w:r>
    </w:p>
    <w:p>
      <w:pPr>
        <w:spacing w:after="140"/>
      </w:pPr>
      <w:r>
        <w:rPr>
          <w:b w:val="0"/>
          <w:i w:val="0"/>
        </w:rPr>
        <w:t>Akkumodell (14.4): Zwei Funktionsdarstellungen entwickeln, anhand fachlicher Kriterien vergleichen und eine nach Rückmeldung verbessern. Jede Person erklärt Elektronenfluss und Ionentransport, prüft die Energierechnung und begründet, welche zusätzlichen Daten für eine technische Entscheidung fehlen.</w:t>
      </w:r>
    </w:p>
    <w:p>
      <w:pPr>
        <w:spacing w:after="140"/>
      </w:pPr>
      <w:r>
        <w:rPr>
          <w:b w:val="0"/>
          <w:i w:val="0"/>
        </w:rPr>
        <w:t>Präsentation (14.5):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pacing w:after="140"/>
      </w:pPr>
      <w:r>
        <w:rPr>
          <w:b w:val="0"/>
          <w:i w:val="0"/>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pacing w:after="140"/>
      </w:pPr>
      <w:r>
        <w:rPr>
          <w:b w:val="0"/>
          <w:i w:val="0"/>
        </w:rPr>
        <w:t>Polymerstationen (14.6):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spacing w:after="140"/>
      </w:pPr>
      <w:r>
        <w:rPr>
          <w:b w:val="0"/>
          <w:i w:val="0"/>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spacing w:after="140"/>
      </w:pPr>
      <w:r>
        <w:br/>
      </w:r>
    </w:p>
    <w:p>
      <w:pPr>
        <w:pStyle w:val="Heading2"/>
        <w:pageBreakBefore/>
        <w:suppressAutoHyphens w:val="1"/>
      </w:pPr>
      <w:bookmarkStart w:id="60052" w:name="abschnitt_277"/>
      <w:r>
        <w:t xml:space="preserve">14.8 So entsteht die individuelle GKL Bewertung</w:t>
      </w:r>
      <w:bookmarkEnd w:id="60052"/>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bookmarkStart w:id="60053" w:name="abschnitt_278"/>
      <w:r>
        <w:t>In vier Schritten zum ausgefüllten Bogen</w:t>
      </w:r>
      <w:bookmarkEnd w:id="60053"/>
    </w:p>
    <w:p>
      <w:pPr>
        <w:pStyle w:val="ListNumber"/>
        <w:suppressAutoHyphens w:val="1"/>
        <w:numPr>
          <w:ilvl w:val="0"/>
          <w:numId w:val="15"/>
        </w:numPr>
      </w:pPr>
      <w:r>
        <w:t xml:space="preserve">Vor Beginn: Präsentationsbogen (14.9) oder Experimentierbogen (14.10) auswählen und jeder Person genau ein passendes Rollenmodul aus 14.11 zuordnen.</w:t>
      </w:r>
    </w:p>
    <w:p>
      <w:pPr>
        <w:pStyle w:val="ListNumber"/>
        <w:suppressAutoHyphens w:val="1"/>
        <w:numPr>
          <w:ilvl w:val="0"/>
          <w:numId w:val="15"/>
        </w:numPr>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numPr>
          <w:ilvl w:val="0"/>
          <w:numId w:val="15"/>
        </w:numPr>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numPr>
          <w:ilvl w:val="0"/>
          <w:numId w:val="15"/>
        </w:numPr>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bookmarkStart w:id="60054" w:name="abschnitt_279"/>
      <w:r>
        <w:t>Wie viele BE werden vergeben</w:t>
      </w:r>
      <w:bookmarkEnd w:id="60054"/>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bookmarkStart w:id="60055" w:name="abschnitt_280"/>
      <w:r>
        <w:t xml:space="preserve">14.9 Bewertungsbogen Präsentation</w:t>
      </w:r>
      <w:bookmarkEnd w:id="60055"/>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bookmarkStart w:id="60056" w:name="abschnitt_285"/>
      <w:r>
        <w:t>Teil A Individueller Ergebnisbeitrag    20 BE</w:t>
      </w:r>
      <w:bookmarkEnd w:id="6005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7" w:name="abschnitt_286"/>
      <w:r>
        <w:t>Teil B Individuelle fachliche Leistung    40 BE</w:t>
      </w:r>
      <w:bookmarkEnd w:id="60057"/>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8" w:name="abschnitt_287"/>
      <w:r>
        <w:t>Teil C Individuelle Rollenleistung    40 BE</w:t>
      </w:r>
      <w:bookmarkEnd w:id="60058"/>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59" w:name="abschnitt_284"/>
      <w:r>
        <w:t xml:space="preserve">14.10 Bewertungsbogen Experimentieren und Kursanleitung</w:t>
      </w:r>
      <w:bookmarkEnd w:id="60059"/>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60" w:name="abschnitt_288"/>
      <w:r>
        <w:t xml:space="preserve">14.11 Rollenmodule für Teil C</w:t>
      </w:r>
      <w:bookmarkEnd w:id="60060"/>
    </w:p>
    <w:p>
      <w:pPr>
        <w:suppressAutoHyphens w:val="0"/>
        <w:jc w:val="both"/>
      </w:pPr>
      <w:r>
        <w:rPr>
          <w:lang w:val="de-DE"/>
        </w:rPr>
        <w:t>Präsentation: P1, P2 oder P3 auswählen.</w:t>
      </w:r>
    </w:p>
    <w:p>
      <w:pPr>
        <w:pStyle w:val="Heading3"/>
        <w:suppressAutoHyphens w:val="1"/>
      </w:pPr>
      <w:bookmarkStart w:id="60061" w:name="abschnitt_289"/>
      <w:r>
        <w:t>P1 Recherche und Datenprüfung</w:t>
      </w:r>
      <w:bookmarkEnd w:id="60061"/>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2" w:name="abschnitt_290"/>
      <w:r>
        <w:t>P2 Modelle und Visualisierung</w:t>
      </w:r>
      <w:bookmarkEnd w:id="60062"/>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3" w:name="abschnitt_291"/>
      <w:r>
        <w:t>P3 Argumentation und Moderation</w:t>
      </w:r>
      <w:bookmarkEnd w:id="60063"/>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suppressAutoHyphens w:val="0"/>
        <w:jc w:val="both"/>
        <w:pageBreakBefore/>
      </w:pPr>
      <w:r>
        <w:rPr>
          <w:lang w:val="de-DE"/>
        </w:rPr>
        <w:t>Experimentieren und Kursanleitung: E1, E2 oder E3 auswählen.</w:t>
      </w:r>
    </w:p>
    <w:p>
      <w:pPr>
        <w:pStyle w:val="Heading3"/>
        <w:suppressAutoHyphens w:val="1"/>
      </w:pPr>
      <w:bookmarkStart w:id="60064" w:name="abschnitt_293"/>
      <w:r>
        <w:t>E1 Versuchsplanung und Anleitung</w:t>
      </w:r>
      <w:bookmarkEnd w:id="60064"/>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5" w:name="abschnitt_294"/>
      <w:r>
        <w:t>E2 Messung und Datenauswertung</w:t>
      </w:r>
      <w:bookmarkEnd w:id="60065"/>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6" w:name="abschnitt_295"/>
      <w:r>
        <w:t>E3 Modell und Stationsleitung</w:t>
      </w:r>
      <w:bookmarkEnd w:id="6006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bookmarkStart w:id="60067" w:name="abschnitt_296"/>
      <w:r>
        <w:t xml:space="preserve">14.12 Beispiel einer individuellen Bewertung</w:t>
      </w:r>
      <w:bookmarkEnd w:id="60067"/>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bookmarkStart w:id="60068" w:name="abschnitt_297"/>
      <w:r>
        <w:t>Nachvollziehbare Einzelwertung für Person A</w:t>
      </w:r>
      <w:bookmarkEnd w:id="60068"/>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bookmarkStart w:id="60069" w:name="abschnitt_298"/>
      <w:r>
        <w:t>Abgrenzung der Kriterien</w:t>
      </w:r>
      <w:bookmarkEnd w:id="60069"/>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pPr>
        <w:pStyle w:val="Heading1"/>
        <w:pageBreakBefore/>
      </w:pPr>
      <w:r>
        <w:t>Notengrenzen und ergänzende Quellen</w:t>
      </w:r>
    </w:p>
    <w:p>
      <w:r>
        <w:t>Bei maximal 100 BE entspricht eine BE einem Prozentpunkt. Die höchste erreichte Mindestgrenze bestimmt die Zuordnung. In der EF erfolgt die Bewertung mit Noten, in der Qualifikationsphase mit Notenpunkten. Die schulisch vereinbarten Notengrenzen sind vor Beginn offenzulegen.</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5"/>
        <w:gridCol w:w="3025"/>
        <w:gridCol w:w="3025"/>
      </w:tblGrid>
      <w:tr>
        <w:tc>
          <w:tcPr>
            <w:tcW w:type="dxa" w:w="3025"/>
            <w:shd w:fill="DFE9ED"/>
          </w:tcPr>
          <w:p>
            <w:pPr>
              <w:spacing w:after="40" w:before="40"/>
            </w:pPr>
            <w:r>
              <w:rPr>
                <w:b/>
                <w:sz w:val="20"/>
              </w:rPr>
              <w:t>Notenpunkte</w:t>
            </w:r>
          </w:p>
        </w:tc>
        <w:tc>
          <w:tcPr>
            <w:tcW w:type="dxa" w:w="3025"/>
            <w:shd w:fill="DFE9ED"/>
          </w:tcPr>
          <w:p>
            <w:pPr>
              <w:spacing w:after="40" w:before="40"/>
            </w:pPr>
            <w:r>
              <w:rPr>
                <w:b/>
                <w:sz w:val="20"/>
              </w:rPr>
              <w:t>Mindestanteil</w:t>
            </w:r>
          </w:p>
        </w:tc>
        <w:tc>
          <w:tcPr>
            <w:tcW w:type="dxa" w:w="3025"/>
            <w:shd w:fill="DFE9ED"/>
          </w:tcPr>
          <w:p>
            <w:pPr>
              <w:spacing w:after="40" w:before="40"/>
            </w:pPr>
            <w:r>
              <w:rPr>
                <w:b/>
                <w:sz w:val="20"/>
              </w:rPr>
              <w:t>Notenbereich</w:t>
            </w:r>
          </w:p>
        </w:tc>
      </w:tr>
      <w:tr>
        <w:tc>
          <w:tcPr>
            <w:tcW w:type="dxa" w:w="3025"/>
          </w:tcPr>
          <w:p>
            <w:pPr>
              <w:spacing w:after="40" w:before="40"/>
            </w:pPr>
            <w:r>
              <w:rPr>
                <w:sz w:val="20"/>
              </w:rPr>
              <w:t>15</w:t>
            </w:r>
          </w:p>
        </w:tc>
        <w:tc>
          <w:tcPr>
            <w:tcW w:type="dxa" w:w="3025"/>
          </w:tcPr>
          <w:p>
            <w:pPr>
              <w:spacing w:after="40" w:before="40"/>
            </w:pPr>
            <w:r>
              <w:rPr>
                <w:sz w:val="20"/>
              </w:rPr>
              <w:t>95 %</w:t>
            </w:r>
          </w:p>
        </w:tc>
        <w:tc>
          <w:tcPr>
            <w:tcW w:type="dxa" w:w="3025"/>
          </w:tcPr>
          <w:p>
            <w:pPr>
              <w:spacing w:after="40" w:before="40"/>
            </w:pPr>
            <w:r>
              <w:rPr>
                <w:sz w:val="20"/>
              </w:rPr>
              <w:t>sehr gut</w:t>
            </w:r>
          </w:p>
        </w:tc>
      </w:tr>
      <w:tr>
        <w:tc>
          <w:tcPr>
            <w:tcW w:type="dxa" w:w="3025"/>
          </w:tcPr>
          <w:p>
            <w:pPr>
              <w:spacing w:after="40" w:before="40"/>
            </w:pPr>
            <w:r>
              <w:rPr>
                <w:sz w:val="20"/>
              </w:rPr>
              <w:t>14</w:t>
            </w:r>
          </w:p>
        </w:tc>
        <w:tc>
          <w:tcPr>
            <w:tcW w:type="dxa" w:w="3025"/>
          </w:tcPr>
          <w:p>
            <w:pPr>
              <w:spacing w:after="40" w:before="40"/>
            </w:pPr>
            <w:r>
              <w:rPr>
                <w:sz w:val="20"/>
              </w:rPr>
              <w:t>90 %</w:t>
            </w:r>
          </w:p>
        </w:tc>
        <w:tc>
          <w:tcPr>
            <w:tcW w:type="dxa" w:w="3025"/>
          </w:tcPr>
          <w:p>
            <w:pPr>
              <w:spacing w:after="40" w:before="40"/>
            </w:pPr>
            <w:r>
              <w:rPr>
                <w:sz w:val="20"/>
              </w:rPr>
              <w:t>sehr gut</w:t>
            </w:r>
          </w:p>
        </w:tc>
      </w:tr>
      <w:tr>
        <w:tc>
          <w:tcPr>
            <w:tcW w:type="dxa" w:w="3025"/>
          </w:tcPr>
          <w:p>
            <w:pPr>
              <w:spacing w:after="40" w:before="40"/>
            </w:pPr>
            <w:r>
              <w:rPr>
                <w:sz w:val="20"/>
              </w:rPr>
              <w:t>13</w:t>
            </w:r>
          </w:p>
        </w:tc>
        <w:tc>
          <w:tcPr>
            <w:tcW w:type="dxa" w:w="3025"/>
          </w:tcPr>
          <w:p>
            <w:pPr>
              <w:spacing w:after="40" w:before="40"/>
            </w:pPr>
            <w:r>
              <w:rPr>
                <w:sz w:val="20"/>
              </w:rPr>
              <w:t>85 %</w:t>
            </w:r>
          </w:p>
        </w:tc>
        <w:tc>
          <w:tcPr>
            <w:tcW w:type="dxa" w:w="3025"/>
          </w:tcPr>
          <w:p>
            <w:pPr>
              <w:spacing w:after="40" w:before="40"/>
            </w:pPr>
            <w:r>
              <w:rPr>
                <w:sz w:val="20"/>
              </w:rPr>
              <w:t>sehr gut</w:t>
            </w:r>
          </w:p>
        </w:tc>
      </w:tr>
      <w:tr>
        <w:tc>
          <w:tcPr>
            <w:tcW w:type="dxa" w:w="3025"/>
          </w:tcPr>
          <w:p>
            <w:pPr>
              <w:spacing w:after="40" w:before="40"/>
            </w:pPr>
            <w:r>
              <w:rPr>
                <w:sz w:val="20"/>
              </w:rPr>
              <w:t>12</w:t>
            </w:r>
          </w:p>
        </w:tc>
        <w:tc>
          <w:tcPr>
            <w:tcW w:type="dxa" w:w="3025"/>
          </w:tcPr>
          <w:p>
            <w:pPr>
              <w:spacing w:after="40" w:before="40"/>
            </w:pPr>
            <w:r>
              <w:rPr>
                <w:sz w:val="20"/>
              </w:rPr>
              <w:t>80 %</w:t>
            </w:r>
          </w:p>
        </w:tc>
        <w:tc>
          <w:tcPr>
            <w:tcW w:type="dxa" w:w="3025"/>
          </w:tcPr>
          <w:p>
            <w:pPr>
              <w:spacing w:after="40" w:before="40"/>
            </w:pPr>
            <w:r>
              <w:rPr>
                <w:sz w:val="20"/>
              </w:rPr>
              <w:t>gut</w:t>
            </w:r>
          </w:p>
        </w:tc>
      </w:tr>
      <w:tr>
        <w:tc>
          <w:tcPr>
            <w:tcW w:type="dxa" w:w="3025"/>
          </w:tcPr>
          <w:p>
            <w:pPr>
              <w:spacing w:after="40" w:before="40"/>
            </w:pPr>
            <w:r>
              <w:rPr>
                <w:sz w:val="20"/>
              </w:rPr>
              <w:t>11</w:t>
            </w:r>
          </w:p>
        </w:tc>
        <w:tc>
          <w:tcPr>
            <w:tcW w:type="dxa" w:w="3025"/>
          </w:tcPr>
          <w:p>
            <w:pPr>
              <w:spacing w:after="40" w:before="40"/>
            </w:pPr>
            <w:r>
              <w:rPr>
                <w:sz w:val="20"/>
              </w:rPr>
              <w:t>75 %</w:t>
            </w:r>
          </w:p>
        </w:tc>
        <w:tc>
          <w:tcPr>
            <w:tcW w:type="dxa" w:w="3025"/>
          </w:tcPr>
          <w:p>
            <w:pPr>
              <w:spacing w:after="40" w:before="40"/>
            </w:pPr>
            <w:r>
              <w:rPr>
                <w:sz w:val="20"/>
              </w:rPr>
              <w:t>gut</w:t>
            </w:r>
          </w:p>
        </w:tc>
      </w:tr>
      <w:tr>
        <w:tc>
          <w:tcPr>
            <w:tcW w:type="dxa" w:w="3025"/>
          </w:tcPr>
          <w:p>
            <w:pPr>
              <w:spacing w:after="40" w:before="40"/>
            </w:pPr>
            <w:r>
              <w:rPr>
                <w:sz w:val="20"/>
              </w:rPr>
              <w:t>10</w:t>
            </w:r>
          </w:p>
        </w:tc>
        <w:tc>
          <w:tcPr>
            <w:tcW w:type="dxa" w:w="3025"/>
          </w:tcPr>
          <w:p>
            <w:pPr>
              <w:spacing w:after="40" w:before="40"/>
            </w:pPr>
            <w:r>
              <w:rPr>
                <w:sz w:val="20"/>
              </w:rPr>
              <w:t>70 %</w:t>
            </w:r>
          </w:p>
        </w:tc>
        <w:tc>
          <w:tcPr>
            <w:tcW w:type="dxa" w:w="3025"/>
          </w:tcPr>
          <w:p>
            <w:pPr>
              <w:spacing w:after="40" w:before="40"/>
            </w:pPr>
            <w:r>
              <w:rPr>
                <w:sz w:val="20"/>
              </w:rPr>
              <w:t>gut</w:t>
            </w:r>
          </w:p>
        </w:tc>
      </w:tr>
      <w:tr>
        <w:tc>
          <w:tcPr>
            <w:tcW w:type="dxa" w:w="3025"/>
          </w:tcPr>
          <w:p>
            <w:pPr>
              <w:spacing w:after="40" w:before="40"/>
            </w:pPr>
            <w:r>
              <w:rPr>
                <w:sz w:val="20"/>
              </w:rPr>
              <w:t>9</w:t>
            </w:r>
          </w:p>
        </w:tc>
        <w:tc>
          <w:tcPr>
            <w:tcW w:type="dxa" w:w="3025"/>
          </w:tcPr>
          <w:p>
            <w:pPr>
              <w:spacing w:after="40" w:before="40"/>
            </w:pPr>
            <w:r>
              <w:rPr>
                <w:sz w:val="20"/>
              </w:rPr>
              <w:t>65 %</w:t>
            </w:r>
          </w:p>
        </w:tc>
        <w:tc>
          <w:tcPr>
            <w:tcW w:type="dxa" w:w="3025"/>
          </w:tcPr>
          <w:p>
            <w:pPr>
              <w:spacing w:after="40" w:before="40"/>
            </w:pPr>
            <w:r>
              <w:rPr>
                <w:sz w:val="20"/>
              </w:rPr>
              <w:t>befriedigend</w:t>
            </w:r>
          </w:p>
        </w:tc>
      </w:tr>
      <w:tr>
        <w:tc>
          <w:tcPr>
            <w:tcW w:type="dxa" w:w="3025"/>
          </w:tcPr>
          <w:p>
            <w:pPr>
              <w:spacing w:after="40" w:before="40"/>
            </w:pPr>
            <w:r>
              <w:rPr>
                <w:sz w:val="20"/>
              </w:rPr>
              <w:t>8</w:t>
            </w:r>
          </w:p>
        </w:tc>
        <w:tc>
          <w:tcPr>
            <w:tcW w:type="dxa" w:w="3025"/>
          </w:tcPr>
          <w:p>
            <w:pPr>
              <w:spacing w:after="40" w:before="40"/>
            </w:pPr>
            <w:r>
              <w:rPr>
                <w:sz w:val="20"/>
              </w:rPr>
              <w:t>60 %</w:t>
            </w:r>
          </w:p>
        </w:tc>
        <w:tc>
          <w:tcPr>
            <w:tcW w:type="dxa" w:w="3025"/>
          </w:tcPr>
          <w:p>
            <w:pPr>
              <w:spacing w:after="40" w:before="40"/>
            </w:pPr>
            <w:r>
              <w:rPr>
                <w:sz w:val="20"/>
              </w:rPr>
              <w:t>befriedigend</w:t>
            </w:r>
          </w:p>
        </w:tc>
      </w:tr>
      <w:tr>
        <w:tc>
          <w:tcPr>
            <w:tcW w:type="dxa" w:w="3025"/>
          </w:tcPr>
          <w:p>
            <w:pPr>
              <w:spacing w:after="40" w:before="40"/>
            </w:pPr>
            <w:r>
              <w:rPr>
                <w:sz w:val="20"/>
              </w:rPr>
              <w:t>7</w:t>
            </w:r>
          </w:p>
        </w:tc>
        <w:tc>
          <w:tcPr>
            <w:tcW w:type="dxa" w:w="3025"/>
          </w:tcPr>
          <w:p>
            <w:pPr>
              <w:spacing w:after="40" w:before="40"/>
            </w:pPr>
            <w:r>
              <w:rPr>
                <w:sz w:val="20"/>
              </w:rPr>
              <w:t>55 %</w:t>
            </w:r>
          </w:p>
        </w:tc>
        <w:tc>
          <w:tcPr>
            <w:tcW w:type="dxa" w:w="3025"/>
          </w:tcPr>
          <w:p>
            <w:pPr>
              <w:spacing w:after="40" w:before="40"/>
            </w:pPr>
            <w:r>
              <w:rPr>
                <w:sz w:val="20"/>
              </w:rPr>
              <w:t>befriedigend</w:t>
            </w:r>
          </w:p>
        </w:tc>
      </w:tr>
      <w:tr>
        <w:tc>
          <w:tcPr>
            <w:tcW w:type="dxa" w:w="3025"/>
          </w:tcPr>
          <w:p>
            <w:pPr>
              <w:spacing w:after="40" w:before="40"/>
            </w:pPr>
            <w:r>
              <w:rPr>
                <w:sz w:val="20"/>
              </w:rPr>
              <w:t>6</w:t>
            </w:r>
          </w:p>
        </w:tc>
        <w:tc>
          <w:tcPr>
            <w:tcW w:type="dxa" w:w="3025"/>
          </w:tcPr>
          <w:p>
            <w:pPr>
              <w:spacing w:after="40" w:before="40"/>
            </w:pPr>
            <w:r>
              <w:rPr>
                <w:sz w:val="20"/>
              </w:rPr>
              <w:t>50 %</w:t>
            </w:r>
          </w:p>
        </w:tc>
        <w:tc>
          <w:tcPr>
            <w:tcW w:type="dxa" w:w="3025"/>
          </w:tcPr>
          <w:p>
            <w:pPr>
              <w:spacing w:after="40" w:before="40"/>
            </w:pPr>
            <w:r>
              <w:rPr>
                <w:sz w:val="20"/>
              </w:rPr>
              <w:t>ausreichend</w:t>
            </w:r>
          </w:p>
        </w:tc>
      </w:tr>
      <w:tr>
        <w:tc>
          <w:tcPr>
            <w:tcW w:type="dxa" w:w="3025"/>
          </w:tcPr>
          <w:p>
            <w:pPr>
              <w:spacing w:after="40" w:before="40"/>
            </w:pPr>
            <w:r>
              <w:rPr>
                <w:sz w:val="20"/>
              </w:rPr>
              <w:t>5</w:t>
            </w:r>
          </w:p>
        </w:tc>
        <w:tc>
          <w:tcPr>
            <w:tcW w:type="dxa" w:w="3025"/>
          </w:tcPr>
          <w:p>
            <w:pPr>
              <w:spacing w:after="40" w:before="40"/>
            </w:pPr>
            <w:r>
              <w:rPr>
                <w:sz w:val="20"/>
              </w:rPr>
              <w:t>45 %</w:t>
            </w:r>
          </w:p>
        </w:tc>
        <w:tc>
          <w:tcPr>
            <w:tcW w:type="dxa" w:w="3025"/>
          </w:tcPr>
          <w:p>
            <w:pPr>
              <w:spacing w:after="40" w:before="40"/>
            </w:pPr>
            <w:r>
              <w:rPr>
                <w:sz w:val="20"/>
              </w:rPr>
              <w:t>ausreichend</w:t>
            </w:r>
          </w:p>
        </w:tc>
      </w:tr>
      <w:tr>
        <w:tc>
          <w:tcPr>
            <w:tcW w:type="dxa" w:w="3025"/>
          </w:tcPr>
          <w:p>
            <w:pPr>
              <w:spacing w:after="40" w:before="40"/>
            </w:pPr>
            <w:r>
              <w:rPr>
                <w:sz w:val="20"/>
              </w:rPr>
              <w:t>4</w:t>
            </w:r>
          </w:p>
        </w:tc>
        <w:tc>
          <w:tcPr>
            <w:tcW w:type="dxa" w:w="3025"/>
          </w:tcPr>
          <w:p>
            <w:pPr>
              <w:spacing w:after="40" w:before="40"/>
            </w:pPr>
            <w:r>
              <w:rPr>
                <w:sz w:val="20"/>
              </w:rPr>
              <w:t>40 %</w:t>
            </w:r>
          </w:p>
        </w:tc>
        <w:tc>
          <w:tcPr>
            <w:tcW w:type="dxa" w:w="3025"/>
          </w:tcPr>
          <w:p>
            <w:pPr>
              <w:spacing w:after="40" w:before="40"/>
            </w:pPr>
            <w:r>
              <w:rPr>
                <w:sz w:val="20"/>
              </w:rPr>
              <w:t>ausreichend</w:t>
            </w:r>
          </w:p>
        </w:tc>
      </w:tr>
      <w:tr>
        <w:tc>
          <w:tcPr>
            <w:tcW w:type="dxa" w:w="3025"/>
          </w:tcPr>
          <w:p>
            <w:pPr>
              <w:spacing w:after="40" w:before="40"/>
            </w:pPr>
            <w:r>
              <w:rPr>
                <w:sz w:val="20"/>
              </w:rPr>
              <w:t>3</w:t>
            </w:r>
          </w:p>
        </w:tc>
        <w:tc>
          <w:tcPr>
            <w:tcW w:type="dxa" w:w="3025"/>
          </w:tcPr>
          <w:p>
            <w:pPr>
              <w:spacing w:after="40" w:before="40"/>
            </w:pPr>
            <w:r>
              <w:rPr>
                <w:sz w:val="20"/>
              </w:rPr>
              <w:t>33 %</w:t>
            </w:r>
          </w:p>
        </w:tc>
        <w:tc>
          <w:tcPr>
            <w:tcW w:type="dxa" w:w="3025"/>
          </w:tcPr>
          <w:p>
            <w:pPr>
              <w:spacing w:after="40" w:before="40"/>
            </w:pPr>
            <w:r>
              <w:rPr>
                <w:sz w:val="20"/>
              </w:rPr>
              <w:t>mangelhaft</w:t>
            </w:r>
          </w:p>
        </w:tc>
      </w:tr>
      <w:tr>
        <w:tc>
          <w:tcPr>
            <w:tcW w:type="dxa" w:w="3025"/>
          </w:tcPr>
          <w:p>
            <w:pPr>
              <w:spacing w:after="40" w:before="40"/>
            </w:pPr>
            <w:r>
              <w:rPr>
                <w:sz w:val="20"/>
              </w:rPr>
              <w:t>2</w:t>
            </w:r>
          </w:p>
        </w:tc>
        <w:tc>
          <w:tcPr>
            <w:tcW w:type="dxa" w:w="3025"/>
          </w:tcPr>
          <w:p>
            <w:pPr>
              <w:spacing w:after="40" w:before="40"/>
            </w:pPr>
            <w:r>
              <w:rPr>
                <w:sz w:val="20"/>
              </w:rPr>
              <w:t>27 %</w:t>
            </w:r>
          </w:p>
        </w:tc>
        <w:tc>
          <w:tcPr>
            <w:tcW w:type="dxa" w:w="3025"/>
          </w:tcPr>
          <w:p>
            <w:pPr>
              <w:spacing w:after="40" w:before="40"/>
            </w:pPr>
            <w:r>
              <w:rPr>
                <w:sz w:val="20"/>
              </w:rPr>
              <w:t>mangelhaft</w:t>
            </w:r>
          </w:p>
        </w:tc>
      </w:tr>
      <w:tr>
        <w:tc>
          <w:tcPr>
            <w:tcW w:type="dxa" w:w="3025"/>
          </w:tcPr>
          <w:p>
            <w:pPr>
              <w:spacing w:after="40" w:before="40"/>
            </w:pPr>
            <w:r>
              <w:rPr>
                <w:sz w:val="20"/>
              </w:rPr>
              <w:t>1</w:t>
            </w:r>
          </w:p>
        </w:tc>
        <w:tc>
          <w:tcPr>
            <w:tcW w:type="dxa" w:w="3025"/>
          </w:tcPr>
          <w:p>
            <w:pPr>
              <w:spacing w:after="40" w:before="40"/>
            </w:pPr>
            <w:r>
              <w:rPr>
                <w:sz w:val="20"/>
              </w:rPr>
              <w:t>20 %</w:t>
            </w:r>
          </w:p>
        </w:tc>
        <w:tc>
          <w:tcPr>
            <w:tcW w:type="dxa" w:w="3025"/>
          </w:tcPr>
          <w:p>
            <w:pPr>
              <w:spacing w:after="40" w:before="40"/>
            </w:pPr>
            <w:r>
              <w:rPr>
                <w:sz w:val="20"/>
              </w:rPr>
              <w:t>mangelhaft</w:t>
            </w:r>
          </w:p>
        </w:tc>
      </w:tr>
      <w:tr>
        <w:tc>
          <w:tcPr>
            <w:tcW w:type="dxa" w:w="3025"/>
          </w:tcPr>
          <w:p>
            <w:pPr>
              <w:spacing w:after="40" w:before="40"/>
            </w:pPr>
            <w:r>
              <w:rPr>
                <w:sz w:val="20"/>
              </w:rPr>
              <w:t>0</w:t>
            </w:r>
          </w:p>
        </w:tc>
        <w:tc>
          <w:tcPr>
            <w:tcW w:type="dxa" w:w="3025"/>
          </w:tcPr>
          <w:p>
            <w:pPr>
              <w:spacing w:after="40" w:before="40"/>
            </w:pPr>
            <w:r>
              <w:rPr>
                <w:sz w:val="20"/>
              </w:rPr>
              <w:t>0 %</w:t>
            </w:r>
          </w:p>
        </w:tc>
        <w:tc>
          <w:tcPr>
            <w:tcW w:type="dxa" w:w="3025"/>
          </w:tcPr>
          <w:p>
            <w:pPr>
              <w:spacing w:after="40" w:before="40"/>
            </w:pPr>
            <w:r>
              <w:rPr>
                <w:sz w:val="20"/>
              </w:rPr>
              <w:t>ungenügend</w:t>
            </w:r>
          </w:p>
        </w:tc>
      </w:tr>
    </w:tbl>
    <w:p>
      <w:pPr>
        <w:pStyle w:val="Heading2"/>
      </w:pPr>
      <w:r>
        <w:t>Rechtliche Grundlage</w:t>
      </w:r>
    </w:p>
    <w:p>
      <w:r>
        <w:t>APO-GOSt in der ab 1. August 2027 geltenden Fassung, insbesondere § 14; für Gruppenarbeiten Absatz 6. Die individuelle Umsetzung des schulischen Rasters wird in 14.1 und 14.8 beschrieben. Amtliche Fassung: https://recht.nrw.de/lrgv/rechtsverordnung/01082027-ausbildungs-und-pruefungsordnung-fuer-die-gymnasiale-oberstufe-und/</w:t>
      </w:r>
    </w:p>
    <w:p>
      <w:pPr>
        <w:pStyle w:val="Heading2"/>
      </w:pPr>
      <w:r>
        <w:t>Fachliche Materialien</w:t>
      </w:r>
    </w:p>
    <w:p>
      <w:r>
        <w:t>Säure-Base-Titration: University of Illinois, Acid-Base Titrations, https://www.chem.uiuc.edu/webFunChem/titrations/IntroTitrate12.htm. Material zum LFP-Akku ist in 14.4 benannt. Versuchsvorschriften werden ausschließlich nach schulischer Gefährdungsbeurteilung freigegeben.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GKL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recht.nrw.de/lrgv/rechtsverordnung/01082027-ausbildungs-und-pruefungsordnung-fuer-die-gymnasiale-oberstufe-und/" TargetMode="External"/><Relationship Id="rId51" Type="http://schemas.openxmlformats.org/officeDocument/2006/relationships/hyperlink" Target="https://genaiedu.github.io/LearningApps2/chemie-curriculum-arbeitskopie.html#vier_k" TargetMode="External"/><Relationship Id="rId52" Type="http://schemas.openxmlformats.org/officeDocument/2006/relationships/hyperlink" Target="https://genaiedu.github.io/LearningApps2/chemie-curriculum-arbeitskopie.html#klausuren-2" TargetMode="External"/><Relationship Id="rId53" Type="http://schemas.openxmlformats.org/officeDocument/2006/relationships/hyperlink" Target="https://genaiedu.github.io/LearningApps2/chemie-curriculum-arbeitskopie.html#chemie-afb"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Gleichwertige komplexe Leistungsnachweise im Fach Chemie</dc:title>
  <dc:subject>Aufgabenbeispiele, Arbeitsumfang und individuelle Bewertung</dc:subject>
  <dc:creator>Thomaeum Kempen</dc:creator>
  <cp:keywords>Chemie, NRW, G9, EF, Grundkurs, Leistungskurs</cp:keywords>
  <dc:description>generated by python-docx</dc:description>
  <cp:lastModifiedBy/>
  <cp:revision>1</cp:revision>
  <dcterms:created xsi:type="dcterms:W3CDTF">2013-12-23T23:15:00Z</dcterms:created>
  <dcterms:modified xsi:type="dcterms:W3CDTF">2026-10-04T12:00:00Z</dcterms:modified>
  <cp:category/>
</cp:coreProperties>
</file>