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spacing w:before="160" w:after="240"/>
      </w:pPr>
      <w:hyperlink r:id="rId47">
        <w:r>
          <w:rPr>
            <w:rFonts w:ascii="Inter" w:hAnsi="Inter" w:eastAsia="Inter" w:cs="Inter"/>
            <w:color w:val="174D72"/>
            <w:u w:val="single"/>
            <w:sz w:val="25"/>
          </w:rPr>
          <w:t>Notion · Chemie Sekundarstufe I  ↗</w:t>
        </w:r>
      </w:hyperlink>
    </w:p>
    <w:p>
      <w:pPr>
        <w:spacing w:before="160" w:after="240"/>
      </w:pPr>
      <w:hyperlink r:id="rId48">
        <w:r>
          <w:rPr>
            <w:rFonts w:ascii="Inter" w:hAnsi="Inter" w:eastAsia="Inter" w:cs="Inter"/>
            <w:color w:val="174D72"/>
            <w:u w:val="single"/>
            <w:sz w:val="25"/>
          </w:rPr>
          <w:t>Notion · Chemie Sekundarstufe II  ↗</w:t>
        </w:r>
      </w:hyperlink>
    </w:p>
    <w:p>
      <w:pPr>
        <w:spacing w:before="160" w:after="240"/>
      </w:pPr>
      <w:hyperlink r:id="rId49">
        <w:r>
          <w:rPr>
            <w:rFonts w:ascii="Inter" w:hAnsi="Inter" w:eastAsia="Inter" w:cs="Inter"/>
            <w:color w:val="174D72"/>
            <w:u w:val="single"/>
            <w:sz w:val="25"/>
          </w:rPr>
          <w:t>Onlinefassung des Curriculums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13.1 Einordnung und transparente Vereinbarungen</w:t>
      </w:r>
    </w:p>
    <w:p>
      <w:pPr>
        <w:suppressAutoHyphens w:val="0"/>
        <w:jc w:val="both"/>
      </w:pPr>
      <w:r>
        <w:t>Vor diesem Hintergrund entwickeln die GKL-Aufgaben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