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hyperlink r:id="rId11">
        <w:r>
          <w:rPr>
            <w:color w:val="17594E"/>
          </w:rPr>
          <w:t>Onlinefassung des Curriculums</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Aufgaben und Rahmenbedingungen</w:t>
        </w:r>
      </w:hyperlink>
    </w:p>
    <w:p>
      <w:pPr>
        <w:spacing w:after="220"/>
      </w:pPr>
      <w:hyperlink w:anchor="rahmen">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ef">
        <w:r>
          <w:rPr>
            <w:color w:val="17594E"/>
          </w:rPr>
          <w:t>5 Unterrichtsvorhaben der Einführungsphase</w:t>
        </w:r>
      </w:hyperlink>
    </w:p>
    <w:p>
      <w:pPr>
        <w:spacing w:after="220"/>
      </w:pPr>
      <w:hyperlink w:anchor="gk">
        <w:r>
          <w:rPr>
            <w:color w:val="17594E"/>
          </w:rPr>
          <w:t>6 Unterrichtsvorhaben im Grundkurs</w:t>
        </w:r>
      </w:hyperlink>
    </w:p>
    <w:p>
      <w:pPr>
        <w:spacing w:after="220"/>
      </w:pPr>
      <w:hyperlink w:anchor="lk">
        <w:r>
          <w:rPr>
            <w:color w:val="17594E"/>
          </w:rPr>
          <w:t>7 Unterrichtsvorhaben im Leistungskurs</w:t>
        </w:r>
      </w:hyperlink>
    </w:p>
    <w:p>
      <w:pPr>
        <w:spacing w:after="220"/>
      </w:pPr>
      <w:hyperlink w:anchor="qualitaet">
        <w:r>
          <w:rPr>
            <w:color w:val="17594E"/>
          </w:rPr>
          <w:t>8 Zusammenarbeit und Qualitätssicherung</w:t>
        </w:r>
      </w:hyperlink>
    </w:p>
    <w:p>
      <w:pPr>
        <w:spacing w:after="220"/>
      </w:pPr>
      <w:hyperlink w:anchor="jahresplanung">
        <w:r>
          <w:rPr>
            <w:color w:val="17594E"/>
          </w:rPr>
          <w:t>9 Sicherung der Kompetenzentwicklung</w:t>
        </w:r>
      </w:hyperlink>
    </w:p>
    <w:p>
      <w:pPr>
        <w:spacing w:after="220"/>
      </w:pPr>
      <w:hyperlink w:anchor="generisch">
        <w:r>
          <w:rPr>
            <w:color w:val="17594E"/>
          </w:rPr>
          <w:t>10 Vollständige übergeordnete Kompetenzen</w:t>
        </w:r>
      </w:hyperlink>
    </w:p>
    <w:p>
      <w:pPr>
        <w:spacing w:after="220"/>
      </w:pPr>
      <w:hyperlink w:anchor="register">
        <w:r>
          <w:rPr>
            <w:color w:val="17594E"/>
          </w:rPr>
          <w:t>11 Register der konkretisierten Kompetenzen</w:t>
        </w:r>
      </w:hyperlink>
    </w:p>
    <w:p>
      <w:pPr>
        <w:spacing w:after="220"/>
      </w:pPr>
      <w:hyperlink w:anchor="quellen">
        <w:r>
          <w:rPr>
            <w:color w:val="17594E"/>
          </w:rPr>
          <w:t>12 Quellen und Geltungsstand</w:t>
        </w:r>
      </w:hyperlink>
    </w:p>
    <w:p>
      <w:pPr>
        <w:spacing w:after="220"/>
      </w:pPr>
      <w:hyperlink w:anchor="gkl">
        <w:r>
          <w:rPr>
            <w:color w:val="17594E"/>
          </w:rPr>
          <w:t>13 Gleichwertige komplexe Leistungsnachweise: Aufgaben und Bewertungsraster</w:t>
        </w:r>
      </w:hyperlink>
    </w:p>
    <w:p>
      <w:pPr>
        <w:spacing w:after="220"/>
      </w:pPr>
      <w:hyperlink w:anchor="abitur5">
        <w:r>
          <w:rPr>
            <w:color w:val="17594E"/>
          </w:rPr>
          <w:t>14 Vorbereitung auf das fünfte Abiturfach</w:t>
        </w:r>
      </w:hyperlink>
    </w:p>
    <w:p>
      <w:pPr>
        <w:spacing w:after="220"/>
      </w:pPr>
      <w:hyperlink w:anchor="ki">
        <w:r>
          <w:rPr>
            <w:color w:val="17594E"/>
          </w:rPr>
          <w:t>15 Mit KI lernen und Ergebnisse verantwortlich prüfen</w:t>
        </w:r>
      </w:hyperlink>
    </w:p>
    <w:p>
      <w:r>
        <w:t>Die Kapitel sind in Word und in der Onlinefassung direkt anwählbar. Die Kompetenzkennungen verbinden Lernziele, Unterrichtsvorhaben und Nachweise.</w:t>
      </w:r>
    </w:p>
    <w:p>
      <w:bookmarkStart w:id="1" w:name="auftrag"/>
      <w:pPr>
        <w:pStyle w:val="Heading1"/>
        <w:pageBreakBefore/>
      </w:pPr>
      <w:r>
        <w:t>1 Aufgaben und Rahmenbedingungen</w:t>
      </w:r>
      <w:bookmarkEnd w:id="1"/>
    </w:p>
    <w:p>
      <w:pPr>
        <w:pStyle w:val="Heading2"/>
      </w:pPr>
      <w:r>
        <w:t>1.1 Bildungsauftrag und fachliches Profil</w:t>
      </w:r>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pStyle w:val="Heading2"/>
      </w:pPr>
      <w:r>
        <w:t>1.2 Geltung und Übergang zum Kernlehrplan 2026</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1.3 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w:t>
      </w:r>
    </w:p>
    <w:p>
      <w:pPr/>
      <w:r>
        <w:t>Die vier K bezeichnen genuin menschliche Fähigkeiten des Verstehens, Gestaltens und verantwortlichen Handelns. Sie ergänzen das klassische Bildungsideal, statt es zu ersetzen. Physikalisches Wissen und experimentelle Erfahrung bilden ihre Grundlage: Ohne Kenntnis von Modellen, Messverfahren und bisherigen Lösungswegen bleibt Kreativität beliebig; ohne sichere allgemeine und fachsprachliche Mittel gelingt keine lösungsgerichtete Kommunikation. Kritisches Denken setzt Sachkenntnis und Kriterien für belastbare Messungen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 Dies unterstützt Studierfähigkeit, berufliches Handeln und gesellschaftliche Teilhabe.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pPr>
        <w:pStyle w:val="Heading2"/>
      </w:pPr>
      <w:r>
        <w:t>1.4 Rahmenbedingungen und Materialien</w:t>
      </w:r>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3" w:name="rahmen"/>
      <w:pPr>
        <w:pStyle w:val="Heading1"/>
        <w:pageBreakBefore/>
      </w:pPr>
      <w:r>
        <w:t>2 Grundsätze der Unterrichtsgestaltung</w:t>
      </w:r>
      <w:bookmarkEnd w:id="3"/>
    </w:p>
    <w:p>
      <w:pPr>
        <w:pStyle w:val="Heading2"/>
      </w:pPr>
      <w:r>
        <w:t>2.1 Lernen durch Untersuchung und Erklärung</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pStyle w:val="Heading2"/>
      </w:pPr>
      <w:r>
        <w:t>2.2 Experimentieren und digitale Werkzeuge</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pStyle w:val="Heading2"/>
      </w:pPr>
      <w:r>
        <w:t>2.3 Sprachbildung und individuelle Förderung</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pStyle w:val="Heading2"/>
      </w:pPr>
      <w:r>
        <w:t>2.4 Sicherheit im Physikunterricht</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pStyle w:val="Heading2"/>
      </w:pPr>
      <w:r>
        <w:t>2.5 Künstliche Intelligenz im Physikunterricht</w:t>
      </w:r>
    </w:p>
    <w:p>
      <w:pPr/>
      <w:r>
        <w:t>Die Nutzung generativer KI folgt dem in Abschnitt 1.3 erläuterten Zusammenhang von Fachwissen, Sprachbildung und eigenständiger Verantwortung. Lehrkräfte prüfen KI-gestützte Materialien fachlich; Lernende nutzen KI als überprüfbares Werkzeug. Konkrete Lernhandlungen und Regeln für Leistungsnachweise stehen in Kapitel 15.</w:t>
      </w:r>
    </w:p>
    <w:p>
      <w:bookmarkStart w:id="54" w:name="bewertung"/>
      <w:pPr>
        <w:pStyle w:val="Heading1"/>
        <w:pageBreakBefore/>
      </w:pPr>
      <w:r>
        <w:t>3 Lernerfolgsüberprüfung und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pStyle w:val="Heading2"/>
      </w:pPr>
      <w:r>
        <w:t>3.1 Sonstige Leistungen im Unterricht</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pStyle w:val="Heading2"/>
      </w:pPr>
      <w:r>
        <w:t>3.2 Klausuren und Aufgaben in der Oberstufe</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pStyle w:val="Heading2"/>
      </w:pPr>
      <w:r>
        <w:t>3.3 Bewertungsgrundsätze für Klausuren</w:t>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3.4 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pPr>
        <w:pStyle w:val="Heading1"/>
      </w:pPr>
      <w:bookmarkStart w:id="200" w:name="si"/>
      <w:r>
        <w:t>4 Unterrichtsvorhaben der Sekundarstufe I</w:t>
      </w:r>
      <w:bookmarkEnd w:id="200"/>
    </w:p>
    <w:p>
      <w:bookmarkStart w:id="5" w:name="uv_06_1"/>
      <w:pPr>
        <w:pStyle w:val="Heading2"/>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pPr>
        <w:pStyle w:val="Heading1"/>
      </w:pPr>
      <w:bookmarkStart w:id="201" w:name="ef"/>
      <w:r>
        <w:t>5 Unterrichtsvorhaben der Einführungsphase</w:t>
      </w:r>
      <w:bookmarkEnd w:id="201"/>
    </w:p>
    <w:p>
      <w:bookmarkStart w:id="30" w:name="uv_ef_01"/>
      <w:pPr>
        <w:pStyle w:val="Heading2"/>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pPr>
        <w:pStyle w:val="Heading1"/>
      </w:pPr>
      <w:bookmarkStart w:id="202" w:name="gk"/>
      <w:r>
        <w:t>6 Unterrichtsvorhaben im Grundkurs</w:t>
      </w:r>
      <w:bookmarkEnd w:id="202"/>
    </w:p>
    <w:p>
      <w:bookmarkStart w:id="35" w:name="uv_gk_01"/>
      <w:pPr>
        <w:pStyle w:val="Heading2"/>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pPr>
        <w:pStyle w:val="Heading1"/>
      </w:pPr>
      <w:bookmarkStart w:id="203" w:name="lk"/>
      <w:r>
        <w:t>7 Unterrichtsvorhaben im Leistungskurs</w:t>
      </w:r>
      <w:bookmarkEnd w:id="203"/>
    </w:p>
    <w:p>
      <w:bookmarkStart w:id="44" w:name="uv_lk_01"/>
      <w:pPr>
        <w:pStyle w:val="Heading2"/>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9" w:name="qualitaet"/>
      <w:pPr>
        <w:pStyle w:val="Heading1"/>
        <w:pageBreakBefore/>
      </w:pPr>
      <w:r>
        <w:t>8 Zusammenarbeit und Qualitätssicherung</w:t>
      </w:r>
      <w:bookmarkEnd w:id="59"/>
    </w:p>
    <w:p>
      <w:pPr>
        <w:pStyle w:val="Heading2"/>
      </w:pPr>
      <w:r>
        <w:t>8.1 Evaluation und Fortschreibung</w:t>
      </w:r>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pStyle w:val="Heading2"/>
      </w:pPr>
      <w:r>
        <w:t>8.2 Materialprüfung und Weiterentwicklung</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4" w:name="jahresplanung"/>
      <w:pPr>
        <w:pStyle w:val="Heading1"/>
        <w:pageBreakBefore/>
      </w:pPr>
      <w:r>
        <w:t>9 Sicherung der Kompetenzentwicklung</w:t>
      </w:r>
      <w:bookmarkEnd w:id="4"/>
    </w:p>
    <w:p>
      <w:pPr>
        <w:pStyle w:val="Heading2"/>
      </w:pPr>
      <w:r>
        <w:t>9.1 Zeitplanung der Unterrichtsvorhaben</w:t>
      </w:r>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pStyle w:val="Heading2"/>
      </w:pPr>
      <w:r>
        <w:t>9.2 Kompetenzsystem und Zuordnung</w:t>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pPr>
        <w:pStyle w:val="Heading1"/>
      </w:pPr>
      <w:bookmarkStart w:id="204" w:name="generisch"/>
      <w:r>
        <w:t>10 Vollständige übergeordnete Kompetenzen</w:t>
      </w:r>
      <w:bookmarkEnd w:id="204"/>
    </w:p>
    <w:p>
      <w:bookmarkStart w:id="60" w:name="kompetenzen_si1"/>
      <w:pPr>
        <w:pStyle w:val="Heading2"/>
        <w:pageBreakBefore/>
      </w:pPr>
      <w:r>
        <w:t>10.1 Sekundarstufe I bis zum Ende der ersten 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10.2 Sekundarstufe I bis zum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10.3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10.4 Qualifikationsphase in Grundkurs und Leistungskurs</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pPr>
        <w:pStyle w:val="Heading1"/>
      </w:pPr>
      <w:bookmarkStart w:id="205" w:name="register"/>
      <w:r>
        <w:t>11 Register der konkretisierten Kompetenzen</w:t>
      </w:r>
      <w:bookmarkEnd w:id="205"/>
    </w:p>
    <w:p>
      <w:bookmarkStart w:id="64" w:name="nachweis_si1"/>
      <w:pPr>
        <w:pStyle w:val="Heading2"/>
        <w:pageBreakBefore/>
      </w:pPr>
      <w:r>
        <w:t>11.1 Sekundarstufe I erste Stufe</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11.2 Sekundarstufe I zweite Stufe</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11.3 Einführungsphase</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11.4 Grundkurs</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11.5 Leistungskurs</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12 Quellen und Geltungsstand</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p>
      <w:bookmarkStart w:id="57" w:name="gkl"/>
      <w:pPr>
        <w:pStyle w:val="Heading1"/>
        <w:pageBreakBefore/>
      </w:pPr>
      <w:r>
        <w:t>13 Gleichwertige komplexe Leistungsnachweise: Aufgaben und Bewertungsraster</w:t>
      </w:r>
      <w:bookmarkEnd w:id="57"/>
    </w:p>
    <w:p>
      <w:pPr>
        <w:pStyle w:val="Heading2"/>
      </w:pPr>
      <w:r>
        <w:t>13.1 Einordnung und transparente Vereinbarungen</w:t>
      </w:r>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in Abschnitt 1.3 erläuterte Verbindung von Fachbildung und den vier K bildet den pädagogischen Rahmen dieser Prüfungsform.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2"/>
      </w:pPr>
      <w:r>
        <w:t>13.2 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2"/>
      </w:pPr>
      <w:r>
        <w:t>13.3 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2"/>
      </w:pPr>
      <w:r>
        <w:t>13.4 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bookmarkStart w:id="58" w:name="abitur5"/>
      <w:pPr>
        <w:pStyle w:val="Heading1"/>
        <w:pageBreakBefore/>
      </w:pPr>
      <w:r>
        <w:t>14 Vorbereitung auf das fünfte Abiturfach</w:t>
      </w:r>
      <w:bookmarkEnd w:id="58"/>
    </w:p>
    <w:p>
      <w:pPr>
        <w:pStyle w:val="Heading2"/>
      </w:pPr>
      <w:r>
        <w:t>14.1 Prüfungsformat und Geltungsbereich</w:t>
      </w:r>
    </w:p>
    <w:p>
      <w:pPr>
        <w:keepLines/>
      </w:pPr>
      <w:r>
        <w:t>Die neue Oberstufenordnung sieht für die betreffende Kohorte ein fünftes Abiturfach vor. Die Präsentationsprüfung beziehungsweise die Besondere Lernleistung wird nach den jeweiligen Wahl- und Prüfungsbedingungen vorbereitet. Physikunterricht und der naturwissenschaftliche Projektkurs bieten hierfür Möglichkeiten, Produkte zu entwickeln, Ergebnisse zu präsentieren und im Gespräch zu verteidigen. Die nachstehenden Aufgaben sind anpassbare Übungsrahmen; konkrete Prüfungsaufgaben müssen den amtlichen Anforderungen und dem tatsächlich erteilten Unterricht entsprechen.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pStyle w:val="Heading2"/>
      </w:pPr>
      <w:r>
        <w:t>14.2 Vorbereitung fachlicher Präsentationen</w:t>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p>
    <w:p>
      <w:pPr>
        <w:jc w:val="left"/>
      </w:pPr>
      <w:hyperlink r:id="rId15">
        <w:r>
          <w:rPr>
            <w:color w:val="17594E"/>
          </w:rPr>
          <w:t>APO-GOSt 2027 insbesondere §§ 32 bis 36</w:t>
        </w:r>
      </w:hyperlink>
    </w:p>
    <w:p>
      <w:bookmarkStart w:id="56" w:name="ki"/>
      <w:pPr>
        <w:pStyle w:val="Heading1"/>
        <w:pageBreakBefore/>
      </w:pPr>
      <w:r>
        <w:t>15 Mit KI lernen und Ergebnisse verantwortlich prüfen</w:t>
      </w:r>
      <w:bookmarkEnd w:id="56"/>
    </w:p>
    <w:p>
      <w:pPr>
        <w:pStyle w:val="Heading2"/>
      </w:pPr>
      <w:r>
        <w:t>15.1 Digitale Medien und fachliches Lernen</w:t>
      </w:r>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2"/>
      </w:pPr>
      <w:r>
        <w:t>15.2 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2"/>
      </w:pPr>
      <w:r>
        <w:t>15.3 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2"/>
      </w:pPr>
      <w:r>
        <w:t>15.4 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Aufgaben,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2"/>
      </w:pPr>
      <w:r>
        <w:t>15.5 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 maßgeblich bleibt ihre in Abschnitt 1.3 erläuterte Grundlage in Fachwissen, Sprachbildung und menschlicher Verantwortung.</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Arial" w:hAnsi="Arial"/>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Arial" w:hAnsi="Arial"/>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Arial" w:hAnsi="Arial"/>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Theme="majorHAnsi" w:eastAsiaTheme="majorEastAsia" w:hAnsiTheme="majorHAnsi" w:cstheme="majorBidi" w:ascii="Arial" w:hAnsi="Arial"/>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Theme="majorHAnsi" w:eastAsiaTheme="majorEastAsia" w:hAnsiTheme="majorHAnsi" w:cstheme="majorBidi" w:ascii="Arial" w:hAnsi="Arial"/>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Theme="majorHAnsi" w:eastAsiaTheme="majorEastAsia" w:hAnsiTheme="majorHAnsi" w:cstheme="majorBidi" w:ascii="Arial" w:hAnsi="Arial"/>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rFonts w:asciiTheme="majorHAnsi" w:eastAsiaTheme="majorEastAsia" w:hAnsiTheme="majorHAnsi" w:cstheme="majorBidi" w:ascii="Arial" w:hAnsi="Arial"/>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Arial" w:hAnsi="Arial"/>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Arial" w:hAnsi="Arial"/>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