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15 Vorbereitung auf das fünfte Abiturfach</w:t>
        </w:r>
      </w:hyperlink>
      <w:r>
        <w:tab/>
      </w:r>
      <w:fldSimple w:instr="PAGEREF fuenftes \h"/>
    </w:p>
    <w:p>
      <w:pPr>
        <w:keepNext/>
        <w:tabs>
          <w:tab w:pos="9074" w:val="right" w:leader="dot"/>
        </w:tabs>
        <w:suppressAutoHyphens w:val="1"/>
      </w:pPr>
      <w:r/>
      <w:hyperlink w:anchor="ki">
        <w:r>
          <w:rPr>
            <w:color w:val="174D72"/>
          </w:rPr>
          <w:t>16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15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16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15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16.</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15 Vorbereitung auf das fünfte Abiturfach</w:t>
      </w:r>
      <w:bookmarkEnd w:id="50"/>
    </w:p>
    <w:p>
      <w:pPr>
        <w:pStyle w:val="Heading2"/>
        <w:suppressAutoHyphens w:val="1"/>
      </w:pPr>
      <w:r>
        <w:t>15.1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15.2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15.3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15.4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15.5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15.6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15.7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15.8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15.9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15.10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16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16.1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16.2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16.3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16.4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16.5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16.6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16.7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