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5">
        <w:r>
          <w:rPr>
            <w:color w:val="17594E"/>
          </w:rPr>
          <w:t>15 Vorbereitung auf das fünfte Abiturfach</w:t>
        </w:r>
      </w:hyperlink>
    </w:p>
    <w:p>
      <w:pPr>
        <w:spacing w:after="220"/>
      </w:pPr>
      <w:hyperlink w:anchor="ki">
        <w:r>
          <w:rPr>
            <w:color w:val="17594E"/>
          </w:rPr>
          <w:t>16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16.</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15 Vorbereitung auf das fünfte Abiturfach</w:t>
      </w:r>
      <w:bookmarkEnd w:id="58"/>
    </w:p>
    <w:p>
      <w:pPr>
        <w:pStyle w:val="Heading2"/>
      </w:pPr>
      <w:r>
        <w:t>15.1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15.2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16 Mit KI lernen und Ergebnisse verantwortlich prüfen</w:t>
      </w:r>
      <w:bookmarkEnd w:id="56"/>
    </w:p>
    <w:p>
      <w:pPr>
        <w:pStyle w:val="Heading2"/>
      </w:pPr>
      <w:r>
        <w:t>16.1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16.2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16.3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16.4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16.5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