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rFonts w:ascii="Arial" w:hAnsi="Arial"/>
          <w:b/>
          <w:i w:val="0"/>
          <w:color w:val="000000"/>
          <w:sz w:val="36"/>
        </w:rPr>
        <w:t>Trust by Construction A Testable Architecture for Sovereign AI Agents in Education</w:t>
      </w:r>
    </w:p>
    <w:p>
      <w:pPr>
        <w:spacing w:after="200"/>
      </w:pPr>
      <w:r>
        <w:rPr>
          <w:rFonts w:ascii="Arial" w:hAnsi="Arial"/>
          <w:b w:val="0"/>
          <w:i/>
          <w:color w:val="000000"/>
          <w:sz w:val="22"/>
        </w:rPr>
        <w:t>Extended abstract for the UNU Macau AI Conference 2026</w:t>
      </w:r>
    </w:p>
    <w:tbl>
      <w:tblPr>
        <w:tblW w:type="auto" w:w="0"/>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1944"/>
        <w:gridCol w:w="7632"/>
      </w:tblGrid>
      <w:tr>
        <w:tc>
          <w:tcPr>
            <w:tcW w:type="dxa" w:w="1944"/>
            <w:vAlign w:val="center"/>
            <w:tcMar>
              <w:top w:w="100" w:type="dxa"/>
              <w:start w:w="120" w:type="dxa"/>
              <w:bottom w:w="100" w:type="dxa"/>
              <w:end w:w="120" w:type="dxa"/>
            </w:tcMar>
          </w:tcPr>
          <w:p>
            <w:r>
              <w:rPr>
                <w:rFonts w:ascii="Arial" w:hAnsi="Arial"/>
                <w:b/>
                <w:i w:val="0"/>
                <w:color w:val="000000"/>
                <w:sz w:val="18"/>
              </w:rPr>
              <w:t>Proposed panel</w:t>
            </w:r>
          </w:p>
        </w:tc>
        <w:tc>
          <w:tcPr>
            <w:tcW w:type="dxa" w:w="7632"/>
            <w:vAlign w:val="center"/>
            <w:tcMar>
              <w:top w:w="100" w:type="dxa"/>
              <w:start w:w="120" w:type="dxa"/>
              <w:bottom w:w="100" w:type="dxa"/>
              <w:end w:w="120" w:type="dxa"/>
            </w:tcMar>
          </w:tcPr>
          <w:p>
            <w:r>
              <w:rPr>
                <w:rFonts w:ascii="Arial" w:hAnsi="Arial"/>
                <w:b w:val="0"/>
                <w:i w:val="0"/>
                <w:color w:val="000000"/>
                <w:sz w:val="18"/>
              </w:rPr>
              <w:t>Agentic AI in the Loop From Autonomous Tools to Shared Capacity</w:t>
            </w:r>
          </w:p>
        </w:tc>
      </w:tr>
      <w:tr>
        <w:tc>
          <w:tcPr>
            <w:tcW w:type="dxa" w:w="1944"/>
            <w:vAlign w:val="center"/>
            <w:tcMar>
              <w:top w:w="100" w:type="dxa"/>
              <w:start w:w="120" w:type="dxa"/>
              <w:bottom w:w="100" w:type="dxa"/>
              <w:end w:w="120" w:type="dxa"/>
            </w:tcMar>
          </w:tcPr>
          <w:p>
            <w:r>
              <w:rPr>
                <w:rFonts w:ascii="Arial" w:hAnsi="Arial"/>
                <w:b/>
                <w:i w:val="0"/>
                <w:color w:val="000000"/>
                <w:sz w:val="18"/>
              </w:rPr>
              <w:t>Keywords</w:t>
            </w:r>
          </w:p>
        </w:tc>
        <w:tc>
          <w:tcPr>
            <w:tcW w:type="dxa" w:w="7632"/>
            <w:vAlign w:val="center"/>
            <w:tcMar>
              <w:top w:w="100" w:type="dxa"/>
              <w:start w:w="120" w:type="dxa"/>
              <w:bottom w:w="100" w:type="dxa"/>
              <w:end w:w="120" w:type="dxa"/>
            </w:tcMar>
          </w:tcPr>
          <w:p>
            <w:r>
              <w:rPr>
                <w:rFonts w:ascii="Arial" w:hAnsi="Arial"/>
                <w:b w:val="0"/>
                <w:i w:val="0"/>
                <w:color w:val="000000"/>
                <w:sz w:val="18"/>
              </w:rPr>
              <w:t>agentic AI, education, institutional sovereignty, fail secure architecture, human oversight, reproducibility, digital public goods</w:t>
            </w:r>
          </w:p>
        </w:tc>
      </w:tr>
      <w:tr>
        <w:tc>
          <w:tcPr>
            <w:tcW w:type="dxa" w:w="1944"/>
            <w:vAlign w:val="center"/>
            <w:tcMar>
              <w:top w:w="100" w:type="dxa"/>
              <w:start w:w="120" w:type="dxa"/>
              <w:bottom w:w="100" w:type="dxa"/>
              <w:end w:w="120" w:type="dxa"/>
            </w:tcMar>
          </w:tcPr>
          <w:p>
            <w:r>
              <w:rPr>
                <w:rFonts w:ascii="Arial" w:hAnsi="Arial"/>
                <w:b/>
                <w:i w:val="0"/>
                <w:color w:val="000000"/>
                <w:sz w:val="18"/>
              </w:rPr>
              <w:t>Companion repository</w:t>
            </w:r>
          </w:p>
        </w:tc>
        <w:tc>
          <w:tcPr>
            <w:tcW w:type="dxa" w:w="7632"/>
            <w:vAlign w:val="center"/>
            <w:tcMar>
              <w:top w:w="100" w:type="dxa"/>
              <w:start w:w="120" w:type="dxa"/>
              <w:bottom w:w="100" w:type="dxa"/>
              <w:end w:w="120" w:type="dxa"/>
            </w:tcMar>
          </w:tcPr>
          <w:p>
            <w:r>
              <w:rPr>
                <w:rFonts w:ascii="Arial" w:hAnsi="Arial"/>
                <w:b w:val="0"/>
                <w:i w:val="0"/>
                <w:color w:val="000000"/>
                <w:sz w:val="18"/>
              </w:rPr>
              <w:t>https://github.com/genaiworks/fssai-ra</w:t>
            </w:r>
          </w:p>
        </w:tc>
      </w:tr>
    </w:tbl>
    <w:p>
      <w:pPr>
        <w:spacing w:after="0"/>
      </w:pPr>
    </w:p>
    <w:p>
      <w:pPr>
        <w:pStyle w:val="Heading1"/>
      </w:pPr>
      <w:r>
        <w:t>Introduction</w:t>
      </w:r>
    </w:p>
    <w:p>
      <w:pPr>
        <w:pStyle w:val="Sectionnote"/>
      </w:pPr>
      <w:r>
        <w:rPr>
          <w:rFonts w:ascii="Arial" w:hAnsi="Arial"/>
          <w:b w:val="0"/>
          <w:i/>
          <w:color w:val="000000"/>
          <w:sz w:val="18"/>
        </w:rPr>
        <w:t>Official limit 200 to 250 words  |  Draft count 218 words</w:t>
      </w:r>
    </w:p>
    <w:p>
      <w:pPr>
        <w:widowControl/>
      </w:pPr>
      <w:r>
        <w:rPr>
          <w:rFonts w:ascii="Arial" w:hAnsi="Arial"/>
          <w:b w:val="0"/>
          <w:i w:val="0"/>
          <w:color w:val="000000"/>
          <w:sz w:val="21"/>
        </w:rPr>
        <w:t>An AI agent helping a university process student support applications may read confidential records, interpret eligibility guidance, draft recommendations, and invoke administrative tools. A malicious instruction in an uploaded document could redirect this workflow; an inaccurate recommendation could also harm a student without any attacker. The institutional question is therefore not only whether the model is trustworthy. It is what the system allows the model to do when it is wrong or compromised, what evidence survives, and how a person can challenge the outcome.</w:t>
      </w:r>
    </w:p>
    <w:p>
      <w:pPr>
        <w:widowControl/>
      </w:pPr>
      <w:r>
        <w:rPr>
          <w:rFonts w:ascii="Arial" w:hAnsi="Arial"/>
          <w:b w:val="0"/>
          <w:i w:val="0"/>
          <w:color w:val="000000"/>
          <w:sz w:val="21"/>
        </w:rPr>
        <w:t>This contribution presents Trust by Construction, a fail secure reference architecture for sovereign agentic AI in education. Sovereignty is defined as an institution's effective control over data access, deployment, keys, policy, operational evidence, and provider exit, rather than local hosting alone. Fail secure means that uncertainty or failure in a required authorization control stops a consequential automated action while a governed manual route preserves access to service.</w:t>
      </w:r>
    </w:p>
    <w:p>
      <w:pPr>
        <w:widowControl/>
      </w:pPr>
      <w:r>
        <w:rPr>
          <w:rFonts w:ascii="Arial" w:hAnsi="Arial"/>
          <w:b w:val="0"/>
          <w:i w:val="0"/>
          <w:color w:val="000000"/>
          <w:sz w:val="21"/>
        </w:rPr>
        <w:t>The original contribution is an executable control contract that connects each governance requirement to seven elements: a protected asset, permitted operation, independent enforcement point, accountable owner, failure test, evidence artifact, and recovery response. Using a synthetic student support workflow and an Apache 2.0 companion repository, the work asks whether this portable contract can contain specified agent failures while preserving useful assistance, review, correction, and institutional learning.</w:t>
      </w:r>
    </w:p>
    <w:p>
      <w:pPr>
        <w:pStyle w:val="Heading1"/>
      </w:pPr>
      <w:r>
        <w:t>Development Section 1 Methodology Core Argument and Case Context</w:t>
      </w:r>
    </w:p>
    <w:p>
      <w:pPr>
        <w:pStyle w:val="Sectionnote"/>
      </w:pPr>
      <w:r>
        <w:rPr>
          <w:rFonts w:ascii="Arial" w:hAnsi="Arial"/>
          <w:b w:val="0"/>
          <w:i/>
          <w:color w:val="000000"/>
          <w:sz w:val="18"/>
        </w:rPr>
        <w:t>Official limit 550 to 650 words  |  Draft count 646 words</w:t>
      </w:r>
    </w:p>
    <w:p>
      <w:pPr>
        <w:widowControl/>
      </w:pPr>
      <w:r>
        <w:rPr>
          <w:rFonts w:ascii="Arial" w:hAnsi="Arial"/>
          <w:b w:val="0"/>
          <w:i w:val="0"/>
          <w:color w:val="000000"/>
          <w:sz w:val="21"/>
        </w:rPr>
        <w:t>The method combines established zero trust and AI risk guidance with an education specific workflow, explicit threat assumptions, and executable tests. NIST zero trust architecture rejects implicit trust based on network location and emphasizes authorization around resources (Rose et al., 2020). The NIST Generative AI Profile and OWASP agentic guidance identify risks involving content, tools, identities, goals, and system dependencies (National Institute of Standards and Technology, 2024; OWASP GenAI Security Project, 2025). The emerging OWASP Agent Control Standard provides portable runtime control hooks (OWASP GenAI Security Project, 2026). Trust by Construction does not claim to invent these controls. Its contribution is to integrate governance, enforcement, evidence, recovery, and teaching in a form that institutions can inspect and falsify. Sovereignty becomes operational only when an authority boundary can be named, exercised, failed, and independently evidenced, not merely asserted through hosting location, policy language, or vendor assurance.</w:t>
      </w:r>
    </w:p>
    <w:p>
      <w:pPr>
        <w:widowControl/>
      </w:pPr>
      <w:r>
        <w:rPr>
          <w:rFonts w:ascii="Arial" w:hAnsi="Arial"/>
          <w:b w:val="0"/>
          <w:i w:val="0"/>
          <w:color w:val="000000"/>
          <w:sz w:val="21"/>
        </w:rPr>
        <w:t>The illustrative case is deliberately bounded. A student submits synthetic supporting documents. An agent may retrieve records for its assigned case, assemble source passages, and propose moving that case from draft to ready for officer review. It cannot approve an award, broaden its access, delete evidence, or hold the credential used to update the case register. A named officer retains consequential authority, and the student retains an understandable explanation and a route to correction or appeal. The institution remains responsible for eligibility policy, discrimination risks, accessibility, and service quality; the presence of a human approval button does not establish fairness.</w:t>
      </w:r>
    </w:p>
    <w:p>
      <w:pPr>
        <w:widowControl/>
      </w:pPr>
      <w:r>
        <w:rPr>
          <w:rFonts w:ascii="Arial" w:hAnsi="Arial"/>
          <w:b w:val="0"/>
          <w:i w:val="0"/>
          <w:color w:val="000000"/>
          <w:sz w:val="21"/>
        </w:rPr>
        <w:t>Five functional domains organize the architecture. Controlled import places external documents and updates in quarantine, verifies provenance where available, constrains parsing, and records release. A hardware one way gateway can strengthen directional assurance on a sensitive import link, but it does not make text truthful, remove ordinary language prompt injection, or close maintenance, telemetry, operator, and authorized output paths. Traceable transport assigns stable identifiers and documented ordering scopes, supports replay, and makes missing, duplicate, or out of order events explicit. Reconstructable evidence retains the records, transformations, retrieval configuration, exact passages, model artifact identity, recorded input and output, and policy version used for a decision. A signed manifest identifies retained bytes; it cannot restore deleted data, and exact regeneration of nondeterministic model text is not promised.</w:t>
      </w:r>
    </w:p>
    <w:p>
      <w:pPr>
        <w:widowControl/>
      </w:pPr>
      <w:r>
        <w:rPr>
          <w:rFonts w:ascii="Arial" w:hAnsi="Arial"/>
          <w:b w:val="0"/>
          <w:i w:val="0"/>
          <w:color w:val="000000"/>
          <w:sz w:val="21"/>
        </w:rPr>
        <w:t>Bounded assistance gives each agent a case scoped identity, restricted tools, field level retrieval controls, and resource limits. Untrusted content never supplies access labels, approval status, or tool permissions. Accountable action separates proposal from authority. The executor, not the model, holds the write credential. Human approval is bound to a canonical digest covering the operation, target, arguments, evidence version, authoritative case version, audience, and expiry. The executor rechecks current state, rejects altered or stale proposals, records durable intent before mutation, and uses idempotency and reconciliation for interrupted outcomes. Evidence custody is separated from the agent, while an independent verifier checks continuity. These are functional responsibilities, not a mandatory vendor stack.</w:t>
      </w:r>
    </w:p>
    <w:p>
      <w:pPr>
        <w:widowControl/>
      </w:pPr>
      <w:r>
        <w:rPr>
          <w:rFonts w:ascii="Arial" w:hAnsi="Arial"/>
          <w:b w:val="0"/>
          <w:i w:val="0"/>
          <w:color w:val="000000"/>
          <w:sz w:val="21"/>
        </w:rPr>
        <w:t>The open teaching profile implements the contract with synthetic records and in memory components. A validated application profile converts permitted operations, state transitions, approval roles, and manual fallback into executor checks; a template lets health, benefits, or justice teams substitute domain language without weakening the method silently. Optional adapters illustrate how teams can evaluate Kafka, Spark, Iceberg, or a local model against the same properties. Separate containers on one shared host demonstrate logical separation only. A compromised host administrator, signing authority, or colluding control owners remains outside the teaching profile's containment claim.</w:t>
      </w:r>
    </w:p>
    <w:p>
      <w:pPr>
        <w:widowControl/>
      </w:pPr>
      <w:r>
        <w:rPr>
          <w:rFonts w:ascii="Arial" w:hAnsi="Arial"/>
          <w:b w:val="0"/>
          <w:i w:val="0"/>
          <w:color w:val="000000"/>
          <w:sz w:val="21"/>
        </w:rPr>
        <w:t>Sovereignty is assessed as a set of verifiable capabilities rather than a location label. An institution should be able to identify every operator who can access plaintext, administer its own identities and keys, retain decision evidence under its rules, continue essential service during provider failure, and replace a model or infrastructure provider without losing records or policy control. Physical isolation can strengthen one capability, but ownership of hardware alone does not satisfy the others.</w:t>
      </w:r>
    </w:p>
    <w:p>
      <w:pPr>
        <w:pStyle w:val="Heading1"/>
      </w:pPr>
      <w:r>
        <w:t>Development Section 2 Results Analysis and Impact</w:t>
      </w:r>
    </w:p>
    <w:p>
      <w:pPr>
        <w:pStyle w:val="Sectionnote"/>
      </w:pPr>
      <w:r>
        <w:rPr>
          <w:rFonts w:ascii="Arial" w:hAnsi="Arial"/>
          <w:b w:val="0"/>
          <w:i/>
          <w:color w:val="000000"/>
          <w:sz w:val="18"/>
        </w:rPr>
        <w:t>Official limit 550 to 650 words  |  Draft count 603 words</w:t>
      </w:r>
    </w:p>
    <w:p>
      <w:pPr>
        <w:widowControl/>
      </w:pPr>
      <w:r>
        <w:rPr>
          <w:rFonts w:ascii="Arial" w:hAnsi="Arial"/>
          <w:b w:val="0"/>
          <w:i w:val="0"/>
          <w:color w:val="000000"/>
          <w:sz w:val="21"/>
        </w:rPr>
        <w:t>At submission, the artifact is a runnable teaching profile and evaluation method, not a production deployment or security certification. In a verified local run on 10 September 2026, all thirty two deterministic contract, adversarial, ablation, profile, recovery, and exact action tests passed. A machine readable report separately recorded containment in eight of eight declared exact action scenarios: valid execution and idempotent retry; altered target and arguments; expired approval; forged reviewer identity; an unallowlisted operation; a profile forbidden transition; and interrupted outcome evidence. The six denial scenarios produced zero unauthorized mutations. The valid retry produced one mutation and one receipt. The interruption produced one mutation, an explicit uncertain status, and one reconciled outcome without duplication. These are fixture observations in a synthetic in memory environment, not estimated security probabilities.</w:t>
      </w:r>
    </w:p>
    <w:p>
      <w:pPr>
        <w:widowControl/>
      </w:pPr>
      <w:r>
        <w:rPr>
          <w:rFonts w:ascii="Arial" w:hAnsi="Arial"/>
          <w:b w:val="0"/>
          <w:i w:val="0"/>
          <w:color w:val="000000"/>
          <w:sz w:val="21"/>
        </w:rPr>
        <w:t>The broader evaluation protocol compares three configurations using identical synthetic tasks and starting state: model instructions with broad tools inside a sandbox, the complete declared control configuration, and variants that remove one control at a time. Deterministic malicious requests test enforcement independently of whether a live model happens to follow an attack; separate stochastic trials measure model behavior. Wider scenarios include hostile instructions in retrieved documents, poisoned guidance, unauthorized tool requests, substitution of an unapproved model artifact, attempted evidence modification, policy outage, and executor crashes around an external action. The current pending outcome store is intentionally in memory; production requires a durable outbox committed atomically with the authoritative mutation. A benign set measures whether legitimate assistance remains usable.</w:t>
      </w:r>
    </w:p>
    <w:p>
      <w:pPr>
        <w:widowControl/>
      </w:pPr>
      <w:r>
        <w:rPr>
          <w:rFonts w:ascii="Arial" w:hAnsi="Arial"/>
          <w:b w:val="0"/>
          <w:i w:val="0"/>
          <w:color w:val="000000"/>
          <w:sz w:val="21"/>
        </w:rPr>
        <w:t>For each scenario, evaluation traces the initiating threat, enforcement decision, containment boundary, observable evidence, recovery step, and responsible actor. Primary measures are unauthorized actions completed per attempt, protected canary records disclosed per attempt, legitimate tasks completed, false denials, reconstructable evidence bundles, and unresolved interrupted outcomes. Operational measures include approval delay, reviewer effort, recovery time, and resource consumption. Reviewer exercises test whether staff detect plausible but unsupported recommendations and whether an appeal route produces a usable correction. Results will report denominators, configurations, uncertainty, exclusions, and failures rather than a single security score. Zero observed violations will never be described as zero risk.</w:t>
      </w:r>
    </w:p>
    <w:p>
      <w:pPr>
        <w:widowControl/>
      </w:pPr>
      <w:r>
        <w:rPr>
          <w:rFonts w:ascii="Arial" w:hAnsi="Arial"/>
          <w:b w:val="0"/>
          <w:i w:val="0"/>
          <w:color w:val="000000"/>
          <w:sz w:val="21"/>
        </w:rPr>
        <w:t>The impact is both practical and educational. For AI for Learning, the approach supports administrative assistance while keeping high impact authority, evidence, and appeal institutionally governed. For Learning for AI, the repository becomes a laboratory: participants identify a trust boundary, attempt a violation, inspect the resulting evidence, remove a control, and recover the service. This advances human agency and critical evaluation emphasized by UNESCO's AI Competency Framework for Teachers (Miao &amp; Cukurova, 2024). Shared tests can build capacity without sharing student data.</w:t>
      </w:r>
    </w:p>
    <w:p>
      <w:pPr>
        <w:widowControl/>
      </w:pPr>
      <w:r>
        <w:rPr>
          <w:rFonts w:ascii="Arial" w:hAnsi="Arial"/>
          <w:b w:val="0"/>
          <w:i w:val="0"/>
          <w:color w:val="000000"/>
          <w:sz w:val="21"/>
        </w:rPr>
        <w:t>The release is designed for extension rather than imitation. Contributors begin with one consequential action, write the seven field control contract, implement the enforcement point, add an attack test and a benign test, name the recovery owner, and disclose the assurance profile. A health, benefits, or justice team can replace the educational policy while retaining the method. Teaching, institutional pilot, and hardware isolated profiles carry distinct release gates, preventing a laptop demonstration from being marketed as sovereign production infrastructure. This supports the Global Digital Compact's commitments to digital public goods, capacity building, and interoperable governance while preserving national and institutional choice (United Nations, 2024).</w:t>
      </w:r>
    </w:p>
    <w:p>
      <w:pPr>
        <w:widowControl/>
      </w:pPr>
      <w:r>
        <w:rPr>
          <w:rFonts w:ascii="Arial" w:hAnsi="Arial"/>
          <w:b w:val="0"/>
          <w:i w:val="0"/>
          <w:color w:val="000000"/>
          <w:sz w:val="21"/>
        </w:rPr>
        <w:t>Adoption follows a staged path. Institutions first select one bounded workflow, appoint a service owner, document the manual fallback, and validate local language, accessibility, and record retention requirements. They then measure reviewer workload and student outcomes before expanding autonomy. This sequencing is especially important for resource constrained institutions: right sized local components may reduce recurring dependency, but cost, energy, maintenance, and skills must be measured rather than assumed from deployment location.</w:t>
      </w:r>
    </w:p>
    <w:p>
      <w:pPr>
        <w:pStyle w:val="Heading1"/>
      </w:pPr>
      <w:r>
        <w:t>Conclusion</w:t>
      </w:r>
    </w:p>
    <w:p>
      <w:pPr>
        <w:pStyle w:val="Sectionnote"/>
      </w:pPr>
      <w:r>
        <w:rPr>
          <w:rFonts w:ascii="Arial" w:hAnsi="Arial"/>
          <w:b w:val="0"/>
          <w:i/>
          <w:color w:val="000000"/>
          <w:sz w:val="18"/>
        </w:rPr>
        <w:t>Official limit 200 to 250 words  |  Draft count 229 words</w:t>
      </w:r>
    </w:p>
    <w:p>
      <w:pPr>
        <w:widowControl/>
      </w:pPr>
      <w:r>
        <w:rPr>
          <w:rFonts w:ascii="Arial" w:hAnsi="Arial"/>
          <w:b w:val="0"/>
          <w:i w:val="0"/>
          <w:color w:val="000000"/>
          <w:sz w:val="21"/>
        </w:rPr>
        <w:t>Trustworthy agentic AI cannot rest on model behavior, certifications, encryption, or human review in isolation. For a consequential workflow, the institution must be able to show where authority resides, which action the approval covers, what happens when a control fails, which evidence survives, and who restores service. Trust by Construction turns those questions into a portable, testable control contract.</w:t>
      </w:r>
    </w:p>
    <w:p>
      <w:pPr>
        <w:widowControl/>
      </w:pPr>
      <w:r>
        <w:rPr>
          <w:rFonts w:ascii="Arial" w:hAnsi="Arial"/>
          <w:b w:val="0"/>
          <w:i w:val="0"/>
          <w:color w:val="000000"/>
          <w:sz w:val="21"/>
        </w:rPr>
        <w:t>The student support case demonstrates the central rule: an agent may assemble evidence and propose an action, but it cannot convert its own recommendation into institutional authority. A changed proposal requires renewed review. An unavailable authorization service pauses automation. A durable evidence bundle supports investigation, correction, and appeal. These controls contain specified failure paths; they do not guarantee accurate, fair, or beneficial decisions, and they do not erase the need for domain policy, trained reviewers, accessibility, and redress.</w:t>
      </w:r>
    </w:p>
    <w:p>
      <w:pPr>
        <w:widowControl/>
      </w:pPr>
      <w:r>
        <w:rPr>
          <w:rFonts w:ascii="Arial" w:hAnsi="Arial"/>
          <w:b w:val="0"/>
          <w:i w:val="0"/>
          <w:color w:val="000000"/>
          <w:sz w:val="21"/>
        </w:rPr>
        <w:t>The next phase will expand fault injection, stochastic attack trials, reviewer studies, deployment boundary tests, and measured cost and energy reporting. Independent contributors can extend the Apache 2.0 repository at https://github.com/genaiworks/fssai-ra by adding application profiles, domain contracts, adapters, attacks, benign cases, and recovery procedures, then publish comparable JSON results. The practical challenge to every adopting institution is simple: for each consequential agent capability, identify the independent authorization boundary, run a failure test against the real side effect, retain reconstructable evidence, and name the person accountable for recovery.</w:t>
      </w:r>
    </w:p>
    <w:p>
      <w:pPr>
        <w:pStyle w:val="Heading1"/>
      </w:pPr>
      <w:r>
        <w:t>References</w:t>
      </w:r>
    </w:p>
    <w:p>
      <w:pPr>
        <w:spacing w:after="100"/>
        <w:ind w:left="317" w:hanging="317"/>
      </w:pPr>
      <w:r>
        <w:rPr>
          <w:rFonts w:ascii="Arial" w:hAnsi="Arial"/>
          <w:b w:val="0"/>
          <w:i w:val="0"/>
          <w:color w:val="000000"/>
          <w:sz w:val="18"/>
        </w:rPr>
        <w:t>National Institute of Standards and Technology. (2024). Artificial Intelligence Risk Management Framework Generative Artificial Intelligence Profile (NIST AI 600-1). https://doi.org/10.6028/NIST.AI.600-1</w:t>
      </w:r>
    </w:p>
    <w:p>
      <w:pPr>
        <w:spacing w:after="100"/>
        <w:ind w:left="317" w:hanging="317"/>
      </w:pPr>
      <w:r>
        <w:rPr>
          <w:rFonts w:ascii="Arial" w:hAnsi="Arial"/>
          <w:b w:val="0"/>
          <w:i w:val="0"/>
          <w:color w:val="000000"/>
          <w:sz w:val="18"/>
        </w:rPr>
        <w:t>Miao, F., &amp; Cukurova, M. (2024). AI competency framework for teachers. UNESCO. https://unesdoc.unesco.org/ark:/48223/pf0000391104</w:t>
      </w:r>
    </w:p>
    <w:p>
      <w:pPr>
        <w:spacing w:after="100"/>
        <w:ind w:left="317" w:hanging="317"/>
      </w:pPr>
      <w:r>
        <w:rPr>
          <w:rFonts w:ascii="Arial" w:hAnsi="Arial"/>
          <w:b w:val="0"/>
          <w:i w:val="0"/>
          <w:color w:val="000000"/>
          <w:sz w:val="18"/>
        </w:rPr>
        <w:t>OWASP GenAI Security Project. (2025). OWASP Top 10 for agentic applications 2026. https://genai.owasp.org/resource/owasp-top-10-for-agentic-applications-for-2026/</w:t>
      </w:r>
    </w:p>
    <w:p>
      <w:pPr>
        <w:spacing w:after="100"/>
        <w:ind w:left="317" w:hanging="317"/>
      </w:pPr>
      <w:r>
        <w:rPr>
          <w:rFonts w:ascii="Arial" w:hAnsi="Arial"/>
          <w:b w:val="0"/>
          <w:i w:val="0"/>
          <w:color w:val="000000"/>
          <w:sz w:val="18"/>
        </w:rPr>
        <w:t>OWASP GenAI Security Project. (2026). Agent Control Standard. https://genai.owasp.org/resource/agent-control-standard-acs/</w:t>
      </w:r>
    </w:p>
    <w:p>
      <w:pPr>
        <w:spacing w:after="100"/>
        <w:ind w:left="317" w:hanging="317"/>
      </w:pPr>
      <w:r>
        <w:rPr>
          <w:rFonts w:ascii="Arial" w:hAnsi="Arial"/>
          <w:b w:val="0"/>
          <w:i w:val="0"/>
          <w:color w:val="000000"/>
          <w:sz w:val="18"/>
        </w:rPr>
        <w:t>Rose, S., Borchert, O., Mitchell, S., &amp; Connelly, S. (2020). Zero Trust Architecture (NIST SP 800-207). National Institute of Standards and Technology. https://doi.org/10.6028/NIST.SP.800-207</w:t>
      </w:r>
    </w:p>
    <w:p>
      <w:pPr>
        <w:spacing w:after="100"/>
        <w:ind w:left="317" w:hanging="317"/>
      </w:pPr>
      <w:r>
        <w:rPr>
          <w:rFonts w:ascii="Arial" w:hAnsi="Arial"/>
          <w:b w:val="0"/>
          <w:i w:val="0"/>
          <w:color w:val="000000"/>
          <w:sz w:val="18"/>
        </w:rPr>
        <w:t>United Nations. (2024). Global Digital Compact. https://www.un.org/pact-for-the-future/en/annex-i-global-digital-compact</w:t>
      </w:r>
    </w:p>
    <w:p>
      <w:pPr>
        <w:pStyle w:val="Heading1"/>
      </w:pPr>
      <w:r>
        <w:t>Submission identity fields</w:t>
      </w:r>
    </w:p>
    <w:p>
      <w:pPr>
        <w:pStyle w:val="ListBullet"/>
      </w:pPr>
      <w:r>
        <w:rPr>
          <w:rFonts w:ascii="Arial" w:hAnsi="Arial"/>
          <w:b w:val="0"/>
          <w:i w:val="0"/>
          <w:color w:val="000000"/>
          <w:sz w:val="20"/>
        </w:rPr>
        <w:t>Author name: [Confirm full programme name]</w:t>
      </w:r>
    </w:p>
    <w:p>
      <w:pPr>
        <w:pStyle w:val="ListBullet"/>
      </w:pPr>
      <w:r>
        <w:rPr>
          <w:rFonts w:ascii="Arial" w:hAnsi="Arial"/>
          <w:b w:val="0"/>
          <w:i w:val="0"/>
          <w:color w:val="000000"/>
          <w:sz w:val="20"/>
        </w:rPr>
        <w:t>Institutional affiliation: [Confirm]</w:t>
      </w:r>
    </w:p>
    <w:p>
      <w:pPr>
        <w:pStyle w:val="ListBullet"/>
      </w:pPr>
      <w:r>
        <w:rPr>
          <w:rFonts w:ascii="Arial" w:hAnsi="Arial"/>
          <w:b w:val="0"/>
          <w:i w:val="0"/>
          <w:color w:val="000000"/>
          <w:sz w:val="20"/>
        </w:rPr>
        <w:t>Email address: [Confirm]</w:t>
      </w:r>
    </w:p>
    <w:p>
      <w:pPr>
        <w:pStyle w:val="ListBullet"/>
      </w:pPr>
      <w:r>
        <w:rPr>
          <w:rFonts w:ascii="Arial" w:hAnsi="Arial"/>
          <w:b w:val="0"/>
          <w:i w:val="0"/>
          <w:color w:val="000000"/>
          <w:sz w:val="20"/>
        </w:rPr>
        <w:t>Professional role or title: [Confirm]</w:t>
      </w:r>
    </w:p>
    <w:sectPr w:rsidR="00FC693F" w:rsidRPr="0006063C" w:rsidSect="00034616">
      <w:pgSz w:w="12240" w:h="15840"/>
      <w:pgMar w:top="1123" w:right="1267" w:bottom="1123" w:left="12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3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b/>
      <w:bCs/>
      <w:color w:val="000000"/>
      <w:sz w:val="27"/>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rial" w:hAnsi="Arial"/>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ectionnote">
    <w:name w:val="Section note"/>
    <w:pPr>
      <w:keepNext/>
      <w:spacing w:after="100"/>
    </w:pPr>
    <w:rPr>
      <w:rFonts w:ascii="Arial" w:hAnsi="Arial"/>
      <w:i/>
      <w:color w:val="464646"/>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Trust by Construction A Testable Architecture for Sovereign AI Agents in Education</dc:title>
  <dc:subject>Extended abstract for UNU Macau AI Conference 2026</dc:subject>
  <dc:creator/>
  <cp:keywords>agentic AI; education; sovereignty; authorization; reproducibility</cp:keywords>
  <dc:description>generated by python-docx</dc:description>
  <cp:lastModifiedBy/>
  <cp:revision>1</cp:revision>
  <dcterms:created xsi:type="dcterms:W3CDTF">2013-12-23T23:15:00Z</dcterms:created>
  <dcterms:modified xsi:type="dcterms:W3CDTF">2013-12-23T23:15:00Z</dcterms:modified>
  <cp:category/>
</cp:coreProperties>
</file>