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From Model Literacy to System Literacy: A Cross-Sector Authority Kernel for Agentic AI</w:t>
      </w:r>
    </w:p>
    <w:p>
      <w:pPr>
        <w:spacing w:after="200"/>
      </w:pPr>
      <w:r>
        <w:rPr>
          <w:rFonts w:ascii="Arial" w:hAnsi="Arial"/>
          <w:b w:val="0"/>
          <w:i/>
          <w:color w:val="000000"/>
          <w:sz w:val="22"/>
        </w:rPr>
        <w:t>Extended abstract for the UNU Macau AI Conference 2026</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7632"/>
      </w:tblGrid>
      <w:tr>
        <w:tc>
          <w:tcPr>
            <w:tcW w:type="dxa" w:w="1944"/>
            <w:vAlign w:val="center"/>
            <w:tcMar>
              <w:top w:w="100" w:type="dxa"/>
              <w:start w:w="120" w:type="dxa"/>
              <w:bottom w:w="100" w:type="dxa"/>
              <w:end w:w="120" w:type="dxa"/>
            </w:tcMar>
          </w:tcPr>
          <w:p>
            <w:r>
              <w:rPr>
                <w:rFonts w:ascii="Arial" w:hAnsi="Arial"/>
                <w:b/>
                <w:i w:val="0"/>
                <w:color w:val="000000"/>
                <w:sz w:val="18"/>
              </w:rPr>
              <w:t>Proposed panel</w:t>
            </w:r>
          </w:p>
        </w:tc>
        <w:tc>
          <w:tcPr>
            <w:tcW w:type="dxa" w:w="7632"/>
            <w:vAlign w:val="center"/>
            <w:tcMar>
              <w:top w:w="100" w:type="dxa"/>
              <w:start w:w="120" w:type="dxa"/>
              <w:bottom w:w="100" w:type="dxa"/>
              <w:end w:w="120" w:type="dxa"/>
            </w:tcMar>
          </w:tcPr>
          <w:p>
            <w:r>
              <w:t>Agentic AI in the Loop - From Autonomous Tools to Shared Capacity</w:t>
            </w:r>
          </w:p>
        </w:tc>
      </w:tr>
      <w:tr>
        <w:tc>
          <w:tcPr>
            <w:tcW w:type="dxa" w:w="1944"/>
            <w:vAlign w:val="center"/>
            <w:tcMar>
              <w:top w:w="100" w:type="dxa"/>
              <w:start w:w="120" w:type="dxa"/>
              <w:bottom w:w="100" w:type="dxa"/>
              <w:end w:w="120" w:type="dxa"/>
            </w:tcMar>
          </w:tcPr>
          <w:p>
            <w:r>
              <w:rPr>
                <w:rFonts w:ascii="Arial" w:hAnsi="Arial"/>
                <w:b/>
                <w:i w:val="0"/>
                <w:color w:val="000000"/>
                <w:sz w:val="18"/>
              </w:rPr>
              <w:t>Keywords</w:t>
            </w:r>
          </w:p>
        </w:tc>
        <w:tc>
          <w:tcPr>
            <w:tcW w:type="dxa" w:w="7632"/>
            <w:vAlign w:val="center"/>
            <w:tcMar>
              <w:top w:w="100" w:type="dxa"/>
              <w:start w:w="120" w:type="dxa"/>
              <w:bottom w:w="100" w:type="dxa"/>
              <w:end w:w="120" w:type="dxa"/>
            </w:tcMar>
          </w:tcPr>
          <w:p>
            <w:r>
              <w:t>agentic AI; system literacy; secure data governance; institutional sovereignty; fail-secure architecture; human oversight; verifiable governance; digital public goods</w:t>
            </w:r>
          </w:p>
        </w:tc>
      </w:tr>
      <w:tr>
        <w:tc>
          <w:tcPr>
            <w:tcW w:type="dxa" w:w="1944"/>
            <w:vAlign w:val="center"/>
            <w:tcMar>
              <w:top w:w="100" w:type="dxa"/>
              <w:start w:w="120" w:type="dxa"/>
              <w:bottom w:w="100" w:type="dxa"/>
              <w:end w:w="120" w:type="dxa"/>
            </w:tcMar>
          </w:tcPr>
          <w:p>
            <w:r>
              <w:rPr>
                <w:rFonts w:ascii="Arial" w:hAnsi="Arial"/>
                <w:b/>
                <w:i w:val="0"/>
                <w:color w:val="000000"/>
                <w:sz w:val="18"/>
              </w:rPr>
              <w:t>Reference implementation</w:t>
            </w:r>
          </w:p>
        </w:tc>
        <w:tc>
          <w:tcPr>
            <w:tcW w:type="dxa" w:w="7632"/>
            <w:vAlign w:val="center"/>
            <w:tcMar>
              <w:top w:w="100" w:type="dxa"/>
              <w:start w:w="120" w:type="dxa"/>
              <w:bottom w:w="100" w:type="dxa"/>
              <w:end w:w="120" w:type="dxa"/>
            </w:tcMar>
          </w:tcPr>
          <w:p>
            <w:r>
              <w:t>https://github.com/genaiworks/fssai-ra (release v1.0.0 for baseline figures, plus current-source supplements; record the reviewed commit at submission)</w:t>
            </w:r>
          </w:p>
        </w:tc>
      </w:tr>
    </w:tbl>
    <w:p>
      <w:pPr>
        <w:spacing w:after="0"/>
      </w:pPr>
    </w:p>
    <w:p>
      <w:pPr>
        <w:pStyle w:val="Heading1"/>
      </w:pPr>
      <w:r>
        <w:t>Introduction</w:t>
      </w:r>
    </w:p>
    <w:p>
      <w:pPr>
        <w:pStyle w:val="Sectionnote"/>
      </w:pPr>
      <w:r>
        <w:t>Official limit 200 to 250 words  |  Draft count 227 words</w:t>
      </w:r>
    </w:p>
    <w:p>
      <w:pPr/>
      <w:r>
        <w:t>A student's support application is refused. She asks who decided, what they saw, and how to contest it. The same questions follow a patient's record disclosure or a corporate data release. An agent or hidden instruction can be wrong. To the affected person the result is the same: an outcome, and no way back in.</w:t>
      </w:r>
    </w:p>
    <w:p>
      <w:pPr/>
      <w:r>
        <w:t>This work asks a narrower question than whether AI is trustworthy: what stops a wrong or compromised agent from turning its own proposal into institutional authority? It presents Trust by Construction, a sector-neutral fail-secure authority and data-governance kernel, taught through education and exercised across education, corporate-confidential data, and healthcare-record access. Its central rule is one sentence: a model may propose an action; it cannot manufacture the authority to execute it.</w:t>
      </w:r>
    </w:p>
    <w:p>
      <w:pPr/>
      <w:r>
        <w:t>The contribution is an executable control contract. For every consequential capability it names the protected asset, permitted operation, enforcement point, accountable owner, failure test, evidence artifact, and recovery response. It turns system literacy from vocabulary into something a learner can demonstrate.</w:t>
      </w:r>
    </w:p>
    <w:p>
      <w:pPr/>
      <w:r>
        <w:t>The argument I bring to the panel goes further. Institutions are being sold autonomy and told to add a human. Human oversight is not a safeguard bolted on afterwards; it is a finite resource with a ceiling an institution can calculate, and above that ceiling "a human approved it" stops being true while every audit log continues to say it is.</w:t>
      </w:r>
    </w:p>
    <w:p>
      <w:pPr>
        <w:pStyle w:val="Heading1"/>
      </w:pPr>
      <w:r>
        <w:t>Development Section 1 Methodology Core Argument and Case Context</w:t>
      </w:r>
    </w:p>
    <w:p>
      <w:pPr>
        <w:pStyle w:val="Sectionnote"/>
      </w:pPr>
      <w:r>
        <w:t>Official limit 550 to 650 words  |  Draft count 550 words</w:t>
      </w:r>
    </w:p>
    <w:p>
      <w:pPr/>
      <w:r>
        <w:t>The method joins an education case with a cross-sector executable kernel, informed by zero trust, NIST, OWASP, ISO/IEC 42001, and UNESCO's AI competency framework. Each governance duty becomes behaviour another institution can test after replacing parts.</w:t>
      </w:r>
    </w:p>
    <w:p>
      <w:pPr/>
      <w:r>
        <w:t>The control contract is machine-readable. Its seven fields are mandatory, and each check names the requirement it defends. Teams begin with one consequential capability and manual fallback, writing the failure test before connecting real records or keys. If the fields cannot be filled, nobody is ready to automate it.</w:t>
      </w:r>
    </w:p>
    <w:p>
      <w:pPr/>
      <w:r>
        <w:t>This becomes five-part system literacy: trace data and versions; distinguish proposals from delegated powers; verify controls independently of the model; make escalation capacity explicit; and reconstruct accountability through a correction route. Learners produce artifacts or failures for each, not definitions. Each learner must also state the limit of the evidence they produce.</w:t>
      </w:r>
    </w:p>
    <w:p>
      <w:pPr/>
      <w:r>
        <w:t>The reference case uses synthetic student-support records. An agent may fetch evidence for an assigned case, draft an explanation, and propose moving it from draft to officer review. It cannot approve an award, widen its own access, delete evidence, or hold the key that changes the case register. A named officer retains authority, and the institution remains responsible for policy and fairness.</w:t>
      </w:r>
    </w:p>
    <w:p>
      <w:pPr/>
      <w:r>
        <w:t>Five domains organise the design. Controlled import validates source, type, size, schema, and signature through a no-read-back software seam a certified diode can replace. Transport uses stable identifiers and replayable events. Reproducible data preserves snapshots, transforms, retrieved text, model identity, proposal, approval, and outcome. Bounded intelligence narrows identity and tools. Accountable action keeps the write credential outside the model process.</w:t>
      </w:r>
    </w:p>
    <w:p>
      <w:pPr/>
      <w:r>
        <w:t>An approval binds to a proposal digest covering the operation, target, states, evidence version, requester, and resource version, with the reviewer role, audience, and expiry also authenticated. The executor rechecks every field before mutation and reads the review class from a deployment catalogue, never from the model's own label.</w:t>
      </w:r>
    </w:p>
    <w:p>
      <w:pPr/>
      <w:r>
        <w:t>Two additions answer questions this architecture previously could not. First, review load is modelled as a scarce safety-relevant resource: a declared capacity per reviewer per window, a deliberation floor below which an approval is refused rather than flagged, mandatory escalation under sustained load, and published headroom. Refusing the approval, rather than recording a concern afterwards, makes this a control instead of a dashboard. Second, four independently reported domain packs now exercise one kernel: student support, academic-record correction, corporate-confidential data, and healthcare-record access. Each declares purpose, data classes, lifecycle rules, prohibited uses, key owners, and evidence.</w:t>
      </w:r>
    </w:p>
    <w:p>
      <w:pPr/>
      <w:r>
        <w:t>Each pack is a testable spec: purpose, data types, bans, owners, states, fallback, tests, proof, and limits. Local teams replace each item and run the suite before use.</w:t>
      </w:r>
    </w:p>
    <w:p>
      <w:pPr/>
      <w:r>
        <w:t>Assurance is checked four ways, each answering a question a hand-written test suite cannot. Randomised property testing compares generated tool calls against a predicate written independently of the implementation. Bounded model checking enumerates the profile's declared authority space, runs the real enforcement code against every configuration, and checks five invariants: the combination nobody imagined. Ablation removes one control at a time and measures whether the harm returns, because a control whose removal changes nothing was decorative and the assurance matrix should stop claiming it. A portable conformance suite re-runs the properties against whatever backends an institution has substituted, naming for each check the requirement it defends, so a failure states which claim was lost rather than merely turning red.</w:t>
      </w:r>
    </w:p>
    <w:p>
      <w:pPr>
        <w:pStyle w:val="Heading1"/>
      </w:pPr>
      <w:r>
        <w:t>Development Section 2 Results Analysis and Impact</w:t>
      </w:r>
    </w:p>
    <w:p>
      <w:pPr>
        <w:pStyle w:val="Sectionnote"/>
      </w:pPr>
      <w:r>
        <w:t>Official limit 550 to 650 words  |  Draft count 572 words</w:t>
      </w:r>
    </w:p>
    <w:p>
      <w:pPr/>
      <w:r>
        <w:t>All results are fixture observations in declared local environments: not security probabilities, a certification, or evidence of production readiness.</w:t>
      </w:r>
    </w:p>
    <w:p>
      <w:pPr/>
      <w:r>
        <w:t>Against the synthetic student-support profile, 30 of 30 adversarial scenarios were contained with zero unauthorised mutations, and 6 of 6 benign tasks completed for a false-denial rate of 0.0. Reporting utility beside containment stops a system that refuses everything from looking successful. Bounded model checking explored 240 configurations with zero invariant violations, reaching 11 distinct denial controls. Eight of eight ablated controls restored their harm when removed: authority coverage 1.0. Twenty-six conformance checks passed on two independent backends, and a 32-caller replay race produced one mutation and one receipt.</w:t>
      </w:r>
    </w:p>
    <w:p>
      <w:pPr/>
      <w:r>
        <w:t>The same hostile proposals and legitimate work went to three architectures. An unguarded agent contained none and delivered 28 harmful actions. A prompt-guarded arm, adding the two mitigations most widely deployed today, contained 29 percent and delivered 8. That arm is a fair account of practice, not a strawman: an allowlist is a real control that lacks enforcement independent of the model. The full architecture contained all seven and delivered none, at no cost to benign completion.</w:t>
      </w:r>
    </w:p>
    <w:p>
      <w:pPr/>
      <w:r>
        <w:t>The oversight results are the new contribution. With shipped defaults, a roster of 11 reviewers sustains 2,640 consequential actions per day, bound by the declared quota rather than by attention. In a queue trial, 40 arrivals reach one reviewer budgeted for 8. Some proposals are structurally perfect and substantively wrong: correct operation, current version, authentic approval, ineligible applicant. No digest detects that and no invariant excludes it; the only control behind that harm is a person who is reading. Without load control, four such failures execute. With it, none do, and 32 actions defer to manual review. That deferral is the finding, not a defect to tune away: it makes over-capacity arithmetic instead of invisible. One caveat is essential: the degradation curve is a declared parameter, not a measurement of any officer; observing real reviewers is open work.</w:t>
      </w:r>
    </w:p>
    <w:p>
      <w:pPr/>
      <w:r>
        <w:t>Across four synthetic packs, the identical kernel covers 31,360 bounded configurations, contains 120 of 120 hostile scenarios, completes 36 of 36 benign tasks, and records zero unauthorised mutations. This demonstrates reuse, not sector compliance or safety. The academic pack retains the transfer baseline: 4,800 configurations with zero violations, 30 of 30 scenarios contained, 9 of 9 benign tasks, 26 conformance checks. Its first run exposed a role declared in the profile but ignored at runtime.</w:t>
      </w:r>
    </w:p>
    <w:p>
      <w:pPr/>
      <w:r>
        <w:t>Because every attack was written by the people who built the defence, an open adversary corpus now ships. A contributed attack is seven fields of YAML, scored against all three architectures and attributed to its contributor. No student record or vendor name is needed, and no contributor code runs. The tool prints how many attacks came from outside the project; today that number is zero, stated in the output rather than buried in a limitation.</w:t>
      </w:r>
    </w:p>
    <w:p>
      <w:pPr/>
      <w:r>
        <w:t>For AI for Learning, the education pack governs administration. For Learning for AI, the cross-sector kernel teaches system literacy: trace data, bound delegation, verify controls, calculate escalation capacity, and reconstruct accountability. Participants violate a boundary, watch refusal, remove the control, and watch harm return. Institutions unable to pool infrastructure can pool failures. No learning gain is claimed; none has been measured.</w:t>
      </w:r>
    </w:p>
    <w:p>
      <w:pPr/>
      <w:r>
        <w:t>Open questions remain: a compromised host or signing authority, injection rates for named models, reviewer accuracy under load, appeal quality, fairness, cost, energy, and independent audit. Separate containers on one host are logical separation, not independent administrative trust.</w:t>
      </w:r>
    </w:p>
    <w:p>
      <w:pPr>
        <w:pStyle w:val="Heading1"/>
      </w:pPr>
      <w:r>
        <w:t>Conclusion</w:t>
      </w:r>
    </w:p>
    <w:p>
      <w:pPr>
        <w:pStyle w:val="Sectionnote"/>
      </w:pPr>
      <w:r>
        <w:t>Official limit 200 to 250 words  |  Draft count 228 words</w:t>
      </w:r>
    </w:p>
    <w:p>
      <w:pPr/>
      <w:r>
        <w:t>Trust by Construction moves AI governance from a promise about a model to a testable boundary around a high-impact action. In the student-support case an agent may gather evidence and propose a change, while an authorised person and a separate executor decide whether that exact change may occur. A changed or stale proposal requires fresh review. An uncertain outcome enters reconciliation rather than a blind retry. A complete evidence record supports inquiry and appeal.</w:t>
      </w:r>
    </w:p>
    <w:p>
      <w:pPr/>
      <w:r>
        <w:t>Three propositions follow, and I offer them to the panel as claims to argue with. First, an institution should publish its oversight ceiling before its automation roadmap; one that cannot say how many consequential decisions it can genuinely review per day has not established that it can oversee what it is deploying. Second, no consequential agent capability should ship without a named authorisation boundary, an executable failure test, and a recovery owner, which any institution can publish for one capability this quarter with no budget. Third, institutions should trade failure cases rather than platforms, since shared attacks build capacity without moving a single student record.</w:t>
      </w:r>
    </w:p>
    <w:p>
      <w:pPr/>
      <w:r>
        <w:t>Even a perfectly governed agent can apply an unjust rule faster. This architecture makes harm attributable and contestable; it does not make a rule fair. That bounded contribution still answers the student who asked why, and it helps institutions decide which powers to delegate and when automation must stop.</w:t>
      </w:r>
    </w:p>
    <w:p>
      <w:pPr>
        <w:pStyle w:val="Heading1"/>
      </w:pPr>
      <w:r>
        <w:t>References</w:t>
      </w:r>
    </w:p>
    <w:p>
      <w:pPr/>
      <w:r>
        <w:t>Autio, C., et al. (2024). Artificial Intelligence Risk Management Framework: Generative Artificial Intelligence Profile. NIST AI 600-1. https://doi.org/10.6028/NIST.AI.600-1</w:t>
      </w:r>
    </w:p>
    <w:p>
      <w:pPr/>
      <w:r>
        <w:t>ISO/IEC. (2023). ISO/IEC 42001:2023 - Information technology, Artificial intelligence, Management system. https://www.iso.org/standard/81230.html</w:t>
      </w:r>
    </w:p>
    <w:p>
      <w:pPr/>
      <w:r>
        <w:t>Miao, F., and Cukurova, M. (2024). AI competency framework for teachers. UNESCO. https://unesdoc.unesco.org/ark:/48223/pf0000391104</w:t>
      </w:r>
    </w:p>
    <w:p>
      <w:pPr/>
      <w:r>
        <w:t>OWASP GenAI Security Project. (2025). OWASP Top 10 for Agentic Applications 2026. https://genai.owasp.org/resource/owasp-top-10-for-agentic-applications-for-2026/</w:t>
      </w:r>
    </w:p>
    <w:p>
      <w:pPr/>
      <w:r>
        <w:t>Parasuraman, R., and Manzey, D. (2010). Complacency and bias in human use of automation: an attentional integration. Human Factors, 52(3), 381-410. https://doi.org/10.1177/0018720810376055</w:t>
      </w:r>
    </w:p>
    <w:p>
      <w:pPr/>
      <w:r>
        <w:t>Rose, S., Borchert, O., Mitchell, S., and Connelly, S. (2020). Zero Trust Architecture. NIST SP 800-207. https://doi.org/10.6028/NIST.SP.800-207</w:t>
      </w:r>
    </w:p>
    <w:p>
      <w:pPr/>
      <w:r>
        <w:t>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