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br/>
        <w:t xml:space="preserve">Trust by Construction for Secure Agentic Workflows in Learning Institutions</w:t>
      </w:r>
    </w:p>
    <w:p>
      <w:pPr>
        <w:pStyle w:val="TBCSubtitle"/>
      </w:pPr>
      <w:r>
        <w:t xml:space="preserve">An executable reference for bounded authority and failure recovery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systems retrieve institutional records, retain memory, invoke tools, delegate to other agents, and initiate actions that change what an institution holds about a person. The assurance question they raise is no longer whether a model answers correctly, but what it can cause when it is mistaken, manipulated, or pursuing an objective it has not disclosed. Trust by Construction answers that question architecturally. The model is treated as an untrusted reasoning engine rather than as a security boundary, and the same rule is extended to any model that reviews another, so that authorisation depends on neither the acting nor the reviewing model's judgment. Authority is declared in machine-readable form, narrowed to a single task, attenuated across delegation, and enforced by deterministic services that sit outside the reasoning layer. The contribution is the composition and its behaviour under failure: scoped capability leases, lineage-preserving memory, independent approval, revocation that survives failure of the assurance plane itself, delivery reauthorised at every boundary, restrict-only monitoring that can never return privilege, bounded recovery from effects that leave the transaction, and accounting for the information an agent can carry in choices it is authorised to make. The architecture is published as an executable Apache-2.0 kernel in which every claim is bound to a named failure test and every reported quantity regenerates offline, so a reader can run the refusals rather than accept them on trust. The design rule is proof before power: additional context, tools, agents, network reach, effects, and releases each require independently verifiable authority. The paper reports what this establishes and what it does not — behaviour within declared interfaces, not model alignment, decision quality, institutional outcomes, or production security — and names the deployment obligations that remain.</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behaviour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defence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 AgentSecBench separates instruction integrity, confidentiality and capability integrity, using paired adversarial and benign executions [10]. AgentDyn studies dynamic tasks and helpful third-party instructions, exposing a security–utility tradeoff that static blocking tests can miss [11]. Our smaller synthetic evaluation makes no benchmark-ranking claim; it complements this work with persistent authority, revocation and failure-atomic delivery checks.</w:t>
      </w:r>
    </w:p>
    <w:p>
      <w:r>
        <w:t xml:space="preserve">Recent results motivate testing the authority boundary even when model behaviour appears cooperative. Anti-scheming training reduced covert actions in held-out settings but left residual failures and evaluation-awareness confounds [3]. Chain-of-thought monitoring offers an imperfect signal rather than a reliable authorisation basis [4]. Reward-hacking research found generalisation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 xml:space="preserve">Line of work</w:t>
            </w:r>
          </w:p>
        </w:tc>
        <w:tc>
          <w:tcPr>
            <w:tcW w:type="dxa" w:w="3389"/>
            <w:shd w:fill="D9EAF7"/>
          </w:tcPr>
          <w:p>
            <w:r>
              <w:rPr>
                <w:b/>
                <w:sz w:val="16"/>
              </w:rPr>
              <w:t xml:space="preserve">What it establishes</w:t>
            </w:r>
          </w:p>
        </w:tc>
        <w:tc>
          <w:tcPr>
            <w:tcW w:type="dxa" w:w="3389"/>
            <w:shd w:fill="D9EAF7"/>
          </w:tcPr>
          <w:p>
            <w:r>
              <w:rPr>
                <w:sz w:val="16"/>
              </w:rPr>
              <w:t xml:space="preserve">What this paper adds</w:t>
            </w:r>
          </w:p>
        </w:tc>
      </w:tr>
      <w:tr>
        <w:tc>
          <w:tcPr>
            <w:tcW w:type="dxa" w:w="3389"/>
            <w:vAlign w:val="top"/>
          </w:tcPr>
          <w:p>
            <w:r>
              <w:rPr>
                <w:sz w:val="16"/>
              </w:rPr>
              <w:t xml:space="preserve">Capability and information-flow foundations [13-19]</w:t>
            </w:r>
          </w:p>
        </w:tc>
        <w:tc>
          <w:tcPr>
            <w:tcW w:type="dxa" w:w="3389"/>
            <w:vAlign w:val="top"/>
          </w:tcPr>
          <w:p>
            <w:r>
              <w:rPr>
                <w:sz w:val="16"/>
              </w:rPr>
              <w:t xml:space="preserve">Complete mediation, least privilege, attenuated delegation, lattice-ordered flow and separation of duty as system properties</w:t>
            </w:r>
          </w:p>
        </w:tc>
        <w:tc>
          <w:tcPr>
            <w:tcW w:type="dxa" w:w="3389"/>
            <w:vAlign w:val="top"/>
          </w:tcPr>
          <w:p>
            <w:r>
              <w:rPr>
                <w:sz w:val="16"/>
              </w:rPr>
              <w:t xml:space="preserve">An executable binding of those properties to agent interfaces, in which each one carries a named failure test that runs offline</w:t>
            </w:r>
          </w:p>
        </w:tc>
      </w:tr>
      <w:tr>
        <w:tc>
          <w:tcPr>
            <w:tcW w:type="dxa" w:w="3389"/>
            <w:vAlign w:val="top"/>
          </w:tcPr>
          <w:p>
            <w:r>
              <w:rPr>
                <w:sz w:val="16"/>
              </w:rPr>
              <w:t xml:space="preserve">System-level prompt-injection defence [2]</w:t>
            </w:r>
          </w:p>
        </w:tc>
        <w:tc>
          <w:tcPr>
            <w:tcW w:type="dxa" w:w="3389"/>
            <w:vAlign w:val="top"/>
          </w:tcPr>
          <w:p>
            <w:r>
              <w:rPr>
                <w:sz w:val="16"/>
              </w:rPr>
              <w:t xml:space="preserve">Control flow and data flow can be separated so that untrusted content cannot direct a privileged action</w:t>
            </w:r>
          </w:p>
        </w:tc>
        <w:tc>
          <w:tcPr>
            <w:tcW w:type="dxa" w:w="3389"/>
            <w:vAlign w:val="top"/>
          </w:tcPr>
          <w:p>
            <w:r>
              <w:rPr>
                <w:sz w:val="16"/>
              </w:rPr>
              <w:t xml:space="preserve">Authority that persists beyond one execution: memory, revocation, delivery already in flight, and recovery after an effect has left the transaction</w:t>
            </w:r>
          </w:p>
        </w:tc>
      </w:tr>
      <w:tr>
        <w:tc>
          <w:tcPr>
            <w:tcW w:type="dxa" w:w="3389"/>
            <w:vAlign w:val="top"/>
          </w:tcPr>
          <w:p>
            <w:r>
              <w:rPr>
                <w:sz w:val="16"/>
              </w:rPr>
              <w:t xml:space="preserve">Agent security benchmarks [10,11]</w:t>
            </w:r>
          </w:p>
        </w:tc>
        <w:tc>
          <w:tcPr>
            <w:tcW w:type="dxa" w:w="3389"/>
            <w:vAlign w:val="top"/>
          </w:tcPr>
          <w:p>
            <w:r>
              <w:rPr>
                <w:sz w:val="16"/>
              </w:rPr>
              <w:t xml:space="preserve">Comparable measurement of instruction integrity, confidentiality and capability integrity under static and dynamic tasks</w:t>
            </w:r>
          </w:p>
        </w:tc>
        <w:tc>
          <w:tcPr>
            <w:tcW w:type="dxa" w:w="3389"/>
            <w:vAlign w:val="top"/>
          </w:tcPr>
          <w:p>
            <w:r>
              <w:rPr>
                <w:sz w:val="16"/>
              </w:rPr>
              <w:t xml:space="preserve">A property offered for refutation rather than a score offered for ranking; no benchmark position is claimed</w:t>
            </w:r>
          </w:p>
        </w:tc>
      </w:tr>
      <w:tr>
        <w:tc>
          <w:tcPr>
            <w:tcW w:type="dxa" w:w="3389"/>
            <w:vAlign w:val="top"/>
          </w:tcPr>
          <w:p>
            <w:r>
              <w:rPr>
                <w:sz w:val="16"/>
              </w:rPr>
              <w:t xml:space="preserve">Alignment and monitoring results [3,4,6,7,8]</w:t>
            </w:r>
          </w:p>
        </w:tc>
        <w:tc>
          <w:tcPr>
            <w:tcW w:type="dxa" w:w="3389"/>
            <w:vAlign w:val="top"/>
          </w:tcPr>
          <w:p>
            <w:r>
              <w:rPr>
                <w:sz w:val="16"/>
              </w:rPr>
              <w:t xml:space="preserve">Covert objectives survive training, and monitoring a model is an imperfect and fragile signal</w:t>
            </w:r>
          </w:p>
        </w:tc>
        <w:tc>
          <w:tcPr>
            <w:tcW w:type="dxa" w:w="3389"/>
            <w:vAlign w:val="top"/>
          </w:tcPr>
          <w:p>
            <w:r>
              <w:rPr>
                <w:sz w:val="16"/>
              </w:rPr>
              <w:t xml:space="preserve">The architectural consequence: a monitor that may contract authority and can never restore it, tested by substituting a hostile one</w:t>
            </w:r>
          </w:p>
        </w:tc>
      </w:tr>
      <w:tr>
        <w:tc>
          <w:tcPr>
            <w:tcW w:type="dxa" w:w="3389"/>
            <w:vAlign w:val="top"/>
          </w:tcPr>
          <w:p>
            <w:r>
              <w:rPr>
                <w:sz w:val="16"/>
              </w:rPr>
              <w:t xml:space="preserve">Confinement and channel capacity [20,21]</w:t>
            </w:r>
          </w:p>
        </w:tc>
        <w:tc>
          <w:tcPr>
            <w:tcW w:type="dxa" w:w="3389"/>
            <w:vAlign w:val="top"/>
          </w:tcPr>
          <w:p>
            <w:r>
              <w:rPr>
                <w:sz w:val="16"/>
              </w:rPr>
              <w:t xml:space="preserve">Authorised behaviour itself carries information, and the residual is properly measured in bits</w:t>
            </w:r>
          </w:p>
        </w:tc>
        <w:tc>
          <w:tcPr>
            <w:tcW w:type="dxa" w:w="3389"/>
            <w:vAlign w:val="top"/>
          </w:tcPr>
          <w:p>
            <w:r>
              <w:rPr>
                <w:sz w:val="16"/>
              </w:rPr>
              <w:t xml:space="preserve">That measurement performed on an authorised release path, with the policy that closes it and the availability cost it charges</w:t>
            </w:r>
          </w:p>
        </w:tc>
      </w:tr>
    </w:tbl>
    <w:p>
      <w:pPr>
        <w:pStyle w:val="TBCCaption"/>
      </w:pPr>
      <w:r>
        <w:t xml:space="preserve">Table 1. Where this work sits. The contribution is compositional: it is the behaviour of these controls together, under failure, rather than any one of them in isolation.</w:t>
      </w:r>
    </w:p>
    <w:p>
      <w:r>
        <w:t xml:space="preserve">This paper makes four contributions. First, a composition: the authority controls above are specified as one enforcement path from workload declaration through context, memory, delegation and effects to recipient delivery, with the behaviour of each under failure stated as a refusal rather than as a best effort. Second, a falsifiable central claim. That authorisation depends on neither the acting nor the reviewing model is tested by substituting a monitor that clears every attack and a monitor that restricts every ordinary task, and showing that no protected outcome changes under either. Third, a measured account of a channel that content controls cannot close: the information an agent carries in the destination, path, timing, size and number of releases it is authorised to make, reduced from sixteen bits to one and then to zero by removing choice rather than by inspecting content, with the availability cost of doing so reported alongside. Fourth, an executable artifact in which every claim made here names a failure test that runs offline, every reported quantity regenerates from its source, and the manuscript itself is produced by a script from reviewed content so that each change to its prose is reviewable as code.</w:t>
      </w:r>
    </w:p>
    <w:p>
      <w:r>
        <w:t xml:space="preserve">How to read this paper. Section 2 states the architecture and the property it targets; sections 3 to 8 report what was built and what happened when that property was attacked; sections 9 and 10 state where the result applies and where it does not. A reader with ten minutes should read Property 1 in section 2, Table 3 in section 4, and section 10, in that order, because those three together contain the claim, the evidence and the boundary. Seven terms carry most of the argument and are used in exactly one sense throughout.</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 xml:space="preserve">Term</w:t>
            </w:r>
          </w:p>
        </w:tc>
        <w:tc>
          <w:tcPr>
            <w:tcW w:type="dxa" w:w="3389"/>
            <w:shd w:fill="D9EAF7"/>
          </w:tcPr>
          <w:p>
            <w:r>
              <w:rPr>
                <w:b/>
                <w:sz w:val="16"/>
              </w:rPr>
              <w:t xml:space="preserve">What it means here</w:t>
            </w:r>
          </w:p>
        </w:tc>
        <w:tc>
          <w:tcPr>
            <w:tcW w:type="dxa" w:w="3389"/>
            <w:shd w:fill="D9EAF7"/>
          </w:tcPr>
          <w:p>
            <w:r>
              <w:rPr>
                <w:sz w:val="16"/>
              </w:rPr>
              <w:t xml:space="preserve">Where it is enforced</w:t>
            </w:r>
          </w:p>
        </w:tc>
      </w:tr>
      <w:tr>
        <w:tc>
          <w:tcPr>
            <w:tcW w:type="dxa" w:w="3389"/>
            <w:vAlign w:val="top"/>
          </w:tcPr>
          <w:p>
            <w:r>
              <w:rPr>
                <w:sz w:val="16"/>
              </w:rPr>
              <w:t xml:space="preserve">Passport</w:t>
            </w:r>
          </w:p>
        </w:tc>
        <w:tc>
          <w:tcPr>
            <w:tcW w:type="dxa" w:w="3389"/>
            <w:vAlign w:val="top"/>
          </w:tcPr>
          <w:p>
            <w:r>
              <w:rPr>
                <w:sz w:val="16"/>
              </w:rPr>
              <w:t xml:space="preserve">The machine-readable ceiling on everything a workload may ever do</w:t>
            </w:r>
          </w:p>
        </w:tc>
        <w:tc>
          <w:tcPr>
            <w:tcW w:type="dxa" w:w="3389"/>
            <w:vAlign w:val="top"/>
          </w:tcPr>
          <w:p>
            <w:r>
              <w:rPr>
                <w:sz w:val="16"/>
              </w:rPr>
              <w:t xml:space="preserve">Admission, before any task exists</w:t>
            </w:r>
          </w:p>
        </w:tc>
      </w:tr>
      <w:tr>
        <w:tc>
          <w:tcPr>
            <w:tcW w:type="dxa" w:w="3389"/>
            <w:vAlign w:val="top"/>
          </w:tcPr>
          <w:p>
            <w:r>
              <w:rPr>
                <w:sz w:val="16"/>
              </w:rPr>
              <w:t xml:space="preserve">Task contract</w:t>
            </w:r>
          </w:p>
        </w:tc>
        <w:tc>
          <w:tcPr>
            <w:tcW w:type="dxa" w:w="3389"/>
            <w:vAlign w:val="top"/>
          </w:tcPr>
          <w:p>
            <w:r>
              <w:rPr>
                <w:sz w:val="16"/>
              </w:rPr>
              <w:t xml:space="preserve">One execution narrowed to a purpose, subject, resource set, destination, budget and expiry</w:t>
            </w:r>
          </w:p>
        </w:tc>
        <w:tc>
          <w:tcPr>
            <w:tcW w:type="dxa" w:w="3389"/>
            <w:vAlign w:val="top"/>
          </w:tcPr>
          <w:p>
            <w:r>
              <w:rPr>
                <w:sz w:val="16"/>
              </w:rPr>
              <w:t xml:space="preserve">Every mediated request</w:t>
            </w:r>
          </w:p>
        </w:tc>
      </w:tr>
      <w:tr>
        <w:tc>
          <w:tcPr>
            <w:tcW w:type="dxa" w:w="3389"/>
            <w:vAlign w:val="top"/>
          </w:tcPr>
          <w:p>
            <w:r>
              <w:rPr>
                <w:sz w:val="16"/>
              </w:rPr>
              <w:t xml:space="preserve">Capability envelope</w:t>
            </w:r>
          </w:p>
        </w:tc>
        <w:tc>
          <w:tcPr>
            <w:tcW w:type="dxa" w:w="3389"/>
            <w:vAlign w:val="top"/>
          </w:tcPr>
          <w:p>
            <w:r>
              <w:rPr>
                <w:sz w:val="16"/>
              </w:rPr>
              <w:t xml:space="preserve">The authority actually available now: ceiling, contract, lineage and remaining budget intersected</w:t>
            </w:r>
          </w:p>
        </w:tc>
        <w:tc>
          <w:tcPr>
            <w:tcW w:type="dxa" w:w="3389"/>
            <w:vAlign w:val="top"/>
          </w:tcPr>
          <w:p>
            <w:r>
              <w:rPr>
                <w:sz w:val="16"/>
              </w:rPr>
              <w:t xml:space="preserve">Recomputed per request</w:t>
            </w:r>
          </w:p>
        </w:tc>
      </w:tr>
      <w:tr>
        <w:tc>
          <w:tcPr>
            <w:tcW w:type="dxa" w:w="3389"/>
            <w:vAlign w:val="top"/>
          </w:tcPr>
          <w:p>
            <w:r>
              <w:rPr>
                <w:sz w:val="16"/>
              </w:rPr>
              <w:t xml:space="preserve">Attenuation</w:t>
            </w:r>
          </w:p>
        </w:tc>
        <w:tc>
          <w:tcPr>
            <w:tcW w:type="dxa" w:w="3389"/>
            <w:vAlign w:val="top"/>
          </w:tcPr>
          <w:p>
            <w:r>
              <w:rPr>
                <w:sz w:val="16"/>
              </w:rPr>
              <w:t xml:space="preserve">A delegated agent receives a subset of its parent's authority and never a fresh grant</w:t>
            </w:r>
          </w:p>
        </w:tc>
        <w:tc>
          <w:tcPr>
            <w:tcW w:type="dxa" w:w="3389"/>
            <w:vAlign w:val="top"/>
          </w:tcPr>
          <w:p>
            <w:r>
              <w:rPr>
                <w:sz w:val="16"/>
              </w:rPr>
              <w:t xml:space="preserve">Agent spawn and inter-agent message</w:t>
            </w:r>
          </w:p>
        </w:tc>
      </w:tr>
      <w:tr>
        <w:tc>
          <w:tcPr>
            <w:tcW w:type="dxa" w:w="3389"/>
            <w:vAlign w:val="top"/>
          </w:tcPr>
          <w:p>
            <w:r>
              <w:rPr>
                <w:sz w:val="16"/>
              </w:rPr>
              <w:t xml:space="preserve">Lineage</w:t>
            </w:r>
          </w:p>
        </w:tc>
        <w:tc>
          <w:tcPr>
            <w:tcW w:type="dxa" w:w="3389"/>
            <w:vAlign w:val="top"/>
          </w:tcPr>
          <w:p>
            <w:r>
              <w:rPr>
                <w:sz w:val="16"/>
              </w:rPr>
              <w:t xml:space="preserve">The restriction that travels with data through summaries, memory, handoffs and generated artifacts</w:t>
            </w:r>
          </w:p>
        </w:tc>
        <w:tc>
          <w:tcPr>
            <w:tcW w:type="dxa" w:w="3389"/>
            <w:vAlign w:val="top"/>
          </w:tcPr>
          <w:p>
            <w:r>
              <w:rPr>
                <w:sz w:val="16"/>
              </w:rPr>
              <w:t xml:space="preserve">Read, write and release</w:t>
            </w:r>
          </w:p>
        </w:tc>
      </w:tr>
      <w:tr>
        <w:tc>
          <w:tcPr>
            <w:tcW w:type="dxa" w:w="3389"/>
            <w:vAlign w:val="top"/>
          </w:tcPr>
          <w:p>
            <w:r>
              <w:rPr>
                <w:sz w:val="16"/>
              </w:rPr>
              <w:t xml:space="preserve">Declassification</w:t>
            </w:r>
          </w:p>
        </w:tc>
        <w:tc>
          <w:tcPr>
            <w:tcW w:type="dxa" w:w="3389"/>
            <w:vAlign w:val="top"/>
          </w:tcPr>
          <w:p>
            <w:r>
              <w:rPr>
                <w:sz w:val="16"/>
              </w:rPr>
              <w:t xml:space="preserve">The only act that lowers a restriction, performed explicitly and never by transformation</w:t>
            </w:r>
          </w:p>
        </w:tc>
        <w:tc>
          <w:tcPr>
            <w:tcW w:type="dxa" w:w="3389"/>
            <w:vAlign w:val="top"/>
          </w:tcPr>
          <w:p>
            <w:r>
              <w:rPr>
                <w:sz w:val="16"/>
              </w:rPr>
              <w:t xml:space="preserve">Release escrow</w:t>
            </w:r>
          </w:p>
        </w:tc>
      </w:tr>
      <w:tr>
        <w:tc>
          <w:tcPr>
            <w:tcW w:type="dxa" w:w="3389"/>
            <w:vAlign w:val="top"/>
          </w:tcPr>
          <w:p>
            <w:r>
              <w:rPr>
                <w:sz w:val="16"/>
              </w:rPr>
              <w:t xml:space="preserve">Refusal</w:t>
            </w:r>
          </w:p>
        </w:tc>
        <w:tc>
          <w:tcPr>
            <w:tcW w:type="dxa" w:w="3389"/>
            <w:vAlign w:val="top"/>
          </w:tcPr>
          <w:p>
            <w:r>
              <w:rPr>
                <w:sz w:val="16"/>
              </w:rPr>
              <w:t xml:space="preserve">The declared behaviour when authority cannot be established, in place of a best effort</w:t>
            </w:r>
          </w:p>
        </w:tc>
        <w:tc>
          <w:tcPr>
            <w:tcW w:type="dxa" w:w="3389"/>
            <w:vAlign w:val="top"/>
          </w:tcPr>
          <w:p>
            <w:r>
              <w:rPr>
                <w:sz w:val="16"/>
              </w:rPr>
              <w:t xml:space="preserve">Every boundary above</w:t>
            </w:r>
          </w:p>
        </w:tc>
      </w:tr>
    </w:tbl>
    <w:p>
      <w:pPr>
        <w:pStyle w:val="TBCCaption"/>
      </w:pPr>
      <w:r>
        <w:t xml:space="preserve">Table 2. The seven terms that carry the argument. Each is a noun in the implementation as well as in the prose, so a reader can move from a sentence here to the code that enforces it.</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 xml:space="preserve">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which is complete mediation [13] stated as a runtime obligation rather than as a design aspiration. Complete mediation also requires deployment enforcement that prevents the model process from bypassing that boundary through host files, sockets, credentials, or undeclared channels; the local Python implementation alone does not establish that condition.</w:t>
      </w:r>
    </w:p>
    <w:p>
      <w:r>
        <w:t xml:space="preserve">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This is capability attenuation in the sense of [14] and [15]: authority is a value that can be narrowed and passed on, never an ambient right a process acquires by running. A credentialless agent runtime requests short-lived capabilities; long-lived database, cloud-control, signing, or infrastructure credentials remain outside the model process.</w:t>
      </w:r>
    </w:p>
    <w:p>
      <w:r>
        <w:t xml:space="preserve">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artifacts, while Release Escrow provides explicit, auditable declassification and recipient checks. Transformation is not declassification. Restrictions compose in the lattice sense of [16], so a derived artifact carries at least the restrictions of every source that was read to produce it.</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r>
        <w:t xml:space="preserve">Threat model. The adversary is assumed to control everything the reasoning layer produces and everything it reads: model outputs, retrieved documents, memory written in earlier turns, tool descriptions and tool results, messages from delegated agents, and the verdict of any model deployed to monitor another. It may choose freely among the operations it has been granted, may repeat them, and may time them. It is assumed not to control the enforcement path itself — the control database, the operator role, the signing keys, and the host outside the declared interfaces — because an adversary holding those has already won and no architecture recovers from it. That assumption is a deployment obligation, and section 8 measures it rather than asserting it. Every property below is stated relative to this model, so a deployment that cannot establish the assumption inherits a weaker claim than the one made here.</w:t>
      </w:r>
    </w:p>
    <w:p>
      <w:r>
        <w:t xml:space="preserve">Property 1 (Authorisation independence). For every protected read, effect and release, the outcome is a function of the declared authority state alone — passport, task contract, capability envelope, lineage and remaining budget — and not of any text produced by the acting model or by a model reviewing it. A model may narrow an outcome and may cause a refusal; it cannot cause an outcome that the authority state does not already permit. Stated this way the property is falsifiable in the strong sense, because refuting it requires only one protected outcome that changes when the reasoning or reviewing model's output changes while the authority state is held fixed. Section 4 reports the attempt to refute it. The formulation is the complete-mediation and least-privilege pair [13] applied to a component that is assumed to be untrustworthy rather than merely faulty, and the one-directional monitor that follows from it is the integrity discipline of [18]: a lower-integrity source may restrict a higher-integrity decision and may never raise one.</w:t>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Four results carry the argument, and each is reported with its denominator and its boundary. Removing any one of the eight tested controls re-enables a harmful action, so none of them is decorative. Across six sector profiles the mediated configuration contains every hostile scenario in the corpus while completing every benign task. Substituting a blind monitor, and then a hostile monitor that inverts every verdict, changes no protected outcome, which is the falsifiable form of the central claim. And an adversary restricted to choices it is authorised to make moves a sixteen-bit secret intact through an unconstrained release path, one bit once those choices are canonicalised, and nothing once the number of releases is fixed. Table 3 states what each measurement does and does not establish.</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anywhere in this work; every experiment runs on declared fixtures over the declared interface. The artifact therefore demonstrates mechanisms and the attempts made to break them, and establishes no field effectiveness; section 10 states that boundary as a limitation rather than leaving it to be inferred.</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 xml:space="preserve">0% → 29% → 100% attack containment on one fixed attack suite</w:t>
            </w:r>
          </w:p>
        </w:tc>
        <w:tc>
          <w:tcPr>
            <w:tcW w:type="dxa" w:w="3389"/>
            <w:vAlign w:val="top"/>
          </w:tcPr>
          <w:p>
            <w:r>
              <w:rPr>
                <w:sz w:val="16"/>
              </w:rPr>
              <w:t xml:space="preserve">Measured on one fixed attack suite; reproducible evidence about the architecture,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 xml:space="preserve">Demonstrates domain portability of the control kernel across six sector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1,445 tests passed; 37 source-bound capability contracts executed</w:t>
            </w:r>
          </w:p>
        </w:tc>
        <w:tc>
          <w:tcPr>
            <w:tcW w:type="dxa" w:w="3389"/>
          </w:tcPr>
          <w:p>
            <w:r>
              <w:rPr>
                <w:sz w:val="16"/>
              </w:rPr>
              <w:t xml:space="preserve">Local functional evidence, including schema rejection, durable source quarantine, the added frontier controls and the deployment measurements; not operational certification</w:t>
            </w:r>
          </w:p>
        </w:tc>
      </w:tr>
      <w:tr>
        <w:tc>
          <w:tcPr>
            <w:tcW w:type="dxa" w:w="3389"/>
          </w:tcPr>
          <w:p>
            <w:r>
              <w:rPr>
                <w:sz w:val="16"/>
              </w:rPr>
              <w:t xml:space="preserve">Frontier-threat controls</w:t>
            </w:r>
          </w:p>
        </w:tc>
        <w:tc>
          <w:tcPr>
            <w:tcW w:type="dxa" w:w="3389"/>
          </w:tcPr>
          <w:p>
            <w:r>
              <w:rPr>
                <w:sz w:val="16"/>
              </w:rPr>
              <w:t xml:space="preserve">38 executed cases: durable stop, per-chunk reauthorisation, restrict-only monitoring, recorded blocked attempts</w:t>
            </w:r>
          </w:p>
        </w:tc>
        <w:tc>
          <w:tcPr>
            <w:tcW w:type="dxa" w:w="3389"/>
          </w:tcPr>
          <w:p>
            <w:r>
              <w:rPr>
                <w:sz w:val="16"/>
              </w:rPr>
              <w:t xml:space="preserve">Deterministic local scenarios over the declared interface; they do not replay frontier-model experiments or estimate real-world frequency</w:t>
            </w:r>
          </w:p>
        </w:tc>
      </w:tr>
      <w:tr>
        <w:tc>
          <w:tcPr>
            <w:tcW w:type="dxa" w:w="3389"/>
          </w:tcPr>
          <w:p>
            <w:r>
              <w:rPr>
                <w:sz w:val="16"/>
              </w:rPr>
              <w:t xml:space="preserve">Deployment qualification</w:t>
            </w:r>
          </w:p>
        </w:tc>
        <w:tc>
          <w:tcPr>
            <w:tcW w:type="dxa" w:w="3389"/>
          </w:tcPr>
          <w:p>
            <w:r>
              <w:rPr>
                <w:sz w:val="16"/>
              </w:rPr>
              <w:t xml:space="preserve">Measured host isolation, transport qualified against a controlled TLS peer, tool-supply integrity, settlement of outbound effects, witnessed evidence and an evidence-gated promotion decision</w:t>
            </w:r>
          </w:p>
        </w:tc>
        <w:tc>
          <w:tcPr>
            <w:tcW w:type="dxa" w:w="3389"/>
          </w:tcPr>
          <w:p>
            <w:r>
              <w:rPr>
                <w:sz w:val="16"/>
              </w:rPr>
              <w:t xml:space="preserve">Measuring an assumption is not supplying it; loopback transport evidence and a reference isolation verdict both refuse promotion, and no production deployment was qualified</w:t>
            </w:r>
          </w:p>
        </w:tc>
      </w:tr>
      <w:tr>
        <w:tc>
          <w:tcPr>
            <w:tcW w:type="dxa" w:w="3389"/>
          </w:tcPr>
          <w:p>
            <w:r>
              <w:rPr>
                <w:sz w:val="16"/>
              </w:rPr>
              <w:t xml:space="preserve">Monitor quality</w:t>
            </w:r>
          </w:p>
        </w:tc>
        <w:tc>
          <w:tcPr>
            <w:tcW w:type="dxa" w:w="3389"/>
          </w:tcPr>
          <w:p>
            <w:r>
              <w:rPr>
                <w:sz w:val="16"/>
              </w:rPr>
              <w:t xml:space="preserve">Held-out benign and adversarial trajectories against oracle, blind and hostile monitors; no monitor changes a protected outcome</w:t>
            </w:r>
          </w:p>
        </w:tc>
        <w:tc>
          <w:tcPr>
            <w:tcW w:type="dxa" w:w="3389"/>
          </w:tcPr>
          <w:p>
            <w:r>
              <w:rPr>
                <w:sz w:val="16"/>
              </w:rPr>
              <w:t xml:space="preserve">Offline rates describe scripted monitors and are not detector accuracy; an attacker that stays inside its envelope evades a metadata-only monitor by construction</w:t>
            </w:r>
          </w:p>
        </w:tc>
      </w:tr>
      <w:tr>
        <w:tc>
          <w:tcPr>
            <w:tcW w:type="dxa" w:w="3389"/>
          </w:tcPr>
          <w:p>
            <w:r>
              <w:rPr>
                <w:sz w:val="16"/>
              </w:rPr>
              <w:t xml:space="preserve">Residual choice channel</w:t>
            </w:r>
          </w:p>
        </w:tc>
        <w:tc>
          <w:tcPr>
            <w:tcW w:type="dxa" w:w="3389"/>
          </w:tcPr>
          <w:p>
            <w:r>
              <w:rPr>
                <w:sz w:val="16"/>
              </w:rPr>
              <w:t xml:space="preserve">16.0 bits leaked with no control, 1.0 canonicalised, 0.0 sealed, over 65,536 trials per arm</w:t>
            </w:r>
          </w:p>
        </w:tc>
        <w:tc>
          <w:tcPr>
            <w:tcW w:type="dxa" w:w="3389"/>
          </w:tcPr>
          <w:p>
            <w:r>
              <w:rPr>
                <w:sz w:val="16"/>
              </w:rPr>
              <w:t xml:space="preserve">Upper bound from distinct observable traces under one encoder; the mediated release path only, at a cost of 98.4% of adversarial tasks escalating to a named human</w:t>
            </w:r>
          </w:p>
        </w:tc>
      </w:tr>
    </w:tbl>
    <w:p>
      <w:pPr>
        <w:pStyle w:val="TBCCaption"/>
      </w:pPr>
      <w:r>
        <w:t xml:space="preserve">Table 3. Every result is reported with its denominator and its interpretation boundary. All experiments run on declared fixtures, so containment measured here is evidence about the architecture and not a certification of any deployment.</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Thirty-seven contracts are verified by executing their named tests; the reports bind outcomes to the source digest. Bundle and destination tests establish contract behaviour only. They are not evidence of measured runtime identity or deployed network isolation. This distinction makes missing engineering work visible rather than converting a passing unit test into a production assurance claim.</w:t>
      </w:r>
    </w:p>
    <w:p>
      <w:r>
        <w:t xml:space="preserve">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It is separation of duty [19], and separation of duty is a property of who reviews, not of the mechanism that records that a review occurred.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descr="Authority boundaries: agent proposals enter independent controls; monitor can restrict only; human approval and external isolation remain separate."/>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 xml:space="preserve">Figure 4. Authority boundaries. Untrusted reasoning proposes requests; the independent service mediates effects. AI monitoring may restrict authority. Host isolation, authenticated adapters and independent key custody remain deployment obligations.</w:t>
      </w:r>
    </w:p>
    <w:p>
      <w:pPr>
        <w:pStyle w:val="Heading1"/>
        <w:keepNext/>
      </w:pPr>
      <w:r>
        <w:t>5. Engineering Implementation and Qualification</w:t>
      </w:r>
    </w:p>
    <w:p>
      <w:r>
        <w:t xml:space="preserve">The executable SDK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The interface also exposes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descr="Synthetic containment: unguarded 0 of 7, prompt plus allowlist 2 of 7, independent controls 7 of 7. Separate domain fixtures: 180 of 180 hostile contained and 58 of 58 benign completed."/>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 xml:space="preserve">Figure 6. Recorded experimental results. The three-arm comparison contains seven hostile and two benign proposals per arm. The separate six-profile experiment contains 180 hostile and 58 benign scenarios. These fixture counts do not estimate field attack rates, live-model accuracy or usability.</w:t>
      </w:r>
    </w:p>
    <w:p>
      <w:r>
        <w:t xml:space="preserve">Extending the kernel follows the path the kernel itself took, and is deliberately short. A new domain is a profile: declare its resources, purposes, destinations and permitted effects, and the existing conformance suite runs against it unchanged, which is how the six sector packs were produced from the first. A new control is a capability contract: name the protected asset, the permitted operation, the enforcement point, the accountable owner, the failure test, the evidence artifact and the failure response, and the verifier executes the named test and refuses to count a contract whose test does not run. A new written claim is an entry in the claim register binding that sentence to that test, so a claim whose evidence is later removed fails the build instead of surviving into print. A new threat is a falsifier: express it as an attempt to produce a protected outcome the authority state forbids, and add it to the bounded search. None of these four requires modifying the enforcement core, which is the precise sense in which the architecture is extensible: the core stays small and auditable while the declarations grow.</w:t>
      </w:r>
    </w:p>
    <w:p>
      <w:pPr>
        <w:pStyle w:val="Heading1"/>
        <w:keepNext/>
      </w:pPr>
      <w:r>
        <w:t xml:space="preserve">6. Stopping, Delivery and Monitoring When a Model May Be Covert</w:t>
      </w:r>
    </w:p>
    <w:p>
      <w:r>
        <w:t xml:space="preserve">Three controls answer the questions operators ask before any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task and global-control evidence heads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r>
        <w:t xml:space="preserve">Adversarial review of the mediation boundary itself found three defects, each now refused: unrelated task traffic could displace monitor history and stale its advice, non-string monitor fields could raise uncontrolled type errors, and URL path parameters or encoded delimiters could admit ambiguous destinations. The revised service queries task-indexed evidence before applying the 32-event limit, binds findings to task and global-control heads, and validates field types before interpretation. Global source invalidation and revocation still stale advice. Destination authorisation rejects matrix parameters, encoded delimiters and repeated separators while preserving safe unreserved encoding. Twenty-seven added regression cases check these changes and legitimate continuation; they overlap the reported regression total and are not additional attack episodes. The destination policy remains a transport contract: an adapter must pin the approved address, verify TLS identity, enforce byte limits and reauthorise every redirect. A fourth defect concerned what the evidence chain fails to record. Refusals raised before the request savepoint exists — a revoked agent, a stopped workload, an assurance failure — returned a denial and wrote no evidence at all, so a workload that kept issuing requests after an emergency stop left no trace in the chain, which is precisely the signal an operator needs. Such attempts are recorded outside the failed transaction as blocked attempts bound to the known identity and task, a failure to record one never restores authority, the guardian's own contraction is not rolled back by the recording, and an unknown token records nothing so that anonymous traffic cannot be used to grow the evidence chain. The defect was found by the monitor-quality harness rather than by review of the code, which is the argument for building the harness.</w:t>
      </w:r>
    </w:p>
    <w:p>
      <w:r>
        <w:t xml:space="preserve">Monitor quality is measured rather than described. Labelled held-out trajectories are run through the runtime against a denial oracle, a blind monitor that clears everything, and a hostile monitor that clears every attack and restricts every ordinary task, with false restriction, missed attacks, latency, retained utility and adaptive evasion reported with denominators and intervals. The result that matters is not any of those rates. Across all three monitors, including the one an adversary would install, no protected outcome changes: the hostile monitor costs all of the availability and none of the authority. The evasion figure is reported without flattery. An attacker who probes once, observes the refusal, and thereafter works strictly inside its granted envelope produces a history indistinguishable from ordinary work and evades every monitor reading a metadata-only snapshot [4,7]. That is expected, and it is affordable precisely because the envelope rather than the monitor is what bounds the attacker. Offline rates describe scripted monitors and are not detector accuracy; a live backend yields a report labelled as such, describing one model, one prompt and these trajectories, compared against no published benchmark.</w:t>
      </w:r>
    </w:p>
    <w:p>
      <w:pPr>
        <w:pStyle w:val="Heading1"/>
        <w:keepNext/>
      </w:pPr>
      <w:r>
        <w:t xml:space="preserve">7. What Exact-Byte Release Does Not Close</w:t>
      </w:r>
    </w:p>
    <w:p>
      <w:r>
        <w:t xml:space="preserve">Release escrow fixes the bytes that leave, so a workload cannot put a student record into an approved artifact. It does not fix the decisions around those bytes. An agent holding entirely legitimate, repeated release authority still selects which approved destination receives a report, which approved path it lands on, when it is sent, and how large it is. None of these is an unauthorised act; each is a choice the system handed the model, and a choice is a channel. The confinement problem [20] is therefore not answered by controlling content, and what remains is properly measured in bits [21] rather than argued about in prose. The 2026 implicit-injection results make the concern concrete rather than theoretical [12]: eight approved destinations are three bits per release, and an enrolment status is not many bits. The architecture therefore treats residual choice as an engineering quantity. Where the task contract can supply a value, it does, and the dimension carries nothing because the model never chose it; emission runs on a fixed schedule and artifact sizes are padded to declared buckets, which narrows timing and size the same way. What genuinely remains is counted in bits, charged against a declared per-task budget, and when the budget is spent the next release requires a named human rather than failing silently.</w:t>
      </w:r>
    </w:p>
    <w:p>
      <w:r>
        <w:t xml:space="preserve">The bound is measured rather than asserted. An adversarial encoder that performs no unauthorised operation attempts to move a sixteen-bit secret through these choices, once for each of the 65,536 possible secrets, and the measurement counts how many distinct traces an external observer could distinguish. With every dimension left to the workload the secret crosses intact at 16.0 bits. Canonicalising destination, path, schedule and size reduces it to 1.0 bit, which is the residual carried by how many times the workload releases at all. Fixing the release count and padding with cover emissions that an observer cannot separate from real ones reduces it to 0.0 bits, a single observable trace for every secret, which is observational equivalence in the sense of [17] restricted to this interface. An ordinary two-release workflow completes under all three policies, so the reduction is not obtained by refusing to work; the cost appears instead as 98.4 per cent of adversarial tasks escalating to a named human, which is reported rather than omitted. The figures are an upper bound that assumes a perfect observer and an optimal decoder, they describe one encoder against this interface, and they say nothing about a channel outside the mediated release path. The measurement regenerates offline into audit/covert-channels.json and is checked by make all.</w:t>
      </w:r>
    </w:p>
    <w:p>
      <w:pPr>
        <w:pStyle w:val="Heading1"/>
        <w:keepNext/>
      </w:pPr>
      <w:r>
        <w:t xml:space="preserve">8. Measuring the Assumptions a Deployment Inherits</w:t>
      </w:r>
    </w:p>
    <w:p>
      <w:r>
        <w:t xml:space="preserve">The architecture requires the model runtime to reach protected services only through mediation. Isolation probes make that deployment assumption inspectable; they do not implement it. Seven required properties and one advisory property cover control-store permissions, process identity, enforcement-package integrity, metadata-service reachability, service-account tokens, a declared egress canary, standing credentials and kernel confinement. Each returns satisfied, violated or not measurable; not measurable is never counted as success. Qualification requires every mandatory measurement, the evidence is less than a day old, and it names an operator and a host. The repository host is expected to report reference; a test exists whose only purpose is to fail if they ever stop doing so. A cooperative probe is not an adversarial sandbox-escape evaluation, so deployment acceptance still requires testing a hostile process under the intended isolation policy.</w:t>
      </w:r>
    </w:p>
    <w:p>
      <w:r>
        <w:t xml:space="preserve">The destination contract decided what could be contacted and then opened no socket, so address pinning, certificate verification, redirect handling and byte ceilings were adapter obligations written in prose. The transport component discharges them. It connects to the pinned literal address with no name-service lookup of any kind, so a resolver answer obtained after authorisation cannot move the connection; it verifies the hostname, enforces a protocol-version floor and compares the peer's public key against declared pins; it returns a redirect to the authorisation layer instead of following it; it refuses chunked and duplicated framing, where intermediaries disagree about message boundaries; and it enforces the byte ceiling during the read, so a peer that understates its length cannot overrun the budget. Every one of those properties is exercised against a real handshake with a controlled peer. That peer is a loopback server, and the evidence says so: a qualification marker propagates from the destination policy through the transport record into the promotion gate, which refuses to accept harness evidence as production transport evidence. Controlled tests exercise this code path; the deployment network remains unqualified.</w:t>
      </w:r>
    </w:p>
    <w:p>
      <w:r>
        <w:t xml:space="preserve">Developer integration must distinguish peer identity from artifact identity. Silent Egress shows how outbound requests can disclose context even when a final answer appears harmless [12]; its results motivate observing network effects rather than inspecting answers alone. The fetch_artifact interface returns bytes only after matching an independently approved SHA-256 digest. A valid certificate and pinned key therefore do not authorise changed content. Each transfer keeps its response buffer local, preventing concurrent fetches from mixing bytes. Tests use real loopback TLS handshakes to check exact-byte success, changed-content rejection, concurrent transfers and malformed HTTP framing. The adapter is GET-only and sends no caller-supplied headers, cookies or request body. The caller must enforce the provenance and confidentiality of the requested path: an allowed path can itself carry sensitive data. This is not a general exfiltration detector or a firewall.</w:t>
      </w:r>
    </w:p>
    <w:p>
      <w:r>
        <w:t xml:space="preserve">The threat classes that matured through 2025 and 2026 target the tool surface rather than the model [10,11,27]. A tool description is prose the model reads as instruction, so a server that writes instructions into a description has issued them without being called; a server can present a benign tool for review and redefine it afterwards; a second server can claim a name the first already uses and win resolution; and a chain that has read untrusted content can reach a privileged tool with nothing forged at all. The same rule answers all four. Tools exist only as server-qualified names and a bare name does not resolve, because the ambiguity is the attack and refusing to guess is the fix. Every byte a model will read about a tool is hashed at approval and compared at every offer, so a later redefinition is drift and drift quarantines the tool until a named human approves the new definition. A server that rotates its identity loses every approval it held. Descriptions are scanned for instruction-shaped content before approval, and a flagged description may still be approved knowingly, by a named person, with the acceptance recorded. A call chain that has absorbed an untrusted source is permanently tainted and cannot reach a privileged tool, which is the control-flow and data-flow separation argued for in [2] applied to the tool catalogue rather than to the prompt.</w:t>
      </w:r>
    </w:p>
    <w:p>
      <w:r>
        <w:t xml:space="preserve">Three further boundaries are enforced rather than deferred. A local transaction cannot make a remote effect exactly-once, because the call that times out may have succeeded [22]; outbound effects therefore carry a key derived from the approved decision, record their intent durably before the call, and treat an unacknowledged call as uncertain, which is a state rather than an error to swallow. An uncertain effect is never retried blindly, is reconciled against the provider by key, and blocks the work that depends on it until it settles; a provider offering no lookup leaves a permanent uncertain remainder that the report states rather than resolving by assumption. Authority crossing a service boundary is carried by a signed, audience-bound, single-use, depth-limited grant whose scope is intersected with the receiving service's own ceiling, never merged, so a grant can permit part of what a service already holds and can never teach it something new. An evidence chain kept by one custodian is exactly as trustworthy as that custodian [23], so a head counts as attested only on independent co-signatures above a threshold, and two witnesses attesting different heads at one sequence is reported as a fork rather than averaged away. Promotion to production requires all of it, fresh and together, and names every missing item rather than returning a verdict.</w:t>
      </w:r>
    </w:p>
    <w:p>
      <w:r>
        <w:t xml:space="preserve">Remote settlement also requires explicit evidence. Pending or malformed provider responses remain uncertain and continue to block dependent work; only an applied acknowledgement or authoritative terminal absence can settle the effect. Reusing an idempotency key for another operation is rejected. Provider adapters must map asynchronous acceptance to pending, not applied, and must not interpret an eventually consistent missing record as terminal absence. The executable developer example follows a lost acknowledgement through pending lookup to confirmed reconciliation with one submission. These controls prevent false local confirmation under the tested responses; correctness still depends on the provider adapter honoring this contract. The ledger is a trusted integration component, not a model-facing authorisation endpoint.</w:t>
      </w:r>
    </w:p>
    <w:p>
      <w:pPr>
        <w:pStyle w:val="Heading1"/>
        <w:keepNext/>
      </w:pPr>
      <w:r>
        <w:t xml:space="preserve">9.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 It also matters for conformity. Risk-management frameworks [24] and the obligations now attaching to high-risk educational uses of AI [25] both require an institution to show which controls are in place and on what evidence; a register binding every claim to an executing test is that showing, produced as a by-product of building the system rather than as a separate compliance exercise. UNESCO’s guidance for generative AI in education and research [26] asks the same of institutions in terms they can act on, and the equity argument above is why SDG 4 of the 2030 Agenda [28] is the goal this work serves most directly.</w:t>
      </w:r>
    </w:p>
    <w:p>
      <w:r>
        <w:t xml:space="preserve">A concrete teaching exercise follows a synthetic transcript correction. The agent retrieves only the authorised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authorisation, source validity and correctness. No result here measures learning outcomes or fairness; those require an institutional study.</w:t>
      </w:r>
    </w:p>
    <w:p>
      <w:pPr>
        <w:pStyle w:val="Heading1"/>
        <w:keepNext/>
      </w:pPr>
      <w:r>
        <w:t xml:space="preserve">10. Limitations and Deployment Obligations</w:t>
      </w:r>
    </w:p>
    <w:p>
      <w:pPr/>
      <w:r>
        <w:t xml:space="preserve">The experiments use synthetic fixtures and declared interfaces. The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Cross-service authority, independent witnesses, outbound-effect settlement, tool-supply integrity and an evidence-gated promotion decision are implemented and tested here, and host isolation and transport are measured rather than assumed; measuring an assumption is not supplying it. Three limits are stated as acceptance criteria rather than as future work. Host isolation must be exercised adversarially in the target deployment, because a cooperative probe run inside the process cannot establish the absence of every path. Transport must be qualified against the institution's real peer with its own certificates and firewall, because the controlled peer used here is a loopback server and its evidence is marked as such and refused by the promotion gate. Physical data erasure and the training lifecycle remain deployment work. Remote effects are at-most-once with reconciliation by key, and exactly-once-observable only where a provider supports lookup by that key; a provider without lookup leaves a permanent uncertain remainder. The supplementary incident map is an architectural reading of public disclosures. Five of the fourteen mapped stages are not mediated locally; its existence is not evidence that the system would prevent a real breach. The institutional study is not run. A preregistration, its hypotheses, its subgroup plan and its minimum sample are published, and the analysis computes every preregistered quantity, but it refuses conclusions on synthetic fixtures, below the preregistered sample, on subgroups under the cell minimum, or under a changed analysis plan. Nothing here measures student outcomes or equitable decisions, and the instrument is written so that it cannot be made to appear to.</w:t>
      </w:r>
    </w:p>
    <w:p>
      <w:pPr>
        <w:pStyle w:val="Heading1"/>
        <w:keepNext/>
      </w:pPr>
      <w:r>
        <w:t xml:space="preserve">11.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authority controls run with python -m pytest tests/test_frontier_controls.py tests/test_incident_map.py, and the threat reading is published as docs/THREAT_MODEL_2026.md with its machine-checked form in audit/incident-map.json. DEVELOPER_GUIDE.md is the integration path; make developer-demo runs an offline artifact-integrity and settlement example, make covert-channels reproduces the release-choice measurement, and make all runs the complete release check. This manuscript is itself generated by a script from reviewed content, so every change to its prose is reviewable as code, and each earlier version is preserved unedited for provenance. No external model, network peer or real student record is used anywhere in the reviewer path.</w:t>
      </w:r>
    </w:p>
    <w:p>
      <w:pPr>
        <w:pStyle w:val="Heading1"/>
        <w:keepNext/>
        <w:pageBreakBefore/>
      </w:pPr>
      <w:r>
        <w:t>References</w:t>
      </w:r>
    </w:p>
    <w:p>
      <w:pPr>
        <w:pStyle w:val="TBCRef"/>
      </w:pPr>
      <w:r>
        <w:t xml:space="preserve">Recent research</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p>
      <w:pPr>
        <w:pStyle w:val="TBCRef"/>
      </w:pPr>
      <w:r>
        <w:t xml:space="preserve">[10] F. Alpay and T. Alpay, AgentSecBench: Measuring Prompt Injection, Privacy Leakage, and Tool-Use Integrity in LLM Agents. Research preprint, 2026. https://arxiv.org/abs/2605.26269</w:t>
      </w:r>
    </w:p>
    <w:p>
      <w:pPr>
        <w:pStyle w:val="TBCRef"/>
      </w:pPr>
      <w:r>
        <w:t xml:space="preserve">[11] H. Li et al., AgentDyn: Are Your Agent Security Defenses Deployable in Real-World Dynamic Environments?. Research preprint, 2026. https://arxiv.org/abs/2602.03117</w:t>
      </w:r>
    </w:p>
    <w:p>
      <w:pPr>
        <w:pStyle w:val="TBCRef"/>
      </w:pPr>
      <w:r>
        <w:t xml:space="preserve">[12] Q. Lan et al., Silent Egress: When Implicit Prompt Injection Makes LLM Agents Leak Without a Trace. Research preprint, 2026. https://arxiv.org/abs/2602.22450</w:t>
      </w:r>
    </w:p>
    <w:p>
      <w:pPr>
        <w:pStyle w:val="TBCRef"/>
      </w:pPr>
      <w:r>
        <w:t xml:space="preserve">Foundations</w:t>
      </w:r>
    </w:p>
    <w:p>
      <w:pPr>
        <w:pStyle w:val="TBCRef"/>
      </w:pPr>
      <w:r>
        <w:t xml:space="preserve">[13] J. H. Saltzer and M. D. Schroeder, The Protection of Information in Computer Systems. Proceedings of the IEEE, 63(9):1278-1308, 1975.</w:t>
      </w:r>
    </w:p>
    <w:p>
      <w:pPr>
        <w:pStyle w:val="TBCRef"/>
      </w:pPr>
      <w:r>
        <w:t xml:space="preserve">[14] J. B. Dennis and E. C. Van Horn, Programming Semantics for Multiprogrammed Computations. Communications of the ACM, 9(3):143-155, 1966.</w:t>
      </w:r>
    </w:p>
    <w:p>
      <w:pPr>
        <w:pStyle w:val="TBCRef"/>
      </w:pPr>
      <w:r>
        <w:t xml:space="preserve">[15] M. S. Miller, Robust Composition: Towards a Unified Approach to Access Control and Concurrency Control. PhD thesis, Johns Hopkins University, 2006.</w:t>
      </w:r>
    </w:p>
    <w:p>
      <w:pPr>
        <w:pStyle w:val="TBCRef"/>
      </w:pPr>
      <w:r>
        <w:t xml:space="preserve">[16] D. E. Denning, A Lattice Model of Secure Information Flow. Communications of the ACM, 19(5):236-243, 1976.</w:t>
      </w:r>
    </w:p>
    <w:p>
      <w:pPr>
        <w:pStyle w:val="TBCRef"/>
      </w:pPr>
      <w:r>
        <w:t xml:space="preserve">[17] J. A. Goguen and J. Meseguer, Security Policies and Security Models. IEEE Symposium on Security and Privacy, pp. 11-20, 1982.</w:t>
      </w:r>
    </w:p>
    <w:p>
      <w:pPr>
        <w:pStyle w:val="TBCRef"/>
      </w:pPr>
      <w:r>
        <w:t xml:space="preserve">[18] K. J. Biba, Integrity Considerations for Secure Computer Systems. MITRE Technical Report ESD-TR-76-372, 1977.</w:t>
      </w:r>
    </w:p>
    <w:p>
      <w:pPr>
        <w:pStyle w:val="TBCRef"/>
      </w:pPr>
      <w:r>
        <w:t xml:space="preserve">[19] D. D. Clark and D. R. Wilson, A Comparison of Commercial and Military Computer Security Policies. IEEE Symposium on Security and Privacy, pp. 184-194, 1987.</w:t>
      </w:r>
    </w:p>
    <w:p>
      <w:pPr>
        <w:pStyle w:val="TBCRef"/>
      </w:pPr>
      <w:r>
        <w:t xml:space="preserve">[20] B. W. Lampson, A Note on the Confinement Problem. Communications of the ACM, 16(10):613-615, 1973.</w:t>
      </w:r>
    </w:p>
    <w:p>
      <w:pPr>
        <w:pStyle w:val="TBCRef"/>
      </w:pPr>
      <w:r>
        <w:t xml:space="preserve">[21] C. E. Shannon, A Mathematical Theory of Communication. Bell System Technical Journal, 27(3):379-423, 1948.</w:t>
      </w:r>
    </w:p>
    <w:p>
      <w:pPr>
        <w:pStyle w:val="TBCRef"/>
      </w:pPr>
      <w:r>
        <w:t xml:space="preserve">[22] A. D. Birrell and B. J. Nelson, Implementing Remote Procedure Calls. ACM Transactions on Computer Systems, 2(1):39-59, 1984.</w:t>
      </w:r>
    </w:p>
    <w:p>
      <w:pPr>
        <w:pStyle w:val="TBCRef"/>
      </w:pPr>
      <w:r>
        <w:t xml:space="preserve">[23] S. Haber and W. S. Stornetta, How to Time-Stamp a Digital Document. Journal of Cryptology, 3(2):99-111, 1991.</w:t>
      </w:r>
    </w:p>
    <w:p>
      <w:pPr>
        <w:pStyle w:val="TBCRef"/>
      </w:pPr>
      <w:r>
        <w:t xml:space="preserve">Standards and policy</w:t>
      </w:r>
    </w:p>
    <w:p>
      <w:pPr>
        <w:pStyle w:val="TBCRef"/>
      </w:pPr>
      <w:r>
        <w:t xml:space="preserve">[24] National Institute of Standards and Technology, Artificial Intelligence Risk Management Framework (AI RMF 1.0). NIST AI 100-1, 2023.</w:t>
      </w:r>
    </w:p>
    <w:p>
      <w:pPr>
        <w:pStyle w:val="TBCRef"/>
      </w:pPr>
      <w:r>
        <w:t xml:space="preserve">[25] European Parliament and Council, Regulation (EU) 2024/1689 laying down harmonised rules on artificial intelligence. Official Journal of the European Union, 2024.</w:t>
      </w:r>
    </w:p>
    <w:p>
      <w:pPr>
        <w:pStyle w:val="TBCRef"/>
      </w:pPr>
      <w:r>
        <w:t xml:space="preserve">[26] UNESCO, Guidance for Generative AI in Education and Research. UNESCO, Paris, 2023.</w:t>
      </w:r>
    </w:p>
    <w:p>
      <w:pPr>
        <w:pStyle w:val="TBCRef"/>
      </w:pPr>
      <w:r>
        <w:t xml:space="preserve">[27] Open Worldwide Application Security Project, OWASP Top 10 for Large Language Model Applications. OWASP Foundation, 2025.</w:t>
      </w:r>
    </w:p>
    <w:p>
      <w:pPr>
        <w:pStyle w:val="TBCRef"/>
      </w:pPr>
      <w:r>
        <w:t xml:space="preserve">[28] United Nations General Assembly, Transforming Our World: The 2030 Agenda for Sustainable Development. Resolution A/RES/70/1, 2015.</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