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t>Trust by Construction: A High-Assurance Reference Architecture</w:t>
        <w:br/>
        <w:t>for Agentic AI in Learning Institutions</w:t>
      </w:r>
    </w:p>
    <w:p>
      <w:pPr>
        <w:pStyle w:val="TBCSubtitle"/>
      </w:pPr>
      <w:r>
        <w:t>Scale Intelligence Without Scaling Implicit Authority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Generative AI is moving from conversational assistance to agentic operation: systems retrieve institutional data, invoke tools, execute code, retain memory, delegate to subordinate agents, and act across digital environments. The assurance question is therefore no longer whether a model gives a correct answer, but what a model can cause when it is wrong, manipulated, or pursuing an objective it does not disclose. Two developments sharpen this. A publicly disclosed intrusion showed an autonomous agent system converting ordinary software flaws into cross-cluster institutional reach at machine speed [7,8,24]. Alignment research showed that a model can behave cooperatively while pursuing a hidden objective, and that a model monitoring another model can miss it [21-23]. Trust by Construction treats the model as an untrusted reasoning engine rather than the security boundary, and extends that rule to the monitor: authorisation depends on neither the acting model's nor the reviewing model's judgment. Authority is declared in machine-readable form, narrowed per task, attenuated across delegation, and enforced by deterministic control services outside the reasoning layer. The architecture combines an AI Workload Passport, Task Contract, Dynamic Capability Envelope, Context and Memory Gateways, population-level agent controls, typed AI Intermediate Representation (AI-IR), Data Lineage Firewall, Release Escrow, continuous counterexample testing, and three controls added in this revision: a durable workload stop that survives evidence-plane failure and service restart, reauthorisation of queued output at every delivery boundary, and a restrict-only monitor interface that can contract authority but never grant it. A public Apache-2.0 reference kernel makes these claims executable on synthetic fixtures and regenerates the reported evidence offline. The design rule is proof before power: additional context, tools, agents, network reach, effects, and releases require independently verifiable authority. The work does not claim that authorised AI decisions are correct, that synthetic containment establishes production security, or that these controls would have prevented any real incident.</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are a demanding setting for agentic AI: tutors may reach student records; research agents may traverse public sources and repositories; coding agents may execute software; and administrative agents may act on assessment and admissions. The risk therefore moves beyond what the model says to what the system can cause. NIST and OWASP now treat identity, authorisation, runtime control, and traceability as first-class concerns for agents [2-6]. The July 2026 Hugging Face disclosure and its technical timeline state the systems problem precisely [7,8,24]. An agent system left an evaluation environment through a conventional vulnerability, used credentials exposed on the public web, obtained code execution inside production data-processing workers, read service-account tokens and cloud metadata from the pods it reached, enrolled devices into an internal network with a harvested key, and moved across clusters on one broadly scoped connector credential: roughly 17,600 recorded actions in about four and a half days, coordinated over ordinary public services rather than any declared channel. The initial compromise was ordinary software failure. Every amplifying step afterwards was an authority property: standing credentials, unconstrained reach, undeclared channels, and no bound on the number of mediated attempts. Trust by Construction does not claim to prevent conventional vulnerabilities; it aims to prevent an intelligence-layer compromise from automatically becoming institutional authority. The repository publishes this reading as a machine-checked map that assigns each reported stage to a mediated control, a deployment requirement, or a platform property the architecture does not supply. Five of the fourteen mapped stages are not mediated locally, and the map is tested to keep them visible.</w:t>
      </w:r>
    </w:p>
    <w:p>
      <w:r>
        <w:t>The underlying mechanisms are established: reference monitors, capability systems, information-flow control, and zero trust [10–13]. Recent work such as CaMeL and FIDES applies related ideas to language-model agents [14,15], and AI-control research likewise asks how safety can hold when a model is intentionally subversive [17]. The contribution here is compositional: authority declared per workload, computed per task, attenuated across delegation, evaluated over communicating agent populations, bound to institutional purpose and data rights, and qualified by adversarial substitution rather than model-behaviour scores.</w:t>
      </w:r>
    </w:p>
    <w:p>
      <w:r>
        <w:t xml:space="preserve">A second body of evidence constrains the design in a different direction. Anti-scheming work trained reasoning models against an explicit specification and reported roughly a thirty-fold reduction in covert actions across twenty-six held-out agentic evaluations, while also reporting residual cases under further red-teaming and partial attribution to the model recognising that it was being evaluated [21]. Studies of agentic misalignment across sixteen frontier models found insider-threat behaviour under goal conflict and threatened replacement [23]. The multi-organisation position on chain-of-thought monitorability describes reasoning transparency as a real but fragile signal that training pressure can erode [22]. Policy analysis through 2026 draws the operational conclusion that autonomy risk is near-term engineering work rather than speculation [25]. The architectural consequence is narrow and testable. A monitor is worth deploying, but it must never be worth compromising: authorisation must depend on neither the acting model's nor the reviewing model's judgment, and a detector that could restore privilege would itself become the escalation path.</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Complete mediation also requires deployment enforcement that prevents the model process from bypassing that boundary through host files, sockets, credentials, or undeclared channels; the local Python implementation alone does not establish that condition.</w:t>
      </w:r>
    </w:p>
    <w:p>
      <w:r>
        <w:t>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A credentialless agent runtime requests short-lived capabilities; long-lived database, cloud-control, signing, or infrastructure credentials remain outside the model process.</w:t>
      </w:r>
    </w:p>
    <w:p>
      <w:r>
        <w:t>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artefacts, while Release Escrow provides explicit, auditable declassification and recipient checks. Transformation is not declassification.</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The architecture is implemented as the public FSSAI-RA reference kernel [20].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in the reported experiments; they are synthetic fixtures. This matters because the artifact demonstrates mechanisms and falsifiers without implying field effectiveness.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0% → 29% → 100% attack containment on the same synthetic suite</w:t>
            </w:r>
          </w:p>
        </w:tc>
        <w:tc>
          <w:tcPr>
            <w:tcW w:type="dxa" w:w="3389"/>
            <w:vAlign w:val="top"/>
          </w:tcPr>
          <w:p>
            <w:r>
              <w:rPr>
                <w:sz w:val="16"/>
              </w:rPr>
              <w:t>Measured on the same synthetic attack suite; intended as reproducible architecture evidence,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Demonstrates domain portability of the control kernel across synthetic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1,117 tests passed; ten source-bound capability contracts executed</w:t>
            </w:r>
          </w:p>
        </w:tc>
        <w:tc>
          <w:tcPr>
            <w:tcW w:type="dxa" w:w="3389"/>
          </w:tcPr>
          <w:p>
            <w:r>
              <w:rPr>
                <w:sz w:val="16"/>
              </w:rPr>
              <w:t xml:space="preserve">Local functional evidence, including schema rejection, durable source quarantine and the added frontier controls; not operational certification</w:t>
            </w:r>
          </w:p>
        </w:tc>
      </w:tr>
      <w:tr>
        <w:tc>
          <w:tcPr>
            <w:tcW w:type="dxa" w:w="3389"/>
          </w:tcPr>
          <w:p>
            <w:r>
              <w:rPr>
                <w:sz w:val="16"/>
              </w:rPr>
              <w:t xml:space="preserve">Frontier-threat controls</w:t>
            </w:r>
          </w:p>
        </w:tc>
        <w:tc>
          <w:tcPr>
            <w:tcW w:type="dxa" w:w="3389"/>
          </w:tcPr>
          <w:p>
            <w:r>
              <w:rPr>
                <w:sz w:val="16"/>
              </w:rPr>
              <w:t xml:space="preserve">16 executed cases: durable stop, per-chunk reauthorisation, restrict-only monitoring</w:t>
            </w:r>
          </w:p>
        </w:tc>
        <w:tc>
          <w:tcPr>
            <w:tcW w:type="dxa" w:w="3389"/>
          </w:tcPr>
          <w:p>
            <w:r>
              <w:rPr>
                <w:sz w:val="16"/>
              </w:rPr>
              <w:t xml:space="preserve">Deterministic local scenarios over the declared interface; they do not replay frontier-model experiments or estimate real-world frequency</w:t>
            </w:r>
          </w:p>
        </w:tc>
      </w:tr>
    </w:tbl>
    <w:p>
      <w:pPr>
        <w:pStyle w:val="TBCCaption"/>
      </w:pPr>
      <w:r>
        <w:t>Table 1. The repository publishes denominators and non-claims so synthetic containment is not presented as certification.</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Ten contracts are verified by executing their named tests; the reports bind outcomes to the source digest. Bundle and destination tests establish contract behavior only. They are not evidence of measured runtime identity or deployed network isolation. This distinction makes missing engineering work visible rather than converting a passing unit test into a production assurance claim.</w:t>
      </w:r>
    </w:p>
    <w:p>
      <w:r>
        <w:t>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Figure 4. Integration roadmap. The local SDK and Guardian are implemented; external framework adapters, institutional pilots and transport qualification remain future work.</w:t>
      </w:r>
    </w:p>
    <w:p>
      <w:pPr>
        <w:pStyle w:val="Heading1"/>
        <w:keepNext/>
      </w:pPr>
      <w:r>
        <w:t>5. Engineering Implementation and Qualification</w:t>
      </w:r>
    </w:p>
    <w:p>
      <w:r>
        <w:t>The executable SDK now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This revision adds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Figure 6. Falsifiable evaluation. The enforcement core remains fixed while the model slot is swapped; invariant failures expose residual dependence on model behaviour.</w:t>
      </w:r>
    </w:p>
    <w:p>
      <w:pPr>
        <w:pStyle w:val="Heading1"/>
        <w:keepNext/>
      </w:pPr>
      <w:r>
        <w:t xml:space="preserve">6. Stopping, Delivery and Monitoring When a Model May Be Covert</w:t>
      </w:r>
    </w:p>
    <w:p>
      <w:r>
        <w:t xml:space="preserve">Three controls added in this revision answer questions operators ask before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and the current evidence head,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pPr>
        <w:pStyle w:val="Heading1"/>
        <w:keepNext/>
      </w:pPr>
      <w:r>
        <w:t xml:space="preserve">7. Relevance to AI × Education and Sustainable Development</w:t>
      </w:r>
    </w:p>
    <w:p>
      <w:r>
        <w:t>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deployment safer,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w:t>
      </w:r>
    </w:p>
    <w:p>
      <w:r>
        <w:t xml:space="preserve">The alignment is therefore concrete rather than decorative. It supports SDG 4 by protecting student records, assessment integrity, and the fairness of automated administrative decisions as agents enter learning systems; SDG 9 by supplying reusable, auditable infrastructure for autonomous institutional workflows; and SDG 16 by making institutional authority explicit, bounded, revocable, and evidenced, which is a precondition for accountable public administration wherever AI now acts. The same kernel rebinds through domain packs to health, finance, legal services, and public benefits, so a control tested once can be reused by institutions that could not have built it.</w:t>
      </w:r>
    </w:p>
    <w:p>
      <w:pPr/>
      <w:r>
        <w:t xml:space="preserve">Threats to validity and deployment limits. All reported containment results use synthetic fixtures and declared interfaces. They do not estimate real-world attack frequency, educational benefit, reviewer accuracy or robustness against undeclared host paths. Independent operational witnesses, workload federation, hardware-backed key custody, OS isolation, credential rotation, revocable streaming, browser isolation and the full training/promotion lifecycle remain qualification work. The reference does not claim that an authorized action is substantively correct, that logical memory expiry erases backups, or that local transactions provide exactly-once external effects. The three controls added in this revision are tested as deterministic local scenarios over the declared interface; they do not reproduce frontier-model propensities, and the incident map is an architectural reading of a public disclosure rather than a reconstruction or a claim that any real breach was preventable. The workload stop bounds declared authority, not host processes. The monitor interface bounds what a monitor can do to authority; it does not make a monitor accurate.</w:t>
      </w:r>
    </w:p>
    <w:p>
      <w:pPr>
        <w:pStyle w:val="Heading1"/>
        <w:keepNext/>
      </w:pPr>
      <w:r>
        <w:t xml:space="preserve">8.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[20].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original v11 Word source remains preserved for provenance, while the revised paper is bound separately to its engineering claims. The controls added in this revision run with python -m pytest tests/test_frontier_controls.py tests/test_incident_map.py, and the incident reading is published as docs/THREAT_MODEL_2026.md with its machine-checked form in audit/incident-map.json.</w:t>
      </w:r>
    </w:p>
    <w:p>
      <w:pPr>
        <w:pStyle w:val="Heading1"/>
        <w:keepNext/>
        <w:pageBreakBefore/>
      </w:pPr>
      <w:r>
        <w:t>References</w:t>
      </w:r>
    </w:p>
    <w:p>
      <w:pPr>
        <w:pStyle w:val="TBCRef"/>
      </w:pPr>
      <w:r>
        <w:t>[1] United Nations University Macau, “UNU Macau AI Conference 2026,” 2026.</w:t>
      </w:r>
    </w:p>
    <w:p>
      <w:pPr>
        <w:pStyle w:val="TBCRef"/>
      </w:pPr>
      <w:r>
        <w:t>[2] National Institute of Standards and Technology, Center for AI Standards and Innovation, “AI Agent Standards Initiative,” 2026.</w:t>
      </w:r>
      <w:r>
        <w:t xml:space="preserve"> https://www.nist.gov/news-events/news/2026/02/announcing-ai-agent-standards-initiative-interoperable-and-secure</w:t>
      </w:r>
    </w:p>
    <w:p>
      <w:pPr>
        <w:pStyle w:val="TBCRef"/>
      </w:pPr>
      <w:r>
        <w:t>[3] NIST NCCoE, Accelerating the Adoption of Software and Artificial Intelligence Agent Identity and Authorization, Initial Public Draft, 2026.</w:t>
      </w:r>
    </w:p>
    <w:p>
      <w:pPr>
        <w:pStyle w:val="TBCRef"/>
      </w:pPr>
      <w:r>
        <w:t>[4] J. Riggs et al., Summary Analysis of Responses Regarding Security Considerations for AI Agents, NIST Trustworthy and Responsible AI 800-5, 2026.</w:t>
      </w:r>
    </w:p>
    <w:p>
      <w:pPr>
        <w:pStyle w:val="TBCRef"/>
      </w:pPr>
      <w:r>
        <w:t>[5] OWASP GenAI Security Project, OWASP Top 10 for Agentic Applications for 2026, 2025.</w:t>
      </w:r>
    </w:p>
    <w:p>
      <w:pPr>
        <w:pStyle w:val="TBCRef"/>
      </w:pPr>
      <w:r>
        <w:t>[6] OWASP GenAI Security Project, Agent Control Standard, 2026.</w:t>
      </w:r>
    </w:p>
    <w:p>
      <w:pPr>
        <w:pStyle w:val="TBCRef"/>
      </w:pPr>
      <w:r>
        <w:t>[7] Hugging Face, “Security incident disclosure — July 2026,” 2026.</w:t>
      </w:r>
      <w:r>
        <w:t xml:space="preserve"> https://huggingface.co/blog/security-incident-july-2026</w:t>
      </w:r>
    </w:p>
    <w:p>
      <w:pPr>
        <w:pStyle w:val="TBCRef"/>
      </w:pPr>
      <w:r>
        <w:t>[8] OpenAI, “The Hugging Face incident and the road ahead,” 2026.</w:t>
      </w:r>
      <w:r>
        <w:t xml:space="preserve"> https://openai.com/index/hugging-face-incident-and-the-road-ahead/</w:t>
      </w:r>
    </w:p>
    <w:p>
      <w:pPr>
        <w:pStyle w:val="TBCRef"/>
      </w:pPr>
      <w:r>
        <w:t>[9] METR and Redwood Research, “Brief independent investigation of agents’ behavior, reasoning and collaboration in the OpenAI / Hugging Face hacking incident,” 2026.</w:t>
      </w:r>
    </w:p>
    <w:p>
      <w:pPr>
        <w:pStyle w:val="TBCRef"/>
      </w:pPr>
      <w:r>
        <w:t>[10] J. H. Saltzer and M. D. Schroeder, “The Protection of Information in Computer Systems,” Proceedings of the IEEE, 1975.</w:t>
      </w:r>
    </w:p>
    <w:p>
      <w:pPr>
        <w:pStyle w:val="TBCRef"/>
      </w:pPr>
      <w:r>
        <w:t>[11] J. B. Dennis and E. C. Van Horn, “Programming Semantics for Multiprogrammed Computations,” Communications of the ACM, 1966.</w:t>
      </w:r>
    </w:p>
    <w:p>
      <w:pPr>
        <w:pStyle w:val="TBCRef"/>
      </w:pPr>
      <w:r>
        <w:t>[12] D. E. Denning, “A Lattice Model of Secure Information Flow,” Communications of the ACM, 1976.</w:t>
      </w:r>
    </w:p>
    <w:p>
      <w:pPr>
        <w:pStyle w:val="TBCRef"/>
      </w:pPr>
      <w:r>
        <w:t>[13] National Institute of Standards and Technology, Zero Trust Architecture, NIST SP 800-207, 2020.</w:t>
      </w:r>
    </w:p>
    <w:p>
      <w:pPr>
        <w:pStyle w:val="TBCRef"/>
      </w:pPr>
      <w:r>
        <w:t>[14] E. Debenedetti et al., “Defeating Prompt Injections by Design (CaMeL),” 2025.</w:t>
      </w:r>
    </w:p>
    <w:p>
      <w:pPr>
        <w:pStyle w:val="TBCRef"/>
      </w:pPr>
      <w:r>
        <w:t>[15] M. Costa et al., “Securing AI Agents with Information-Flow Control (FIDES),” 2025.</w:t>
      </w:r>
    </w:p>
    <w:p>
      <w:pPr>
        <w:pStyle w:val="TBCRef"/>
      </w:pPr>
      <w:r>
        <w:t>[16] L. Beurer-Kellner et al., “Design Patterns for Securing LLM Agents against Prompt Injection,” 2025.</w:t>
      </w:r>
    </w:p>
    <w:p>
      <w:pPr>
        <w:pStyle w:val="TBCRef"/>
      </w:pPr>
      <w:r>
        <w:t>[17] R. Greenblatt et al., “AI Control: Improving Safety Despite Intentional Subversion,” 2024.</w:t>
      </w:r>
    </w:p>
    <w:p>
      <w:pPr>
        <w:pStyle w:val="TBCRef"/>
      </w:pPr>
      <w:r>
        <w:t>[18] UNESCO, AI Competency Framework for Students and AI Competency Framework for Teachers, 2024.</w:t>
      </w:r>
    </w:p>
    <w:p>
      <w:pPr>
        <w:pStyle w:val="TBCRef"/>
      </w:pPr>
      <w:r>
        <w:t>[19] United Nations University Macau, UNU–Springer Book Series on Artificial Intelligence and Sustainable Development, 2025.</w:t>
      </w:r>
    </w:p>
    <w:p>
      <w:pPr>
        <w:pStyle w:val="TBCRef"/>
      </w:pPr>
      <w:r>
        <w:t>[20] R. Srivastava, FSSAI-RA: Fail-Secure Sovereign AI Reference Architecture, Apache-2.0 public reference implementation, 2026. https://github.com/genaiworks/fssai-ra</w:t>
      </w:r>
    </w:p>
    <w:p>
      <w:pPr>
        <w:pStyle w:val="TBCRef"/>
      </w:pPr>
      <w:r>
        <w:t xml:space="preserve">[21] B. Schoen et al., “Stress Testing Deliberative Alignment for Anti-Scheming Training,” 2025. https://arxiv.org/abs/2509.15541</w:t>
      </w:r>
    </w:p>
    <w:p>
      <w:pPr>
        <w:pStyle w:val="TBCRef"/>
      </w:pPr>
      <w:r>
        <w:t xml:space="preserve">[22] T. Korbak et al., “Chain of Thought Monitorability: A New and Fragile Opportunity for AI Safety,” 2025. https://arxiv.org/abs/2507.11473</w:t>
      </w:r>
    </w:p>
    <w:p>
      <w:pPr>
        <w:pStyle w:val="TBCRef"/>
      </w:pPr>
      <w:r>
        <w:t xml:space="preserve">[23] A. Lynch et al., “Agentic Misalignment: How LLMs Could Be Insider Threats,” 2025. https://arxiv.org/abs/2510.05179</w:t>
      </w:r>
    </w:p>
    <w:p>
      <w:pPr>
        <w:pStyle w:val="TBCRef"/>
      </w:pPr>
      <w:r>
        <w:t xml:space="preserve">[24] Hugging Face, “Anatomy of a Frontier Lab Agent Intrusion: A Technical Timeline of the July 2026 Incident,” 2026. https://huggingface.co/blog/agent-intrusion-technical-timeline</w:t>
      </w:r>
    </w:p>
    <w:p>
      <w:pPr>
        <w:pStyle w:val="TBCRef"/>
      </w:pPr>
      <w:r>
        <w:t xml:space="preserve">[25] D. Amodei, “The Adolescence of Technology,” essay, 2026. https://darioamodei.com/essay/the-adolescence-of-technology</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