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rPr>
          <w:b/>
        </w:rPr>
        <w:t>Trust by Construction: A High-Assurance Reference Architecture</w:t>
        <w:br/>
        <w:t>for Agentic AI in Learning Institutions</w:t>
      </w:r>
    </w:p>
    <w:p>
      <w:pPr>
        <w:pStyle w:val="TBCSubtitle"/>
      </w:pPr>
      <w:r>
        <w:t>Scale Intelligence Without Scaling Implicit Authority</w:t>
      </w:r>
    </w:p>
    <w:p>
      <w:pPr>
        <w:spacing w:after="0"/>
        <w:jc w:val="center"/>
      </w:pPr>
      <w:r>
        <w:rPr>
          <w:b/>
          <w:sz w:val="20"/>
        </w:rPr>
        <w:t>Rachana (Gen) Srivastava</w:t>
      </w:r>
    </w:p>
    <w:p>
      <w:pPr>
        <w:spacing w:after="0"/>
        <w:jc w:val="center"/>
      </w:pPr>
      <w:r>
        <w:rPr>
          <w:color w:val="5F5F5F"/>
          <w:sz w:val="17"/>
        </w:rPr>
        <w:t>Enterprise Architect | AI Systems Researcher</w:t>
      </w:r>
    </w:p>
    <w:p>
      <w:pPr>
        <w:spacing w:after="80"/>
        <w:jc w:val="center"/>
      </w:pPr>
      <w:r>
        <w:rPr>
          <w:color w:val="5F5F5F"/>
          <w:sz w:val="16"/>
        </w:rPr>
        <w:t>UNU Macau AI Conference 2026 — “AI × Education: AI for Learning, Learning for AI”  |  Artifact: github.com/genaiworks/fssai-ra</w:t>
      </w:r>
    </w:p>
    <w:p>
      <w:pPr>
        <w:pStyle w:val="Heading1"/>
        <w:keepNext/>
      </w:pPr>
      <w:r>
        <w:t>Abstract</w:t>
      </w:r>
    </w:p>
    <w:p>
      <w:r>
        <w:t>Generative AI is moving from conversational assistance to agentic operation: systems retrieve institutional data, invoke tools, execute code, retain memory, delegate to subordinate agents, and act across digital environments. This changes the assurance question from whether a model gives a correct answer to what a model can cause when it is wrong, manipulated, or adversarial. Trust by Construction treats the model as an untrusted reasoning engine rather than the security boundary. Authority is declared in machine-readable form, narrowed per task, attenuated across delegation, and enforced by deterministic control services outside the reasoning layer. The architecture combines an AI Workload Passport, Task Contract, Dynamic Capability Envelope, Context and Memory Gateways, population-level agent controls, typed AI Intermediate Representation (AI-IR), Data Lineage Firewall, Release Escrow, and continuous counterexample testing. A public Apache-2.0 reference kernel makes these claims executable on synthetic fixtures and regenerates the reported evidence offline. The design rule is proof before power: additional context, tools, agents, network reach, effects, and releases require independently verifiable authority. The work does not claim that authorised AI decisions are correct or that synthetic containment establishes production security.</w:t>
      </w:r>
    </w:p>
    <w:p>
      <w:pPr>
        <w:spacing w:after="80"/>
      </w:pPr>
      <w:r>
        <w:rPr>
          <w:b/>
        </w:rPr>
        <w:t xml:space="preserve">Keywords: </w:t>
      </w:r>
      <w:r>
        <w:t>agentic AI security; capability-based authorisation; prompt injection; multi-agent systems; information-flow control; AI literacy; education governance; digital public goods</w:t>
      </w:r>
    </w:p>
    <w:p>
      <w:pPr>
        <w:pStyle w:val="Heading1"/>
        <w:keepNext/>
      </w:pPr>
      <w:r>
        <w:t>1. From Model Risk to Authority Risk</w:t>
      </w:r>
    </w:p>
    <w:p>
      <w:r>
        <w:t>Learning institutions are a demanding setting for agentic AI: tutors may reach student records; research agents may traverse public sources and repositories; coding agents may execute software; and administrative agents may act on assessment and admissions. The risk therefore moves beyond what the model says to what the system can cause. NIST and OWASP now treat identity, authorisation, runtime control, and traceability as first-class concerns for agents [2–6]. The July 2026 Hugging Face incident illustrates the systems problem: conventional software flaws enabled initial compromise, while standing credentials, network reach, and machine-speed coordination amplified the blast radius [7–9]. Trust by Construction does not claim to prevent conventional vulnerabilities; it aims to prevent an intelligence-layer compromise from automatically becoming institutional authority.</w:t>
      </w:r>
    </w:p>
    <w:p>
      <w:r>
        <w:t>The underlying mechanisms are established: reference monitors, capability systems, information-flow control, and zero trust [10–13]. Recent work such as CaMeL and FIDES applies related ideas to language-model agents [14,15], and AI-control research likewise asks how safety can hold when a model is intentionally subversive [17]. The contribution here is compositional: authority declared per workload, computed per task, attenuated across delegation, evaluated over communicating agent populations, bound to institutional purpose and data rights, and qualified by adversarial substitution rather than model-behaviour scores.</w:t>
      </w:r>
    </w:p>
    <w:p>
      <w:pPr>
        <w:spacing w:before="20" w:after="0"/>
        <w:jc w:val="center"/>
        <w:keepNext/>
      </w:pPr>
      <w:r>
        <w:drawing>
          <wp:inline xmlns:a="http://schemas.openxmlformats.org/drawingml/2006/main" xmlns:pic="http://schemas.openxmlformats.org/drawingml/2006/picture">
            <wp:extent cx="5715000" cy="3159736"/>
            <wp:docPr id="1" name="Picture 1"/>
            <wp:cNvGraphicFramePr>
              <a:graphicFrameLocks noChangeAspect="1"/>
            </wp:cNvGraphicFramePr>
            <a:graphic>
              <a:graphicData uri="http://schemas.openxmlformats.org/drawingml/2006/picture">
                <pic:pic>
                  <pic:nvPicPr>
                    <pic:cNvPr id="0" name="8413a88e3cf0e4d6d680cab69540733e66ee5ebb.png"/>
                    <pic:cNvPicPr/>
                  </pic:nvPicPr>
                  <pic:blipFill>
                    <a:blip r:embed="rId9"/>
                    <a:stretch>
                      <a:fillRect/>
                    </a:stretch>
                  </pic:blipFill>
                  <pic:spPr>
                    <a:xfrm>
                      <a:off x="0" y="0"/>
                      <a:ext cx="5715000" cy="3159736"/>
                    </a:xfrm>
                    <a:prstGeom prst="rect"/>
                  </pic:spPr>
                </pic:pic>
              </a:graphicData>
            </a:graphic>
          </wp:inline>
        </w:drawing>
      </w:r>
    </w:p>
    <w:p>
      <w:pPr>
        <w:pStyle w:val="TBCCaption"/>
      </w:pPr>
      <w:r>
        <w:t>Figure 1. The model is not the security boundary. Reasoning produces proposals; independently enforced control services mediate protected reads and effects.</w:t>
      </w:r>
    </w:p>
    <w:p>
      <w:pPr>
        <w:pStyle w:val="Heading1"/>
        <w:keepNext/>
      </w:pPr>
      <w:r>
        <w:t>2. Proof Before Power: The Reference Architecture</w:t>
      </w:r>
    </w:p>
    <w:p>
      <w:r>
        <w:t>Each workload carries an AI Workload Passport: a machine-readable ceiling for approved models, data classes, processing zones, tools, memory, network destinations, delegation depth, budgets, permitted effects, and safe failure state. The Passport also declares an explicit effect and disclosure inventory — every tool call, file write, queue, socket, network destination, and inter-agent channel through which the workload could cause or reveal something — and any path absent from that inventory is denied by default, which is what makes complete mediation checkable rather than merely asserted. A Task Contract narrows that ceiling for one execution to a purpose, subject, resource set, destination, budget, and expiry. The Passport also defines an Effect and Disclosure Inventory: sockets, files, queues, browser submissions, tool calls, agent messages, and other routes by which a model can cause change or release information. Undeclared paths are denied by default. This complete-mediation inventory is the load-bearing assumption of the architecture.</w:t>
      </w:r>
    </w:p>
    <w:p>
      <w:r>
        <w:t>Authority is computed through a Dynamic Capability Envelope. The hard envelope H_t is the intersection of identity, task, purpose, data rights, tool scope, processing zone, delegation ancestors, current policy, and remaining budget; the runtime envelope E_t must satisfy E_t ⊆ H_t. Automated assurance may contract E_t but may not enlarge H_t. Child agents inherit subsets rather than fresh authority, and aggregate budgets cannot multiply through spawning. A credentialless agent runtime requests short-lived capabilities; long-lived database, cloud-control, signing, or infrastructure credentials remain outside the model process.</w:t>
      </w:r>
    </w:p>
    <w:p>
      <w:r>
        <w:t>Four boundaries make this operational. A Context Security Gateway authorises protected retrieval before data reaches the model and caps cumulative scope. A Memory Gateway treats persistence as a privileged write: records carry provenance, integrity, purpose, retention, and are reauthorised on read. For consequential actions, natural language is compiled into typed AI-IR containing canonical resource identifiers and a desired state transition but no credentials, raw shell, arbitrary SQL, or policy declarations; a deterministic executor revalidates current capability, resource version, replay state, destination, and domain invariants. Finally, a Data Lineage Firewall propagates restrictions through summaries, memory, handoffs, and generated artefacts, while Release Escrow provides explicit, auditable declassification and recipient checks. Transformation is not declassification.</w:t>
      </w:r>
    </w:p>
    <w:p>
      <w:pPr>
        <w:spacing w:before="20" w:after="0"/>
        <w:jc w:val="center"/>
        <w:keepNext/>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5a84eac5b6803e9cce141533118d9b6125ab181e.png"/>
                    <pic:cNvPicPr/>
                  </pic:nvPicPr>
                  <pic:blipFill>
                    <a:blip r:embed="rId10"/>
                    <a:stretch>
                      <a:fillRect/>
                    </a:stretch>
                  </pic:blipFill>
                  <pic:spPr>
                    <a:xfrm>
                      <a:off x="0" y="0"/>
                      <a:ext cx="5669280" cy="3188970"/>
                    </a:xfrm>
                    <a:prstGeom prst="rect"/>
                  </pic:spPr>
                </pic:pic>
              </a:graphicData>
            </a:graphic>
          </wp:inline>
        </w:drawing>
      </w:r>
    </w:p>
    <w:p>
      <w:pPr>
        <w:pStyle w:val="TBCCaption"/>
      </w:pPr>
      <w:r>
        <w:t>Figure 2. Proof before power. The allowed action space narrows at each gate; assurance may automatically contract authority but never mint new privilege.</w:t>
      </w:r>
    </w:p>
    <w:p>
      <w:pPr>
        <w:pStyle w:val="Heading1"/>
        <w:keepNext/>
      </w:pPr>
      <w:r>
        <w:t>3. Swarms and Future Attack Paths</w:t>
      </w:r>
    </w:p>
    <w:p>
      <w:r>
        <w:t>Per-agent least privilege is insufficient when agents cooperate. Every agent therefore receives a runtime identity, parent, task, expiry, capability ceiling, network class, and budget. An Agent Census records the live population, and a population governor bounds aggregate child count, delegation depth, compute, tool use, traffic, and external cost. Security evaluates the collective capability graph: one agent may read restricted data while another can reach the public Internet, creating a prohibited path only when their permissions compose. A Semantic Airlock mediates inter-agent messages and preserves classification and provenance. Natural language may carry information; institutional authority travels only through independently issued capabilities. This shifts future-attack resilience away from recognising every new exploit signature and toward preserving stable boundaries around data, credentials, communication, persistence, and effects.</w:t>
      </w:r>
    </w:p>
    <w:p>
      <w:pPr>
        <w:spacing w:before="20" w:after="0"/>
        <w:jc w:val="center"/>
        <w:keepNext/>
      </w:pPr>
      <w:r>
        <w:drawing>
          <wp:inline xmlns:a="http://schemas.openxmlformats.org/drawingml/2006/main" xmlns:pic="http://schemas.openxmlformats.org/drawingml/2006/picture">
            <wp:extent cx="5623560" cy="2811780"/>
            <wp:docPr id="3" name="Picture 3"/>
            <wp:cNvGraphicFramePr>
              <a:graphicFrameLocks noChangeAspect="1"/>
            </wp:cNvGraphicFramePr>
            <a:graphic>
              <a:graphicData uri="http://schemas.openxmlformats.org/drawingml/2006/picture">
                <pic:pic>
                  <pic:nvPicPr>
                    <pic:cNvPr id="0" name="5b507e6d0505df253abf8f8119f581db5f994e5b.png"/>
                    <pic:cNvPicPr/>
                  </pic:nvPicPr>
                  <pic:blipFill>
                    <a:blip r:embed="rId11"/>
                    <a:stretch>
                      <a:fillRect/>
                    </a:stretch>
                  </pic:blipFill>
                  <pic:spPr>
                    <a:xfrm>
                      <a:off x="0" y="0"/>
                      <a:ext cx="5623560" cy="2811780"/>
                    </a:xfrm>
                    <a:prstGeom prst="rect"/>
                  </pic:spPr>
                </pic:pic>
              </a:graphicData>
            </a:graphic>
          </wp:inline>
        </w:drawing>
      </w:r>
    </w:p>
    <w:p>
      <w:pPr>
        <w:pStyle w:val="TBCCaption"/>
      </w:pPr>
      <w:r>
        <w:t>Figure 3. Capability composes across an agent graph. Individually acceptable agents can jointly form a prohibited path, so population-level reachability must be checked.</w:t>
      </w:r>
    </w:p>
    <w:p>
      <w:pPr>
        <w:pStyle w:val="Heading1"/>
        <w:keepNext/>
      </w:pPr>
      <w:r>
        <w:t>4. Executable Reference Kernel and Evidence</w:t>
      </w:r>
    </w:p>
    <w:p>
      <w:r>
        <w:t>The architecture is implemented as the public FSSAI-RA reference kernel [20]. The repository runs offline without model weights or a GPU, provides machine-readable authority profiles, policy and capability checks, context/disclosure mediation, typed execution, evidence receipts, domain packs, portable conformance tests, bounded model checking, adversarial substitution, and scripts that regenerate the figures quoted here. No student records, human-subject data, or institutional production data are used in the reported experiments; they are synthetic fixtures. This matters because the artifact demonstrates mechanisms and falsifiers without implying field effectiveness.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5"/>
              </w:rPr>
              <w:t>Evidence from public kernel</w:t>
            </w:r>
          </w:p>
        </w:tc>
        <w:tc>
          <w:tcPr>
            <w:tcW w:type="dxa" w:w="3389"/>
            <w:shd w:fill="D9EAF7"/>
          </w:tcPr>
          <w:p>
            <w:r>
              <w:rPr>
                <w:b/>
                <w:sz w:val="15"/>
              </w:rPr>
              <w:t>Observed result</w:t>
            </w:r>
          </w:p>
        </w:tc>
        <w:tc>
          <w:tcPr>
            <w:tcW w:type="dxa" w:w="3389"/>
            <w:shd w:fill="D9EAF7"/>
          </w:tcPr>
          <w:p>
            <w:r>
              <w:t>Interpretation boundary</w:t>
            </w:r>
          </w:p>
        </w:tc>
      </w:tr>
      <w:tr>
        <w:tc>
          <w:tcPr>
            <w:tcW w:type="dxa" w:w="3389"/>
            <w:vAlign w:val="top"/>
          </w:tcPr>
          <w:p>
            <w:r>
              <w:rPr>
                <w:sz w:val="15"/>
              </w:rPr>
              <w:t>Controlled comparison</w:t>
            </w:r>
          </w:p>
        </w:tc>
        <w:tc>
          <w:tcPr>
            <w:tcW w:type="dxa" w:w="3389"/>
            <w:vAlign w:val="top"/>
          </w:tcPr>
          <w:p>
            <w:r>
              <w:rPr>
                <w:sz w:val="15"/>
              </w:rPr>
              <w:t>0% → 29% → 100% attack containment on the same synthetic suite</w:t>
            </w:r>
          </w:p>
        </w:tc>
        <w:tc>
          <w:tcPr>
            <w:tcW w:type="dxa" w:w="3389"/>
            <w:vAlign w:val="top"/>
          </w:tcPr>
          <w:p>
            <w:r>
              <w:rPr>
                <w:sz w:val="15"/>
              </w:rPr>
              <w:t>Measured on the same synthetic attack suite; intended as reproducible architecture evidence, not a universal security score</w:t>
            </w:r>
          </w:p>
        </w:tc>
      </w:tr>
      <w:tr>
        <w:tc>
          <w:tcPr>
            <w:tcW w:type="dxa" w:w="3389"/>
            <w:vAlign w:val="top"/>
          </w:tcPr>
          <w:p>
            <w:r>
              <w:rPr>
                <w:sz w:val="15"/>
              </w:rPr>
              <w:t>Cross-sector packs</w:t>
            </w:r>
          </w:p>
        </w:tc>
        <w:tc>
          <w:tcPr>
            <w:tcW w:type="dxa" w:w="3389"/>
            <w:vAlign w:val="top"/>
          </w:tcPr>
          <w:p>
            <w:r>
              <w:rPr>
                <w:sz w:val="15"/>
              </w:rPr>
              <w:t>180/180 hostile contained; 58/58 benign completed; 0 unauthorised mutations</w:t>
            </w:r>
          </w:p>
        </w:tc>
        <w:tc>
          <w:tcPr>
            <w:tcW w:type="dxa" w:w="3389"/>
            <w:vAlign w:val="top"/>
          </w:tcPr>
          <w:p>
            <w:r>
              <w:rPr>
                <w:sz w:val="15"/>
              </w:rPr>
              <w:t>Demonstrates domain portability of the control kernel across synthetic profiles; institutional bindings remain configurable</w:t>
            </w:r>
          </w:p>
        </w:tc>
      </w:tr>
      <w:tr>
        <w:tc>
          <w:tcPr>
            <w:tcW w:type="dxa" w:w="3389"/>
            <w:vAlign w:val="top"/>
          </w:tcPr>
          <w:p>
            <w:r>
              <w:rPr>
                <w:sz w:val="15"/>
              </w:rPr>
              <w:t>Ablation</w:t>
            </w:r>
          </w:p>
        </w:tc>
        <w:tc>
          <w:tcPr>
            <w:tcW w:type="dxa" w:w="3389"/>
            <w:vAlign w:val="top"/>
          </w:tcPr>
          <w:p>
            <w:r>
              <w:rPr>
                <w:sz w:val="15"/>
              </w:rPr>
              <w:t>8/8 tested controls became harmful again when removed</w:t>
            </w:r>
          </w:p>
        </w:tc>
        <w:tc>
          <w:tcPr>
            <w:tcW w:type="dxa" w:w="3389"/>
            <w:vAlign w:val="top"/>
          </w:tcPr>
          <w:p>
            <w:r>
              <w:rPr>
                <w:sz w:val="15"/>
              </w:rPr>
              <w:t>Shows the tested controls are causally relevant within the declared scenarios; additional controls can be added through the same contract</w:t>
            </w:r>
          </w:p>
        </w:tc>
      </w:tr>
      <w:tr>
        <w:tc>
          <w:tcPr>
            <w:tcW w:type="dxa" w:w="3389"/>
            <w:vAlign w:val="top"/>
          </w:tcPr>
          <w:p>
            <w:r>
              <w:rPr>
                <w:sz w:val="15"/>
              </w:rPr>
              <w:t>Mediation thesis</w:t>
            </w:r>
          </w:p>
        </w:tc>
        <w:tc>
          <w:tcPr>
            <w:tcW w:type="dxa" w:w="3389"/>
            <w:vAlign w:val="top"/>
          </w:tcPr>
          <w:p>
            <w:r>
              <w:rPr>
                <w:sz w:val="15"/>
              </w:rPr>
              <w:t>104,997 bounded falsification attempts; no counterexample within declared bounds</w:t>
            </w:r>
          </w:p>
        </w:tc>
        <w:tc>
          <w:tcPr>
            <w:tcW w:type="dxa" w:w="3389"/>
            <w:vAlign w:val="top"/>
          </w:tcPr>
          <w:p>
            <w:r>
              <w:rPr>
                <w:sz w:val="15"/>
              </w:rPr>
              <w:t>Exhaustive only within the declared bounded search space; the framework is designed to extend that search continuously</w:t>
            </w:r>
          </w:p>
        </w:tc>
      </w:tr>
    </w:tbl>
    <w:p>
      <w:pPr>
        <w:pStyle w:val="TBCCaption"/>
      </w:pPr>
      <w:r>
        <w:t>Table 1. The repository publishes denominators and non-claims so synthetic containment is not presented as certification.</w:t>
      </w:r>
    </w:p>
    <w:p>
      <w:r>
        <w:t>The most useful result is not the best-looking number. An oversight experiment exposes a failure that every runtime control can miss: a named human reviewer can become a throughput bottleneck, and a review assistant that shares the proposing model and evidence can reproduce the proposer’s merit failures while the capability chain remains valid. Independence of review is therefore a configuration and institutional-design requirement, not something capability enforcement can infer. This separates authorisation correctness, source integrity, and substantive correctness rather than pretending one architecture solves all three.</w:t>
      </w:r>
    </w:p>
    <w:p>
      <w:pPr>
        <w:spacing w:before="20" w:after="0"/>
        <w:jc w:val="center"/>
        <w:keepNext/>
      </w:pPr>
      <w:r>
        <w:drawing>
          <wp:inline xmlns:a="http://schemas.openxmlformats.org/drawingml/2006/main" xmlns:pic="http://schemas.openxmlformats.org/drawingml/2006/picture">
            <wp:extent cx="5715000" cy="3077308"/>
            <wp:docPr id="4" name="Picture 4"/>
            <wp:cNvGraphicFramePr>
              <a:graphicFrameLocks noChangeAspect="1"/>
            </wp:cNvGraphicFramePr>
            <a:graphic>
              <a:graphicData uri="http://schemas.openxmlformats.org/drawingml/2006/picture">
                <pic:pic>
                  <pic:nvPicPr>
                    <pic:cNvPr id="0" name="dcdc8987fb4225e0f125553183f60d5bfb5274c7.png"/>
                    <pic:cNvPicPr/>
                  </pic:nvPicPr>
                  <pic:blipFill>
                    <a:blip r:embed="rId12"/>
                    <a:stretch>
                      <a:fillRect/>
                    </a:stretch>
                  </pic:blipFill>
                  <pic:spPr>
                    <a:xfrm>
                      <a:off x="0" y="0"/>
                      <a:ext cx="5715000" cy="3077308"/>
                    </a:xfrm>
                    <a:prstGeom prst="rect"/>
                  </pic:spPr>
                </pic:pic>
              </a:graphicData>
            </a:graphic>
          </wp:inline>
        </w:drawing>
      </w:r>
    </w:p>
    <w:p>
      <w:pPr>
        <w:pStyle w:val="TBCCaption"/>
      </w:pPr>
      <w:r>
        <w:t>Figure 4. Implementation path. The same enforcement core can sit beside existing agent frameworks; adapters and a continuous Guardian add deployment-specific integration without holding broad credentials.</w:t>
      </w:r>
    </w:p>
    <w:p>
      <w:pPr>
        <w:pStyle w:val="Heading1"/>
        <w:keepNext/>
      </w:pPr>
      <w:r>
        <w:t>5. Implementation Hardening and Next Build Phase</w:t>
      </w:r>
    </w:p>
    <w:p>
      <w:r>
        <w:t>The implementation is intentionally organized around a small trusted security kernel so that the most security-critical mechanisms can be hardened independently of the intelligence layer. Production hardening therefore focuses on complete mediation of reads and effects, strong workload identity, isolated key custody, default-deny network paths, versioned policy, exact artifact binding, bounded delegation, and deterministic revalidation immediately before consequential execution. This keeps the model, prompts, retrieved content, memory, generated code, and agent-to-agent messages outside the highest-trust boundary while making the enforcement surface small enough to test, attest, and replace independently.</w:t>
      </w:r>
    </w:p>
    <w:p>
      <w:r>
        <w:t>The next build phase generalizes the executable kernel into a reusable Trust-by-Construction SDK and Guardian layer that wraps existing agent stacks rather than replacing them. The SDK exposes request_context(), request_capability(), invoke_tool(), persist_memory(), propose_effect(), and release_artifact(); adapters bind those primitives to common orchestrators, MCP tools, institutional data stores, and enterprise APIs. The Guardian consumes Passports, agent identities, manifests, runtime events, and lineage to construct capability and source-to-sink graphs, continuously evaluate invariants, generate adversarial counterexamples, detect configuration drift, and move workloads through NORMAL, RESTRICTED, PROPOSAL_ONLY, READ_ONLY, or QUARANTINED states. Its authority is deliberately asymmetric: it may observe, challenge, revoke, quarantine, and contract, but it may not grant itself broader business privilege.</w:t>
      </w:r>
    </w:p>
    <w:p>
      <w:pPr>
        <w:spacing w:before="20" w:after="0"/>
        <w:jc w:val="center"/>
        <w:keepNext/>
      </w:pPr>
      <w:r>
        <w:drawing>
          <wp:inline xmlns:a="http://schemas.openxmlformats.org/drawingml/2006/main" xmlns:pic="http://schemas.openxmlformats.org/drawingml/2006/picture">
            <wp:extent cx="5715000" cy="2912451"/>
            <wp:docPr id="77" name="Picture 77"/>
            <wp:cNvGraphicFramePr>
              <a:graphicFrameLocks noChangeAspect="1"/>
            </wp:cNvGraphicFramePr>
            <a:graphic>
              <a:graphicData uri="http://schemas.openxmlformats.org/drawingml/2006/picture">
                <pic:pic>
                  <pic:nvPicPr>
                    <pic:cNvPr id="0" name="guardian.png"/>
                    <pic:cNvPicPr/>
                  </pic:nvPicPr>
                  <pic:blipFill>
                    <a:blip r:embed="rId15"/>
                    <a:stretch>
                      <a:fillRect/>
                    </a:stretch>
                  </pic:blipFill>
                  <pic:spPr>
                    <a:xfrm>
                      <a:off x="0" y="0"/>
                      <a:ext cx="5715000" cy="2912451"/>
                    </a:xfrm>
                    <a:prstGeom prst="rect"/>
                  </pic:spPr>
                </pic:pic>
              </a:graphicData>
            </a:graphic>
          </wp:inline>
        </w:drawing>
      </w:r>
    </w:p>
    <w:p>
      <w:pPr>
        <w:pStyle w:val="TBCCaption"/>
      </w:pPr>
      <w:r>
        <w:t>Figure 5. Guardian authority states. Contraction is automatic on loss of assurance; restoration requires named human authority and a fresh capability lease, and is never performed by the Guardian itself.</w:t>
      </w:r>
    </w:p>
    <w:p>
      <w:pPr/>
      <w:r>
        <w:t>A deployable instance follows four layers: (1) declaration, where the Workload Passport and Task Contract define the maximum authority; (2) mediation, where Context, Memory, Tool, Capability, and Release gateways enforce that authority; (3) execution, where typed AI-IR is translated by a deterministic executor holding the actual production credential; and (4) assurance, where the Agent Census, Security Digital Twin, invariant engine, and counterexample runner verify that no prohibited path has appeared. This layering gives implementation teams a concrete construction workflow rather than a checklist and allows the same control kernel to be reused across education, health, finance, legal, enterprise, and public-service domain packs.</w:t>
      </w:r>
    </w:p>
    <w:p>
      <w:pPr>
        <w:spacing w:before="20" w:after="0"/>
        <w:jc w:val="center"/>
        <w:keepNext/>
      </w:pPr>
      <w:r>
        <w:drawing>
          <wp:inline xmlns:a="http://schemas.openxmlformats.org/drawingml/2006/main" xmlns:pic="http://schemas.openxmlformats.org/drawingml/2006/picture">
            <wp:extent cx="5715000" cy="3166076"/>
            <wp:docPr id="5" name="Picture 5"/>
            <wp:cNvGraphicFramePr>
              <a:graphicFrameLocks noChangeAspect="1"/>
            </wp:cNvGraphicFramePr>
            <a:graphic>
              <a:graphicData uri="http://schemas.openxmlformats.org/drawingml/2006/picture">
                <pic:pic>
                  <pic:nvPicPr>
                    <pic:cNvPr id="0" name="d5d4448f46166176da7b7b2fb0f3362a7e4dc5de.png"/>
                    <pic:cNvPicPr/>
                  </pic:nvPicPr>
                  <pic:blipFill>
                    <a:blip r:embed="rId13"/>
                    <a:stretch>
                      <a:fillRect/>
                    </a:stretch>
                  </pic:blipFill>
                  <pic:spPr>
                    <a:xfrm>
                      <a:off x="0" y="0"/>
                      <a:ext cx="5715000" cy="3166076"/>
                    </a:xfrm>
                    <a:prstGeom prst="rect"/>
                  </pic:spPr>
                </pic:pic>
              </a:graphicData>
            </a:graphic>
          </wp:inline>
        </w:drawing>
      </w:r>
    </w:p>
    <w:p>
      <w:pPr>
        <w:pStyle w:val="TBCCaption"/>
      </w:pPr>
      <w:r>
        <w:t>Figure 6. Falsifiable evaluation. The enforcement core remains fixed while the model slot is swapped; invariant failures expose residual dependence on model behaviour.</w:t>
      </w:r>
    </w:p>
    <w:p>
      <w:pPr>
        <w:pStyle w:val="Heading1"/>
        <w:keepNext/>
      </w:pPr>
      <w:r>
        <w:t>6. Relevance to AI × Education and Sustainable Development</w:t>
      </w:r>
    </w:p>
    <w:p>
      <w:r>
        <w:t>Education sharpens the general problem rather than merely illustrating it. Purpose limitation maps directly to the Task Contract; student and assessment data require explicit subject and release boundaries; research agents need Internet access without carrying sensitive institutional context; coding agents need sandboxed execution; and assessment demonstrates why a fully authorised action can still be wrong. Trust by Construction therefore supports “AI for Learning” by making institutional deployment safer, and “Learning for AI” by expanding AI literacy from prompting to architectural competence: identity, delegation, provenance, information flow, capability boundaries, oversight capacity, and failure containment. The same kernel can be rebound through domain packs for health, finance, legal services, enterprise data, and public services, allowing reusable schemas and conformance tests to function as digital public goods rather than requiring each institution to invent agent security from first principles.</w:t>
      </w:r>
    </w:p>
    <w:p>
      <w:r>
        <w:t xml:space="preserve">Framed for this series, the artifact is a digital public good rather than a product. It is Apache-2.0, runs offline on ordinary hardware without GPUs, model weights, or a commercial guardrail subscription, and publishes its authority profiles, conformance tests, and generated results so that an adopting institution can verify the claims rather than purchase assurance. That matters for equity: the institutions most exposed to agentic risk are often those least able to fund proprietary security tooling or an in-house assurance team.</w:t>
      </w:r>
    </w:p>
    <w:p>
      <w:r>
        <w:t xml:space="preserve">The alignment is therefore concrete rather than decorative. It supports SDG 4 by protecting student records, assessment integrity, and the fairness of automated administrative decisions as agents enter learning systems; SDG 9 by supplying reusable, auditable infrastructure for autonomous institutional workflows; and SDG 16 by making institutional authority explicit, bounded, revocable, and evidenced, which is a precondition for accountable public administration wherever AI now acts. The same kernel rebinds through domain packs to health, finance, legal services, and public benefits, so a control tested once can be reused by institutions that could not have built it.</w:t>
      </w:r>
    </w:p>
    <w:p>
      <w:pPr>
        <w:pStyle w:val="Heading1"/>
        <w:keepNext/>
      </w:pPr>
      <w:r>
        <w:t>7. Conclusion</w:t>
      </w:r>
    </w:p>
    <w:p>
      <w:r>
        <w:t>Increasingly autonomous AI does not require increasingly implicit trust. It requires increasingly explicit architecture. Trust by Construction proposes proof before power: before an AI receives more context, another tool, another agent, network reach, a consequential effect, or permission to release information, independently enforced infrastructure must establish that the requested power remains inside the active task, policy, data rights, processing zone, and budget. The goal is not an infallible model; it is a resilient institution in which model capability can grow without silently expanding institutional authority.</w:t>
      </w:r>
    </w:p>
    <w:p>
      <w:pPr>
        <w:spacing w:after="100"/>
        <w:jc w:val="center"/>
      </w:pPr>
      <w:r>
        <w:rPr>
          <w:b/>
          <w:i/>
          <w:color w:val="1F4E79"/>
        </w:rPr>
        <w:t>Scale intelligence. Bound authority. Preserve lineage. Verify continuously. Recover safely.</w:t>
      </w:r>
    </w:p>
    <w:p>
      <w:pPr>
        <w:pStyle w:val="Heading1"/>
        <w:keepNext/>
      </w:pPr>
      <w:r>
        <w:t>Artifact Availability</w:t>
      </w:r>
    </w:p>
    <w:p>
      <w:r>
        <w:t>Code, machine-readable authority profiles, synthetic adversarial and benign suites, generated results, assurance claims, and the implementation roadmap are published under Apache-2.0 at github.com/genaiworks/fssai-ra [20]. The reviewer path runs offline without network access, model weights, or a GPU, and paper figures are regenerated from repository outputs so claims remain tied to executable evidence.</w:t>
      </w:r>
    </w:p>
    <w:p>
      <w:pPr>
        <w:pStyle w:val="Heading1"/>
        <w:keepNext/>
      </w:pPr>
      <w:r>
        <w:t>References</w:t>
      </w:r>
    </w:p>
    <w:p>
      <w:pPr>
        <w:pStyle w:val="TBCRef"/>
      </w:pPr>
      <w:r>
        <w:t>[1] United Nations University Macau, “UNU Macau AI Conference 2026,” 2026.</w:t>
      </w:r>
    </w:p>
    <w:p>
      <w:pPr>
        <w:pStyle w:val="TBCRef"/>
      </w:pPr>
      <w:r>
        <w:t>[2] National Institute of Standards and Technology, Center for AI Standards and Innovation, “AI Agent Standards Initiative,” 2026.</w:t>
      </w:r>
    </w:p>
    <w:p>
      <w:pPr>
        <w:pStyle w:val="TBCRef"/>
      </w:pPr>
      <w:r>
        <w:t>[3] NIST NCCoE, Accelerating the Adoption of Software and Artificial Intelligence Agent Identity and Authorization, Initial Public Draft, 2026.</w:t>
      </w:r>
    </w:p>
    <w:p>
      <w:pPr>
        <w:pStyle w:val="TBCRef"/>
      </w:pPr>
      <w:r>
        <w:t>[4] J. Riggs et al., Summary Analysis of Responses Regarding Security Considerations for AI Agents, NIST Trustworthy and Responsible AI 800-5, 2026.</w:t>
      </w:r>
    </w:p>
    <w:p>
      <w:pPr>
        <w:pStyle w:val="TBCRef"/>
      </w:pPr>
      <w:r>
        <w:t>[5] OWASP GenAI Security Project, OWASP Top 10 for Agentic Applications for 2026, 2025.</w:t>
      </w:r>
    </w:p>
    <w:p>
      <w:pPr>
        <w:pStyle w:val="TBCRef"/>
      </w:pPr>
      <w:r>
        <w:t>[6] OWASP GenAI Security Project, Agent Control Standard, 2026.</w:t>
      </w:r>
    </w:p>
    <w:p>
      <w:pPr>
        <w:pStyle w:val="TBCRef"/>
      </w:pPr>
      <w:r>
        <w:t>[7] Hugging Face, “Security incident disclosure — July 2026,” 2026.</w:t>
      </w:r>
    </w:p>
    <w:p>
      <w:pPr>
        <w:pStyle w:val="TBCRef"/>
      </w:pPr>
      <w:r>
        <w:t>[8] OpenAI, “The Hugging Face incident and the road ahead,” 2026.</w:t>
      </w:r>
    </w:p>
    <w:p>
      <w:pPr>
        <w:pStyle w:val="TBCRef"/>
      </w:pPr>
      <w:r>
        <w:t>[9] METR and Redwood Research, “Brief independent investigation of agents’ behavior, reasoning and collaboration in the OpenAI / Hugging Face hacking incident,” 2026.</w:t>
      </w:r>
    </w:p>
    <w:p>
      <w:pPr>
        <w:pStyle w:val="TBCRef"/>
      </w:pPr>
      <w:r>
        <w:t>[10] J. H. Saltzer and M. D. Schroeder, “The Protection of Information in Computer Systems,” Proceedings of the IEEE, 1975.</w:t>
      </w:r>
    </w:p>
    <w:p>
      <w:pPr>
        <w:pStyle w:val="TBCRef"/>
      </w:pPr>
      <w:r>
        <w:t>[11] J. B. Dennis and E. C. Van Horn, “Programming Semantics for Multiprogrammed Computations,” Communications of the ACM, 1966.</w:t>
      </w:r>
    </w:p>
    <w:p>
      <w:pPr>
        <w:pStyle w:val="TBCRef"/>
      </w:pPr>
      <w:r>
        <w:t>[12] D. E. Denning, “A Lattice Model of Secure Information Flow,” Communications of the ACM, 1976.</w:t>
      </w:r>
    </w:p>
    <w:p>
      <w:pPr>
        <w:pStyle w:val="TBCRef"/>
      </w:pPr>
      <w:r>
        <w:t>[13] National Institute of Standards and Technology, Zero Trust Architecture, NIST SP 800-207, 2020.</w:t>
      </w:r>
    </w:p>
    <w:p>
      <w:pPr>
        <w:pStyle w:val="TBCRef"/>
      </w:pPr>
      <w:r>
        <w:t>[14] E. Debenedetti et al., “Defeating Prompt Injections by Design (CaMeL),” 2025.</w:t>
      </w:r>
    </w:p>
    <w:p>
      <w:pPr>
        <w:pStyle w:val="TBCRef"/>
      </w:pPr>
      <w:r>
        <w:t>[15] M. Costa et al., “Securing AI Agents with Information-Flow Control (FIDES),” 2025.</w:t>
      </w:r>
    </w:p>
    <w:p>
      <w:pPr>
        <w:pStyle w:val="TBCRef"/>
      </w:pPr>
      <w:r>
        <w:t>[16] L. Beurer-Kellner et al., “Design Patterns for Securing LLM Agents against Prompt Injection,” 2025.</w:t>
      </w:r>
    </w:p>
    <w:p>
      <w:pPr>
        <w:pStyle w:val="TBCRef"/>
      </w:pPr>
      <w:r>
        <w:t>[17] R. Greenblatt et al., “AI Control: Improving Safety Despite Intentional Subversion,” 2024.</w:t>
      </w:r>
    </w:p>
    <w:p>
      <w:pPr>
        <w:pStyle w:val="TBCRef"/>
      </w:pPr>
      <w:r>
        <w:t>[18] UNESCO, AI Competency Framework for Students and AI Competency Framework for Teachers, 2024.</w:t>
      </w:r>
    </w:p>
    <w:p>
      <w:pPr>
        <w:pStyle w:val="TBCRef"/>
      </w:pPr>
      <w:r>
        <w:t>[19] United Nations University Macau, UNU–Springer Book Series on Artificial Intelligence and Sustainable Development, 2025.</w:t>
      </w:r>
    </w:p>
    <w:p>
      <w:pPr>
        <w:pStyle w:val="TBCRef"/>
      </w:pPr>
      <w:r>
        <w:t>[20] R. Srivastava, FSSAI-RA: Fail-Secure Sovereign AI Reference Architecture, Apache-2.0 public reference implementation, 2026. https://github.com/genaiworks/fssai-ra</w:t>
      </w:r>
    </w:p>
    <w:sectPr w:rsidR="00FC693F" w:rsidRPr="0006063C" w:rsidSect="00034616">
      <w:footerReference w:type="default" r:id="rId14"/>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0" w:lineRule="auto"/>
      <w:jc w:val="both"/>
    </w:pPr>
    <w:rPr>
      <w:rFonts w:ascii="Cambria" w:hAnsi="Cambr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mbria" w:hAnsi="Cambria"/>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mbria" w:hAnsi="Cambria"/>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Cambria" w:hAnsi="Cambria"/>
      <w:b/>
      <w:color w:val="1F4E79"/>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BCSubtitle">
    <w:name w:val="TBC Subtitle"/>
    <w:pPr>
      <w:spacing w:after="60"/>
      <w:jc w:val="center"/>
    </w:pPr>
    <w:rPr>
      <w:rFonts w:ascii="Cambria" w:hAnsi="Cambria"/>
      <w:i/>
      <w:color w:val="464646"/>
      <w:sz w:val="22"/>
    </w:rPr>
  </w:style>
  <w:style w:type="paragraph" w:customStyle="1" w:styleId="TBCCaption">
    <w:name w:val="TBC Caption"/>
    <w:pPr>
      <w:spacing w:after="60"/>
      <w:jc w:val="center"/>
    </w:pPr>
    <w:rPr>
      <w:rFonts w:ascii="Cambria" w:hAnsi="Cambria"/>
      <w:i/>
      <w:color w:val="555555"/>
      <w:sz w:val="15"/>
    </w:rPr>
  </w:style>
  <w:style w:type="paragraph" w:customStyle="1" w:styleId="TBCRef">
    <w:name w:val="TBC Ref"/>
    <w:pPr>
      <w:spacing w:after="32" w:line="228" w:lineRule="auto"/>
      <w:ind w:left="230" w:hanging="230"/>
    </w:pPr>
    <w:rPr>
      <w:rFonts w:ascii="Cambria" w:hAnsi="Cambri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guardia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A High-Assurance Reference Architecture for Agentic AI in Learning Institutions</dc:title>
  <dc:subject>UNU Macau AI Conference 2026 extended abstract</dc:subject>
  <dc:creator>Rachana (Gen) Srivastava</dc:creator>
  <cp:keywords>agentic AI security, capability-based authorization, education, multi-agent security, information-flow control</cp:keywords>
  <dc:description>generated by python-docx</dc:description>
  <cp:lastModifiedBy/>
  <cp:revision>1</cp:revision>
  <dcterms:created xsi:type="dcterms:W3CDTF">2013-12-23T23:15:00Z</dcterms:created>
  <dcterms:modified xsi:type="dcterms:W3CDTF">2013-12-23T23:15:00Z</dcterms:modified>
  <cp:category/>
</cp:coreProperties>
</file>