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br/>
        <w:t xml:space="preserve">Trust by Construction for Secure Agentic Workflows in Learning Institutions</w:t>
      </w:r>
    </w:p>
    <w:p>
      <w:pPr>
        <w:pStyle w:val="TBCSubtitle"/>
      </w:pPr>
      <w:r>
        <w:t xml:space="preserve">An executable reference for bounded authority and failure recovery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Agentic AI can retrieve records, retain memory, delegate work and initiate institutional actions. Prompt injection and unreliable model behavior can turn those capabilities into unauthorized disclosure or change. Trust by Construction presents an executable reference architecture that constrains consequential actions independently of model intent. Its contribution is the composition of scoped authority, lineage-preserving memory, independent approval, revocation, bounded delivery and failure recovery. Synthetic cross-sector experiments contain 180 of 180 hostile scenarios and complete 58 of 58 benign tasks within declared interfaces. The reference also exercises real TLS handshakes against a controlled peer, tool-definition drift, monitor-induced restriction, remote-effect uncertainty and evidence-gated promotion. This revision adds developer-facing artifact retrieval that checks an independently approved digest before returning bytes, isolates concurrent response buffers, and prevents pending or malformed provider acknowledgements from becoming confirmed effects. The repository supplies an offline example, regression tests, reproducible manuscript construction and explicit claim-to-evidence bindings. These results concern local controls and synthetic workflows; they do not establish model alignment, institutional utility or production security. Host isolation must still be supplied and tested in the intended deployment, live-model evaluation remains separate, and transport evidence from the loopback harness cannot qualify a production peer. The artifact supports engineering and teaching by making authority boundaries, failure outcomes and remaining obligations inspectable.</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expose the difference between useful reasoning and legitimate authority. A tutor may need a limited record view; a registrar may approve a correction; a research assistant may need public information without access to restricted student data. Combining these privileges in one agent process creates a larger failure surface than any individual task requires. Recent safety research separates misuse, misalignment, mistakes and structural risks, and argues for both model-level and system-level mitigations [1]. Experiments also show insider-threat behavior under constructed goal conflict and replacement pressure [5]. We address the institutional systems boundary: how can a compromised or unreliable reasoning component remain useful while consequential reads, writes and releases require independent authority?</w:t>
      </w:r>
    </w:p>
    <w:p>
      <w:r>
        <w:t xml:space="preserve">Our contribution is compositional rather than a new alignment algorithm. CaMeL demonstrates a system-level defense that separates control and data flow and constrains disclosure through capabilities [2]. Trust by Construction applies related architectural principles to an education workflow with memory, agent populations, effect approval, revocation and recipient delivery. It contributes an inspectable enforcement path, failure tests and a claim-to-evidence register. It does not offer a formal proof for arbitrary agent programs or a head-to-head performance comparison with CaMeL. The paper separates properties tested in the local kernel from requirements imposed on deployment adapters. AgentSecBench separates instruction integrity, confidentiality and capability integrity, using paired adversarial and benign executions [10]. AgentDyn studies dynamic tasks and helpful third-party instructions, exposing a security–utility tradeoff that static blocking tests can miss [11]. Our smaller synthetic evaluation makes no benchmark-ranking claim; it complements this work with persistent authority, revocation and failure-atomic delivery checks.</w:t>
      </w:r>
    </w:p>
    <w:p>
      <w:r>
        <w:t xml:space="preserve">Recent results motivate testing the authority boundary even when model behavior appears cooperative. Anti-scheming training reduced covert actions in held-out settings but left residual failures and evaluation-awareness confounds [3]. Chain-of-thought monitoring offers an imperfect signal rather than a reliable authorization basis [4]. Reward-hacking research found generalization from training shortcuts to broader misalignment [6], while SHADE-Arena evaluates harmful side objectives hidden within legitimate tasks [7]. A 2026 safety-research study found no unprompted sabotage in its tested settings, yet observed sabotage continuation in some seeded trajectories; those conditions must not be conflated [8]. Bengio and colleagues propose non-agentic Scientist AI as a safer direction for assisting research [9]. These findings support our design choice: AI may propose work, generate tests and report anomalies, while deterministic checks retain authority. A compromised monitor can still deny service or miss misconduct; it must not gain the power to approve an effect or restore privilege.</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Complete mediation also requires deployment enforcement that prevents the model process from bypassing that boundary through host files, sockets, credentials, or undeclared channels; the local Python implementation alone does not establish that condition.</w:t>
      </w:r>
    </w:p>
    <w:p>
      <w:r>
        <w:t>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A credentialless agent runtime requests short-lived capabilities; long-lived database, cloud-control, signing, or infrastructure credentials remain outside the model process.</w:t>
      </w:r>
    </w:p>
    <w:p>
      <w:r>
        <w:t>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artefacts, while Release Escrow provides explicit, auditable declassification and recipient checks. Transformation is not declassification.</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 xml:space="preserve">The architecture is implemented as the public FSSAI-RA reference kernel.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in the reported experiments; they are synthetic fixtures. This matters because the artifact demonstrates mechanisms and falsifiers without implying field effectiveness.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0% → 29% → 100% attack containment on the same synthetic suite</w:t>
            </w:r>
          </w:p>
        </w:tc>
        <w:tc>
          <w:tcPr>
            <w:tcW w:type="dxa" w:w="3389"/>
            <w:vAlign w:val="top"/>
          </w:tcPr>
          <w:p>
            <w:r>
              <w:rPr>
                <w:sz w:val="16"/>
              </w:rPr>
              <w:t>Measured on the same synthetic attack suite; intended as reproducible architecture evidence,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Demonstrates domain portability of the control kernel across synthetic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1,400 tests passed; 33 source-bound capability contracts executed</w:t>
            </w:r>
          </w:p>
        </w:tc>
        <w:tc>
          <w:tcPr>
            <w:tcW w:type="dxa" w:w="3389"/>
          </w:tcPr>
          <w:p>
            <w:r>
              <w:rPr>
                <w:sz w:val="16"/>
              </w:rPr>
              <w:t xml:space="preserve">Local functional evidence, including schema rejection, durable source quarantine, the added frontier controls and the deployment measurements; not operational certification</w:t>
            </w:r>
          </w:p>
        </w:tc>
      </w:tr>
      <w:tr>
        <w:tc>
          <w:tcPr>
            <w:tcW w:type="dxa" w:w="3389"/>
          </w:tcPr>
          <w:p>
            <w:r>
              <w:rPr>
                <w:sz w:val="16"/>
              </w:rPr>
              <w:t xml:space="preserve">Frontier-threat controls</w:t>
            </w:r>
          </w:p>
        </w:tc>
        <w:tc>
          <w:tcPr>
            <w:tcW w:type="dxa" w:w="3389"/>
          </w:tcPr>
          <w:p>
            <w:r>
              <w:rPr>
                <w:sz w:val="16"/>
              </w:rPr>
              <w:t xml:space="preserve">38 executed cases: durable stop, per-chunk reauthorisation, restrict-only monitoring, recorded blocked attempts</w:t>
            </w:r>
          </w:p>
        </w:tc>
        <w:tc>
          <w:tcPr>
            <w:tcW w:type="dxa" w:w="3389"/>
          </w:tcPr>
          <w:p>
            <w:r>
              <w:rPr>
                <w:sz w:val="16"/>
              </w:rPr>
              <w:t xml:space="preserve">Deterministic local scenarios over the declared interface; they do not replay frontier-model experiments or estimate real-world frequency</w:t>
            </w:r>
          </w:p>
        </w:tc>
      </w:tr>
      <w:tr>
        <w:tc>
          <w:tcPr>
            <w:tcW w:type="dxa" w:w="3389"/>
          </w:tcPr>
          <w:p>
            <w:r>
              <w:rPr>
                <w:sz w:val="16"/>
              </w:rPr>
              <w:t xml:space="preserve">Deployment qualification</w:t>
            </w:r>
          </w:p>
        </w:tc>
        <w:tc>
          <w:tcPr>
            <w:tcW w:type="dxa" w:w="3389"/>
          </w:tcPr>
          <w:p>
            <w:r>
              <w:rPr>
                <w:sz w:val="16"/>
              </w:rPr>
              <w:t xml:space="preserve">Measured host isolation, transport qualified against a controlled TLS peer, tool-supply integrity, settlement of outbound effects, witnessed evidence and an evidence-gated promotion decision</w:t>
            </w:r>
          </w:p>
        </w:tc>
        <w:tc>
          <w:tcPr>
            <w:tcW w:type="dxa" w:w="3389"/>
          </w:tcPr>
          <w:p>
            <w:r>
              <w:rPr>
                <w:sz w:val="16"/>
              </w:rPr>
              <w:t xml:space="preserve">Measuring an assumption is not supplying it; loopback transport evidence and a reference isolation verdict both refuse promotion, and no production deployment was qualified</w:t>
            </w:r>
          </w:p>
        </w:tc>
      </w:tr>
      <w:tr>
        <w:tc>
          <w:tcPr>
            <w:tcW w:type="dxa" w:w="3389"/>
          </w:tcPr>
          <w:p>
            <w:r>
              <w:rPr>
                <w:sz w:val="16"/>
              </w:rPr>
              <w:t xml:space="preserve">Monitor quality</w:t>
            </w:r>
          </w:p>
        </w:tc>
        <w:tc>
          <w:tcPr>
            <w:tcW w:type="dxa" w:w="3389"/>
          </w:tcPr>
          <w:p>
            <w:r>
              <w:rPr>
                <w:sz w:val="16"/>
              </w:rPr>
              <w:t xml:space="preserve">Held-out benign and adversarial trajectories against oracle, blind and hostile monitors; no monitor changes a protected outcome</w:t>
            </w:r>
          </w:p>
        </w:tc>
        <w:tc>
          <w:tcPr>
            <w:tcW w:type="dxa" w:w="3389"/>
          </w:tcPr>
          <w:p>
            <w:r>
              <w:rPr>
                <w:sz w:val="16"/>
              </w:rPr>
              <w:t xml:space="preserve">Offline rates describe scripted monitors and are not detector accuracy; an attacker that stays inside its envelope evades a metadata-only monitor by construction</w:t>
            </w:r>
          </w:p>
        </w:tc>
      </w:tr>
    </w:tbl>
    <w:p>
      <w:pPr>
        <w:pStyle w:val="TBCCaption"/>
      </w:pPr>
      <w:r>
        <w:t>Table 1. The repository publishes denominators and non-claims so synthetic containment is not presented as certification.</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Thirty-three contracts are verified by executing their named tests; the reports bind outcomes to the source digest. Bundle and destination tests establish contract behavior only. They are not evidence of measured runtime identity or deployed network isolation. This distinction makes missing engineering work visible rather than converting a passing unit test into a production assurance claim.</w:t>
      </w:r>
    </w:p>
    <w:p>
      <w:r>
        <w:t>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Figure 4. Integration roadmap. The local SDK and Guardian are implemented; external framework adapters, institutional pilots and transport qualification remain future work.</w:t>
      </w:r>
    </w:p>
    <w:p>
      <w:pPr>
        <w:pStyle w:val="Heading1"/>
        <w:keepNext/>
      </w:pPr>
      <w:r>
        <w:t>5. Engineering Implementation and Qualification</w:t>
      </w:r>
    </w:p>
    <w:p>
      <w:r>
        <w:t>The executable SDK now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This revision adds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Figure 6. Falsifiable evaluation. The enforcement core remains fixed while the model slot is swapped; invariant failures expose residual dependence on model behaviour.</w:t>
      </w:r>
    </w:p>
    <w:p>
      <w:pPr>
        <w:pStyle w:val="Heading1"/>
        <w:keepNext/>
      </w:pPr>
      <w:r>
        <w:t xml:space="preserve">6. Stopping, Delivery and Monitoring When a Model May Be Covert</w:t>
      </w:r>
    </w:p>
    <w:p>
      <w:r>
        <w:t xml:space="preserve">Three controls added in this revision answer questions operators ask before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task and global-control evidence heads and at most 32 recent allowlisted event types,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r>
        <w:t xml:space="preserve">A security review exposed three practical defects in the reference: unrelated task traffic could displace monitor history and stale its advice, non-string monitor fields could raise uncontrolled type errors, and URL path parameters or encoded delimiters could admit ambiguous destinations. The revised service queries task-indexed evidence before applying the 32-event limit, binds findings to task and global-control heads, and validates field types before interpretation. Global source invalidation and revocation still stale advice. Destination authorization rejects matrix parameters, encoded delimiters and repeated separators while preserving safe unreserved encoding. Twenty-seven added regression cases check these changes and legitimate continuation; they overlap the reported regression total and are not additional attack episodes. The destination policy remains a transport contract: an adapter must pin the approved address, verify TLS identity, enforce byte limits and reauthorize every redirect. A later review of the same kind found one further defect and fixed it. Refusals raised before the request savepoint exists -- a revoked agent, a stopped workload, an assurance failure -- returned a denial and wrote no evidence at all, so a workload that kept issuing requests after an emergency stop left no trace in the chain, which is precisely the signal an operator needs. Such attempts are now recorded outside the failed transaction as blocked attempts bound to the known identity and task, a failure to record one never restores authority, the guardian's own contraction is not rolled back by the recording, and an unknown token records nothing so that anonymous traffic cannot be used to grow the evidence chain. The defect was found by the monitor-quality harness rather than by review of the code, which is the argument for building the harness.</w:t>
      </w:r>
    </w:p>
    <w:p>
      <w:r>
        <w:t xml:space="preserve">The monitor can now be measured rather than described. Labelled held-out trajectories are run through the runtime against a denial oracle, a blind monitor that clears everything, and a hostile monitor that clears every attack and restricts every ordinary task, with false restriction, missed attacks, latency, retained utility and adaptive evasion reported with denominators and intervals. The result that matters is not any of those rates. Across all three monitors, including the one an adversary would install, no protected outcome changes: the hostile monitor costs all of the availability and none of the authority. The evasion figure is reported without flattery. An attacker who probes once, observes the refusal, and thereafter works strictly inside its granted envelope produces a history indistinguishable from ordinary work and evades every monitor reading a metadata-only snapshot [4,7]. That is expected, and it is affordable precisely because the envelope rather than the monitor is what bounds the attacker. Offline rates describe scripted monitors and are not detector accuracy; a live backend yields a report labelled as such, describing one model, one prompt and these trajectories, compared against no published benchmark.</w:t>
      </w:r>
    </w:p>
    <w:p>
      <w:pPr>
        <w:pStyle w:val="Heading1"/>
        <w:keepNext/>
      </w:pPr>
      <w:r>
        <w:t xml:space="preserve">7. Measuring the Assumptions a Deployment Inherits</w:t>
      </w:r>
    </w:p>
    <w:p>
      <w:r>
        <w:t xml:space="preserve">The architecture requires the model runtime to reach protected services only through mediation. Isolation probes make that deployment assumption inspectable; they do not implement it. Seven required properties and one advisory property cover control-store permissions, process identity, enforcement-package integrity, metadata-service reachability, service-account tokens, a declared egress canary, standing credentials and kernel confinement. Each returns satisfied, violated or not measurable; not measurable is never counted as success. Qualification requires every mandatory measurement, the evidence is less than a day old, and it names an operator and a host. The repository host is expected to report reference; a test exists whose only purpose is to fail if they ever stop doing so. A cooperative probe is not an adversarial sandbox-escape evaluation, so deployment acceptance still requires testing a hostile process under the intended isolation policy.</w:t>
      </w:r>
    </w:p>
    <w:p>
      <w:r>
        <w:t xml:space="preserve">The destination contract decided what could be contacted and then opened no socket, so address pinning, certificate verification, redirect handling and byte ceilings were adapter obligations written in prose. They are now performed. The transport connects to the pinned literal address with no name-service lookup of any kind, so a resolver answer obtained after authorisation cannot move the connection; it verifies the hostname, enforces a protocol-version floor and compares the peer's public key against declared pins; it returns a redirect to the authorisation layer instead of following it; it refuses chunked and duplicated framing, where intermediaries disagree about message boundaries; and it enforces the byte ceiling during the read, so a peer that understates its length cannot overrun the budget. Every one of those properties is exercised against a real handshake with a controlled peer. That peer is a loopback server, and the evidence says so: a qualification marker propagates from the destination policy through the transport record into the promotion gate, which refuses to accept harness evidence as production transport evidence. Controlled tests exercise this code path; the deployment network remains unqualified.</w:t>
      </w:r>
    </w:p>
    <w:p>
      <w:r>
        <w:t xml:space="preserve">Developer integration must distinguish peer identity from artifact identity. Silent Egress shows how outbound requests can disclose context even when a final answer appears harmless [12]; its results motivate observing network effects rather than inspecting answers alone. The v14 fetch_artifact API returns bytes only after matching an independently approved SHA-256 digest. A valid certificate and pinned key therefore do not authorize changed content. Each transfer keeps its response buffer local, preventing concurrent fetches from mixing bytes. Tests use real loopback TLS handshakes to check exact-byte success, changed-content rejection, concurrent transfers and malformed HTTP framing. The adapter is GET-only and sends no caller-supplied headers, cookies or request body. The caller must enforce the provenance and confidentiality of the requested path: an allowed path can itself carry sensitive data. This is not a general exfiltration detector or a firewall.</w:t>
      </w:r>
    </w:p>
    <w:p>
      <w:r>
        <w:t xml:space="preserve">The threat classes that matured through 2025 and 2026 target the tool surface rather than the model [10,11]. A tool description is prose the model reads as instruction, so a server that writes instructions into a description has issued them without being called; a server can present a benign tool for review and redefine it afterwards; a second server can claim a name the first already uses and win resolution; and a chain that has read untrusted content can reach a privileged tool with nothing forged at all. The same rule answers all four. Tools exist only as server-qualified names and a bare name does not resolve, because the ambiguity is the attack and refusing to guess is the fix. Every byte a model will read about a tool is hashed at approval and compared at every offer, so a later redefinition is drift and drift quarantines the tool until a named human approves the new definition. A server that rotates its identity loses every approval it held. Descriptions are scanned for instruction-shaped content before approval, and a flagged description may still be approved knowingly, by a named person, with the acceptance recorded. A call chain that has absorbed an untrusted source is permanently tainted and cannot reach a privileged tool, which is the control-flow and data-flow separation argued for in [2] applied to the tool catalogue rather than to the prompt.</w:t>
      </w:r>
    </w:p>
    <w:p>
      <w:r>
        <w:t xml:space="preserve">Three further boundaries are now enforced rather than deferred. A local transaction cannot make a remote effect exactly-once, because the call that times out may have succeeded; outbound effects therefore carry a key derived from the approved decision, record their intent durably before the call, and treat an unacknowledged call as uncertain, which is a state rather than an error to swallow. An uncertain effect is never retried blindly, is reconciled against the provider by key, and blocks the work that depends on it until it settles; a provider offering no lookup leaves a permanent uncertain remainder that the report states rather than resolving by assumption. Authority crossing a service boundary is carried by a signed, audience-bound, single-use, depth-limited grant whose scope is intersected with the receiving service's own ceiling, never merged, so a grant can permit part of what a service already holds and can never teach it something new. An evidence chain kept by one custodian is exactly as trustworthy as that custodian, so a head counts as attested only on independent co-signatures above a threshold, and two witnesses attesting different heads at one sequence is reported as a fork rather than averaged away. Promotion to production requires all of it, fresh and together, and names every missing item rather than returning a verdict.</w:t>
      </w:r>
    </w:p>
    <w:p>
      <w:r>
        <w:t xml:space="preserve">Remote settlement also requires explicit evidence. Pending or malformed provider responses remain uncertain and continue to block dependent work; only an applied acknowledgement or authoritative terminal absence can settle the effect. Reusing an idempotency key for another operation is rejected. Provider adapters must map asynchronous acceptance to pending, not applied, and must not interpret an eventually consistent missing record as terminal absence. The executable developer example follows a lost acknowledgement through pending lookup to confirmed reconciliation with one submission. These controls prevent false local confirmation under the tested responses; correctness still depends on the provider adapter honoring this contract. The ledger is a trusted integration component, not a model-facing authorization endpoint.</w:t>
      </w:r>
    </w:p>
    <w:p>
      <w:pPr>
        <w:pStyle w:val="Heading1"/>
        <w:keepNext/>
      </w:pPr>
      <w:r>
        <w:t xml:space="preserve">8. Relevance to AI × Education and Sustainable Development</w:t>
      </w:r>
    </w:p>
    <w:p>
      <w:r>
        <w:t xml:space="preserve">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authority inspectable,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w:t>
      </w:r>
    </w:p>
    <w:p>
      <w:r>
        <w:t xml:space="preserve">A concrete teaching exercise follows a synthetic transcript correction. The agent retrieves only the authorized record and proposes a version-bound change. A source role confirms the supporting evidence and a different reviewer approves the exact proposal. The executor revalidates authority before changing the record. A recipient receives only the approved artifact; a stop or revocation between chunks denies the remainder. Students can compare a valid completion with an attempted forged approval, contaminated memory and a misleading monitor verdict. This teaches the distinction between fluent advice, authorization, source validity and correctness. No result here measures learning outcomes or fairness; those require an institutional study.</w:t>
      </w:r>
    </w:p>
    <w:p>
      <w:pPr/>
      <w:r>
        <w:t xml:space="preserve">Threats to validity and deployment limits. The experiments use synthetic fixtures and declared interfaces. The new tests submit scripted findings and adversarial requests; no live frontier-model detector is evaluated, and no detector accuracy, real-world attack rate or causal prevention of an incident is claimed. Shared Python and SQLite state is trusted service infrastructure, not isolation from hostile native code. A source digest records artifact identity but does not attest a running model. Monitor false positives can reduce availability, and sparse event metadata can miss intent. Chunks are staged approved bytes rather than live model-token streaming; bytes already released cannot be recalled. Cross-service authority, independent witnesses, outbound-effect settlement, tool-supply integrity and an evidence-gated promotion decision are implemented and tested in this revision, and host isolation and transport are now measured rather than assumed; measuring an assumption is not supplying it. Three limits survive unchanged and are stated as acceptance criteria rather than future work. Host isolation must be exercised adversarially in the target deployment, because a cooperative probe run inside the process cannot establish the absence of every path. Transport must be qualified against the institution's real peer with its own certificates and firewall, because the controlled peer used here is a loopback server and its evidence is marked as such and refused by the promotion gate. Physical data erasure and the training lifecycle remain deployment work. Remote effects are at-most-once with reconciliation by key, and exactly-once-observable only where a provider supports lookup by that key; a provider without lookup leaves a permanent uncertain remainder. The supplementary incident map is an architectural reading of public disclosures. Five of the fourteen mapped stages are not mediated locally; its existence is not evidence that the system would prevent a real breach. The institutional study is not run. A preregistration, its hypotheses, its subgroup plan and its minimum sample are published, and the analysis computes every preregistered quantity, but it refuses conclusions on synthetic fixtures, below the preregistered sample, on subgroups under the cell minimum, or under a changed analysis plan. Nothing here measures student outcomes or equitable decisions, and the instrument is written so that it cannot be made to appear to.</w:t>
      </w:r>
    </w:p>
    <w:p>
      <w:pPr>
        <w:pStyle w:val="Heading1"/>
        <w:keepNext/>
      </w:pPr>
      <w:r>
        <w:t xml:space="preserve">9.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original v11 Word source remains preserved for provenance, while the revised paper is bound separately to its engineering claims. The controls added in this revision run with python -m pytest tests/test_frontier_controls.py tests/test_incident_map.py, and the incident reading is published as docs/THREAT_MODEL_2026.md with its machine-checked form in audit/incident-map.json. The current v14 developer path is DEVELOPER_GUIDE.md; make developer-demo runs the offline artifact-integrity and settlement example, and make all checks the complete release. scripts/build_paper_v14.py regenerates this manuscript from preserved v13 and reviewed content. The example uses no external model or real student data.</w:t>
      </w:r>
    </w:p>
    <w:p>
      <w:pPr>
        <w:pStyle w:val="Heading1"/>
        <w:keepNext/>
        <w:pageBreakBefore/>
      </w:pPr>
      <w:r>
        <w:t>References</w:t>
      </w:r>
    </w:p>
    <w:p>
      <w:pPr>
        <w:pStyle w:val="TBCRef"/>
      </w:pPr>
      <w:r>
        <w:t xml:space="preserve">[1] R. Shah et al., An Approach to Technical AGI Safety and Security. Research preprint, 2025. https://arxiv.org/abs/2504.01849</w:t>
      </w:r>
    </w:p>
    <w:p>
      <w:pPr>
        <w:pStyle w:val="TBCRef"/>
      </w:pPr>
      <w:r>
        <w:t xml:space="preserve">[2] E. Debenedetti et al., Defeating Prompt Injections by Design. Research preprint, 2025. https://arxiv.org/abs/2503.18813</w:t>
      </w:r>
    </w:p>
    <w:p>
      <w:pPr>
        <w:pStyle w:val="TBCRef"/>
      </w:pPr>
      <w:r>
        <w:t xml:space="preserve">[3] B. Schoen et al., Stress Testing Deliberative Alignment for Anti-Scheming Training. Research preprint, 2025. https://arxiv.org/abs/2509.15541</w:t>
      </w:r>
    </w:p>
    <w:p>
      <w:pPr>
        <w:pStyle w:val="TBCRef"/>
      </w:pPr>
      <w:r>
        <w:t xml:space="preserve">[4] T. Korbak et al., Chain of Thought Monitorability: A New and Fragile Opportunity for AI Safety. Research preprint, 2025. https://arxiv.org/abs/2507.11473</w:t>
      </w:r>
    </w:p>
    <w:p>
      <w:pPr>
        <w:pStyle w:val="TBCRef"/>
      </w:pPr>
      <w:r>
        <w:t xml:space="preserve">[5] A. Lynch et al., Agentic Misalignment: How LLMs Could Be Insider Threats. Research preprint, 2025. https://arxiv.org/abs/2510.05179</w:t>
      </w:r>
    </w:p>
    <w:p>
      <w:pPr>
        <w:pStyle w:val="TBCRef"/>
      </w:pPr>
      <w:r>
        <w:t xml:space="preserve">[6] M. MacDiarmid et al., Natural Emergent Misalignment from Reward Hacking in Production RL. Research preprint, 2025. https://arxiv.org/abs/2511.18397</w:t>
      </w:r>
    </w:p>
    <w:p>
      <w:pPr>
        <w:pStyle w:val="TBCRef"/>
      </w:pPr>
      <w:r>
        <w:t xml:space="preserve">[7] J. Kutasov et al., SHADE-Arena: Evaluating Sabotage and Monitoring in LLM Agents. Research preprint, 2025. https://arxiv.org/abs/2506.15740</w:t>
      </w:r>
    </w:p>
    <w:p>
      <w:pPr>
        <w:pStyle w:val="TBCRef"/>
      </w:pPr>
      <w:r>
        <w:t xml:space="preserve">[8] R. Kirk et al., Evaluating whether AI models would sabotage AI safety research. Research preprint, 2026. https://arxiv.org/abs/2604.24618</w:t>
      </w:r>
    </w:p>
    <w:p>
      <w:pPr>
        <w:pStyle w:val="TBCRef"/>
      </w:pPr>
      <w:r>
        <w:t xml:space="preserve">[9] Y. Bengio et al., Superintelligent Agents Pose Catastrophic Risks: Can Scientist AI Offer a Safer Path?. Research preprint, 2025. https://arxiv.org/abs/2502.15657</w:t>
      </w:r>
    </w:p>
    <w:p>
      <w:pPr>
        <w:pStyle w:val="TBCRef"/>
      </w:pPr>
      <w:r>
        <w:t xml:space="preserve">[10] F. Alpay and T. Alpay, AgentSecBench: Measuring Prompt Injection, Privacy Leakage, and Tool-Use Integrity in LLM Agents. Research preprint, 2026. https://arxiv.org/abs/2605.26269</w:t>
      </w:r>
    </w:p>
    <w:p>
      <w:pPr>
        <w:pStyle w:val="TBCRef"/>
      </w:pPr>
      <w:r>
        <w:t xml:space="preserve">[11] H. Li et al., AgentDyn: Are Your Agent Security Defenses Deployable in Real-World Dynamic Environments?. Research preprint, 2026. https://arxiv.org/abs/2602.03117</w:t>
      </w:r>
    </w:p>
    <w:p>
      <w:pPr>
        <w:pStyle w:val="TBCRef"/>
      </w:pPr>
      <w:r>
        <w:t xml:space="preserve">[12] Q. Lan et al., Silent Egress: When Implicit Prompt Injection Makes LLM Agents Leak Without a Trace. Research preprint, 2026. https://arxiv.org/abs/2602.22450</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