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5681980</wp:posOffset>
            </wp:positionH>
            <wp:positionV relativeFrom="page">
              <wp:posOffset>593090</wp:posOffset>
            </wp:positionV>
            <wp:extent cx="1272540" cy="352466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52466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712"/>
        <w:gridCol w:w="4712"/>
      </w:tblGrid>
      <w:tr>
        <w:trPr>
          <w:trHeight w:hRule="exact" w:val="176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5810" cy="1079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107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0" w:val="left"/>
                <w:tab w:pos="3996" w:val="left"/>
                <w:tab w:pos="5236" w:val="left"/>
                <w:tab w:pos="5370" w:val="left"/>
              </w:tabs>
              <w:autoSpaceDE w:val="0"/>
              <w:widowControl/>
              <w:spacing w:line="262" w:lineRule="auto" w:before="144" w:after="0"/>
              <w:ind w:left="892" w:right="0" w:firstLine="0"/>
              <w:jc w:val="left"/>
            </w:pPr>
            <w:r>
              <w:tab/>
            </w:r>
            <w:r>
              <w:rPr>
                <w:shd w:val="clear" w:color="auto" w:fill="dbdbdb"/>
                <w:rFonts w:ascii="Book Antiqua" w:hAnsi="Book Antiqua" w:eastAsia="Book Antiqua"/>
                <w:b w:val="0"/>
                <w:i w:val="0"/>
                <w:color w:val="000099"/>
                <w:sz w:val="24"/>
              </w:rPr>
              <w:t xml:space="preserve">OPEN ACCESS </w:t>
            </w: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EURASIA Journal of Mathematics Science and Technology Education </w:t>
            </w:r>
            <w:r>
              <w:tab/>
            </w: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ISSN 1305-8223 (online) 1305-8215 (print) </w:t>
            </w:r>
            <w:r>
              <w:tab/>
            </w: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2017 13(6):2181-2195 </w:t>
            </w:r>
            <w:r>
              <w:tab/>
            </w: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DOI 10.12973/eurasia.2017.01220a </w:t>
            </w:r>
          </w:p>
        </w:tc>
      </w:tr>
    </w:tbl>
    <w:p>
      <w:pPr>
        <w:autoSpaceDN w:val="0"/>
        <w:autoSpaceDE w:val="0"/>
        <w:widowControl/>
        <w:spacing w:line="446" w:lineRule="exact" w:before="602" w:after="0"/>
        <w:ind w:left="288" w:right="0" w:firstLine="0"/>
        <w:jc w:val="center"/>
      </w:pPr>
      <w:r>
        <w:rPr>
          <w:rFonts w:ascii="Arial,Bold" w:hAnsi="Arial,Bold" w:eastAsia="Arial,Bold"/>
          <w:b/>
          <w:i w:val="0"/>
          <w:color w:val="000099"/>
          <w:sz w:val="36"/>
        </w:rPr>
        <w:t xml:space="preserve">A Study of Using Technology Acceptance Model and </w:t>
      </w:r>
      <w:r>
        <w:rPr>
          <w:rFonts w:ascii="Arial,Bold" w:hAnsi="Arial,Bold" w:eastAsia="Arial,Bold"/>
          <w:b/>
          <w:i w:val="0"/>
          <w:color w:val="000099"/>
          <w:sz w:val="36"/>
        </w:rPr>
        <w:t xml:space="preserve">Its Effect on Improving Road Pavement Smoothness </w:t>
      </w:r>
      <w:r>
        <w:rPr>
          <w:rFonts w:ascii="Arial,Bold" w:hAnsi="Arial,Bold" w:eastAsia="Arial,Bold"/>
          <w:b/>
          <w:i w:val="0"/>
          <w:color w:val="000099"/>
          <w:sz w:val="36"/>
        </w:rPr>
        <w:t xml:space="preserve">in Taiwan </w:t>
      </w:r>
    </w:p>
    <w:p>
      <w:pPr>
        <w:autoSpaceDN w:val="0"/>
        <w:autoSpaceDE w:val="0"/>
        <w:widowControl/>
        <w:spacing w:line="245" w:lineRule="auto" w:before="164" w:after="0"/>
        <w:ind w:left="3744" w:right="3600" w:firstLine="0"/>
        <w:jc w:val="center"/>
      </w:pP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Long-Sheng Huang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16"/>
        </w:rPr>
        <w:t xml:space="preserve">SHU-TE University, TAIWAN </w:t>
      </w:r>
    </w:p>
    <w:p>
      <w:pPr>
        <w:autoSpaceDN w:val="0"/>
        <w:autoSpaceDE w:val="0"/>
        <w:widowControl/>
        <w:spacing w:line="245" w:lineRule="auto" w:before="60" w:after="0"/>
        <w:ind w:left="2592" w:right="2448" w:firstLine="0"/>
        <w:jc w:val="center"/>
      </w:pP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Chung-Fah Huang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16"/>
        </w:rPr>
        <w:t xml:space="preserve">National Kaohsiung University of Applied Science, TAIWAN </w:t>
      </w:r>
    </w:p>
    <w:p>
      <w:pPr>
        <w:autoSpaceDN w:val="0"/>
        <w:autoSpaceDE w:val="0"/>
        <w:widowControl/>
        <w:spacing w:line="240" w:lineRule="auto" w:before="344" w:after="0"/>
        <w:ind w:left="220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16"/>
        </w:rPr>
        <w:t xml:space="preserve">Received 26 May 2016 ▪ Revised 1 August 2016 ▪ Accepted 4 August 2016 </w:t>
      </w:r>
    </w:p>
    <w:p>
      <w:pPr>
        <w:autoSpaceDN w:val="0"/>
        <w:autoSpaceDE w:val="0"/>
        <w:widowControl/>
        <w:spacing w:line="245" w:lineRule="auto" w:before="392" w:after="0"/>
        <w:ind w:left="1220" w:right="864" w:firstLine="0"/>
        <w:jc w:val="left"/>
      </w:pPr>
      <w:r>
        <w:rPr>
          <w:rFonts w:ascii="Segoe UI" w:hAnsi="Segoe UI" w:eastAsia="Segoe UI"/>
          <w:b/>
          <w:i w:val="0"/>
          <w:color w:val="000099"/>
          <w:sz w:val="18"/>
        </w:rPr>
        <w:t xml:space="preserve">ABSTRACT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Using the technology acceptance model (TAM) as its theoretical foundation, this study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intends to explore the use of Travelling Beam devices in road engineerings in Taiwan and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offer suggestions based on its findings to encourage industry willingness for device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deployment resulting in improving road pavement smoothness in Taiwan. The study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subjects were pavement smoothness device operators in Taiwan. A total of 107 valid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questionnaires were returned. The questionnaire results were analyzed using descriptive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statistics, confirmatory factor analysis and structural equation modeling. Study results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show that more training/support and perceived ease of use can lead to more willingness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to use travelling beam devices and consequentially help improve pavement smoothness.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Structural equation modeling (SEM) analysis results also indicate training/support,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perceived ease of use and attitude will give users’ positive attitudes towards use of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travelling beam devices. </w:t>
      </w:r>
    </w:p>
    <w:p>
      <w:pPr>
        <w:autoSpaceDN w:val="0"/>
        <w:autoSpaceDE w:val="0"/>
        <w:widowControl/>
        <w:spacing w:line="245" w:lineRule="auto" w:before="2" w:after="0"/>
        <w:ind w:left="1220" w:right="864" w:firstLine="0"/>
        <w:jc w:val="left"/>
      </w:pPr>
      <w:r>
        <w:rPr>
          <w:rFonts w:ascii="Segoe UI" w:hAnsi="Segoe UI" w:eastAsia="Segoe UI"/>
          <w:b/>
          <w:i w:val="0"/>
          <w:color w:val="000099"/>
          <w:sz w:val="18"/>
        </w:rPr>
        <w:t>Keywords</w:t>
      </w:r>
      <w:r>
        <w:rPr>
          <w:rFonts w:ascii="Segoe UI" w:hAnsi="Segoe UI" w:eastAsia="Segoe UI"/>
          <w:b/>
          <w:i w:val="0"/>
          <w:color w:val="000000"/>
          <w:sz w:val="18"/>
        </w:rPr>
        <w:t>: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 technology acceptance model (TAM); pavement smoothness; profilograph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devices; confirmatory factor analysis (CFA); structural equation modeling (SEM) </w:t>
      </w:r>
    </w:p>
    <w:p>
      <w:pPr>
        <w:autoSpaceDN w:val="0"/>
        <w:autoSpaceDE w:val="0"/>
        <w:widowControl/>
        <w:spacing w:line="240" w:lineRule="auto" w:before="492" w:after="0"/>
        <w:ind w:left="0" w:right="3598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INTRODUCTION </w:t>
      </w:r>
    </w:p>
    <w:p>
      <w:pPr>
        <w:autoSpaceDN w:val="0"/>
        <w:autoSpaceDE w:val="0"/>
        <w:widowControl/>
        <w:spacing w:line="240" w:lineRule="auto" w:before="192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Pavement smoothness can ensure not only a more comfortable driving experience but also </w:t>
      </w:r>
    </w:p>
    <w:p>
      <w:pPr>
        <w:autoSpaceDN w:val="0"/>
        <w:autoSpaceDE w:val="0"/>
        <w:widowControl/>
        <w:spacing w:line="242" w:lineRule="auto" w:before="28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longer road life cycles. During the rapid economic growth in Taiwan over the past years, </w:t>
      </w:r>
    </w:p>
    <w:p>
      <w:pPr>
        <w:autoSpaceDN w:val="0"/>
        <w:autoSpaceDE w:val="0"/>
        <w:widowControl/>
        <w:spacing w:line="240" w:lineRule="auto" w:before="28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road engineering has become a type of public works that are closely and directly related to </w:t>
      </w:r>
    </w:p>
    <w:p>
      <w:pPr>
        <w:autoSpaceDN w:val="0"/>
        <w:autoSpaceDE w:val="0"/>
        <w:widowControl/>
        <w:spacing w:line="242" w:lineRule="auto" w:before="26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lives of road user, through construction of new roads, renovation, widening, or </w:t>
      </w:r>
    </w:p>
    <w:p>
      <w:pPr>
        <w:autoSpaceDN w:val="0"/>
        <w:autoSpaceDE w:val="0"/>
        <w:widowControl/>
        <w:spacing w:line="240" w:lineRule="auto" w:before="28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pipeline/wire installation. Roads are also the arteries of economic development. Poor </w:t>
      </w:r>
    </w:p>
    <w:p>
      <w:pPr>
        <w:autoSpaceDN w:val="0"/>
        <w:autoSpaceDE w:val="0"/>
        <w:widowControl/>
        <w:spacing w:line="240" w:lineRule="auto" w:before="30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smoothness in road surfaces poses a threat to transportation safety, increases transportation </w:t>
      </w:r>
    </w:p>
    <w:p>
      <w:pPr>
        <w:autoSpaceDN w:val="0"/>
        <w:autoSpaceDE w:val="0"/>
        <w:widowControl/>
        <w:spacing w:line="240" w:lineRule="auto" w:before="28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costs and vehicle maintenance/repair costs. </w:t>
      </w:r>
    </w:p>
    <w:p>
      <w:pPr>
        <w:autoSpaceDN w:val="0"/>
        <w:autoSpaceDE w:val="0"/>
        <w:widowControl/>
        <w:spacing w:line="245" w:lineRule="auto" w:before="868" w:after="0"/>
        <w:ind w:left="262" w:right="288" w:firstLine="0"/>
        <w:jc w:val="left"/>
      </w:pPr>
      <w:r>
        <w:rPr>
          <w:rFonts w:ascii="Segoe UI" w:hAnsi="Segoe UI" w:eastAsia="Segoe UI"/>
          <w:b/>
          <w:i w:val="0"/>
          <w:color w:val="000000"/>
          <w:sz w:val="18"/>
        </w:rPr>
        <w:t>© Authors.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 Terms and conditions of Creative Commons Attribution 4.0 International (CC BY 4.0) apply. </w:t>
      </w:r>
      <w:r>
        <w:rPr>
          <w:rFonts w:ascii="Segoe UI" w:hAnsi="Segoe UI" w:eastAsia="Segoe UI"/>
          <w:b/>
          <w:i w:val="0"/>
          <w:color w:val="000000"/>
          <w:sz w:val="18"/>
        </w:rPr>
        <w:t>Correspondence: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 Chung-Fah Huang, </w:t>
      </w:r>
      <w:r>
        <w:rPr>
          <w:rFonts w:ascii="Segoe UI" w:hAnsi="Segoe UI" w:eastAsia="Segoe UI"/>
          <w:b w:val="0"/>
          <w:i/>
          <w:color w:val="000000"/>
          <w:sz w:val="18"/>
        </w:rPr>
        <w:t xml:space="preserve">Department of Civil Engineering, National Kaohsiung University of Applied </w:t>
      </w:r>
      <w:r>
        <w:rPr>
          <w:rFonts w:ascii="Segoe UI" w:hAnsi="Segoe UI" w:eastAsia="Segoe UI"/>
          <w:b w:val="0"/>
          <w:i/>
          <w:color w:val="000000"/>
          <w:sz w:val="18"/>
        </w:rPr>
        <w:t>Sciences, No.415, Jiangong Rd., Sanmin Dist., Kaohsiung City 807, Taiwan (R.O.C.)</w:t>
      </w:r>
    </w:p>
    <w:p>
      <w:pPr>
        <w:autoSpaceDN w:val="0"/>
        <w:autoSpaceDE w:val="0"/>
        <w:widowControl/>
        <w:spacing w:line="240" w:lineRule="auto" w:before="2" w:after="0"/>
        <w:ind w:left="2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5100" cy="1257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57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egoe UI" w:hAnsi="Segoe UI" w:eastAsia="Segoe UI"/>
          <w:b w:val="0"/>
          <w:i w:val="0"/>
          <w:color w:val="0462C1"/>
          <w:sz w:val="18"/>
          <w:u w:val="single"/>
        </w:rPr>
        <w:t>jeffrey@cc.kuas.edu.tw</w:t>
      </w:r>
    </w:p>
    <w:p>
      <w:pPr>
        <w:sectPr>
          <w:pgSz w:w="11906" w:h="16838"/>
          <w:pgMar w:top="440" w:right="1042" w:bottom="850" w:left="1440" w:header="720" w:footer="720" w:gutter="0"/>
          <w:cols w:space="720" w:num="1" w:equalWidth="0"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728980</wp:posOffset>
            </wp:positionH>
            <wp:positionV relativeFrom="page">
              <wp:posOffset>1841500</wp:posOffset>
            </wp:positionV>
            <wp:extent cx="5712460" cy="372750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7275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110"/>
        <w:ind w:left="8" w:right="0" w:firstLine="0"/>
        <w:jc w:val="lef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>L. S. Huang &amp; C. F. Huang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71"/>
        <w:gridCol w:w="4671"/>
      </w:tblGrid>
      <w:tr>
        <w:trPr>
          <w:trHeight w:hRule="exact" w:val="658"/>
        </w:trPr>
        <w:tc>
          <w:tcPr>
            <w:tcW w:type="dxa" w:w="909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136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2"/>
              </w:rPr>
              <w:t xml:space="preserve">State of the literature </w:t>
            </w:r>
          </w:p>
        </w:tc>
      </w:tr>
      <w:tr>
        <w:trPr>
          <w:trHeight w:hRule="exact" w:val="328"/>
        </w:trPr>
        <w:tc>
          <w:tcPr>
            <w:tcW w:type="dxa" w:w="356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34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The related literature used instrument equipment to investigate the smoothness of pavement. </w:t>
            </w:r>
          </w:p>
        </w:tc>
      </w:tr>
    </w:tbl>
    <w:p>
      <w:pPr>
        <w:autoSpaceDN w:val="0"/>
        <w:autoSpaceDE w:val="0"/>
        <w:widowControl/>
        <w:spacing w:line="240" w:lineRule="auto" w:before="2" w:after="12"/>
        <w:ind w:left="496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However, few studied have been carried out on the safety of both pedestrians and drivers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4671"/>
        <w:gridCol w:w="4671"/>
      </w:tblGrid>
      <w:tr>
        <w:trPr>
          <w:trHeight w:hRule="exact" w:val="574"/>
        </w:trPr>
        <w:tc>
          <w:tcPr>
            <w:tcW w:type="dxa" w:w="300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4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this issue. </w:t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Three types of equipment were used for pavement smoothness detection (e.g. Haas, et al., </w:t>
            </w:r>
          </w:p>
        </w:tc>
      </w:tr>
    </w:tbl>
    <w:p>
      <w:pPr>
        <w:autoSpaceDN w:val="0"/>
        <w:autoSpaceDE w:val="0"/>
        <w:widowControl/>
        <w:spacing w:line="240" w:lineRule="auto" w:before="10" w:after="10"/>
        <w:ind w:left="496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1994; Shambhavi Co., 2003). But the lack of studies for equipment operator behavior affect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4671"/>
        <w:gridCol w:w="4671"/>
      </w:tblGrid>
      <w:tr>
        <w:trPr>
          <w:trHeight w:hRule="exact" w:val="574"/>
        </w:trPr>
        <w:tc>
          <w:tcPr>
            <w:tcW w:type="dxa" w:w="300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4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detected results’ validity. </w:t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Equipment operator behavior is an important proper essential of the pavement smoothness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0"/>
        <w:ind w:left="496" w:right="288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devices (e.g. Joao et al., 2010; Losa &amp; Leandri, 2011). These studies should be investigated for 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the effect of the TAM model on pavement smoothness detection.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4671"/>
        <w:gridCol w:w="4671"/>
      </w:tblGrid>
      <w:tr>
        <w:trPr>
          <w:trHeight w:hRule="exact" w:val="386"/>
        </w:trPr>
        <w:tc>
          <w:tcPr>
            <w:tcW w:type="dxa" w:w="9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2"/>
              </w:rPr>
              <w:t xml:space="preserve">Contribution of this paper to the literature </w:t>
            </w:r>
          </w:p>
        </w:tc>
      </w:tr>
      <w:tr>
        <w:trPr>
          <w:trHeight w:hRule="exact" w:val="330"/>
        </w:trPr>
        <w:tc>
          <w:tcPr>
            <w:tcW w:type="dxa" w:w="300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The main contribution of this paper to the literature is related to how the TAM model </w:t>
            </w:r>
          </w:p>
        </w:tc>
      </w:tr>
    </w:tbl>
    <w:p>
      <w:pPr>
        <w:autoSpaceDN w:val="0"/>
        <w:autoSpaceDE w:val="0"/>
        <w:widowControl/>
        <w:spacing w:line="240" w:lineRule="auto" w:before="12" w:after="10"/>
        <w:ind w:left="496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influences training/support the respondents’ willingness to use the devices during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4671"/>
        <w:gridCol w:w="4671"/>
      </w:tblGrid>
      <w:tr>
        <w:trPr>
          <w:trHeight w:hRule="exact" w:val="576"/>
        </w:trPr>
        <w:tc>
          <w:tcPr>
            <w:tcW w:type="dxa" w:w="300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4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pavement smoothness detection. </w:t>
            </w:r>
          </w:p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Using SEM analysis of the TAM model product, users enhance their willingness to use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4671"/>
        <w:gridCol w:w="4671"/>
      </w:tblGrid>
      <w:tr>
        <w:trPr>
          <w:trHeight w:hRule="exact" w:val="576"/>
        </w:trPr>
        <w:tc>
          <w:tcPr>
            <w:tcW w:type="dxa" w:w="300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780"/>
            <w:tcBorders/>
            <w:shd w:fill="ffff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pavement smoothness devices. </w:t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20"/>
              </w:rPr>
              <w:t xml:space="preserve">Since the TAM model is used to analyze connections among users’ attitudes and willingness 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496" w:right="288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(Ong, et al., 2004), this study can be used to teach road engineering about the devices during 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pavement smoothness detection. </w:t>
      </w:r>
    </w:p>
    <w:p>
      <w:pPr>
        <w:autoSpaceDN w:val="0"/>
        <w:autoSpaceDE w:val="0"/>
        <w:widowControl/>
        <w:spacing w:line="262" w:lineRule="auto" w:before="456" w:after="0"/>
        <w:ind w:left="8" w:right="208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smoothness properties of pavement are subject to the influences of temperature,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precipitation, and traffic flow; therefore, high-quality road pavement work is key to driving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safety (Ongel, et al., 2009). As people are more aware of the importance of their rights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safety, it is an urgent priority to ensure smooth and enduring road pavement. According to a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National Cooperative High Research Program report on 200 roads in 10 states in the US, a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50% increase in pavement smoothness can result in an extension of at least 15% of the road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lifespan. This indicates smooth pavement increases road lifespans. </w:t>
      </w:r>
    </w:p>
    <w:p>
      <w:pPr>
        <w:autoSpaceDN w:val="0"/>
        <w:autoSpaceDE w:val="0"/>
        <w:widowControl/>
        <w:spacing w:line="264" w:lineRule="auto" w:before="190" w:after="0"/>
        <w:ind w:left="8" w:right="204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Currently, pavement smoothness is measured with the international roughness index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(IRI). The IRI has become a standard tool for measuring the comfort level one experiences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when walking or driving on a road. However, Kim et al. (2007) used finite-element modeling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(FEM) to investigate the smoothness of concrete pavement and they found the IRI unable to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represent the slab curvatures caused by temperature differences between the top and bottom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of the pavements. In addition, many researchers and experts have developed several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methods and tools to measure pavement smoothness. For example, Harris et al. (2010) used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novel algorithms to measure pavement profile height and found only a 2% discrepancy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between their calculation results and IRI values. The state governments of Florida, Texas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New York directly use ASTM E950 or AASHTO PP49 standards to compare and evaluate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pavement profile height data. Lin et al. (2004) used the least square inversion technique to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calculate dielectric constants and found the constants in inverse proportion to the pavement </w:t>
      </w:r>
    </w:p>
    <w:p>
      <w:pPr>
        <w:autoSpaceDN w:val="0"/>
        <w:autoSpaceDE w:val="0"/>
        <w:widowControl/>
        <w:spacing w:line="240" w:lineRule="auto" w:before="496" w:after="0"/>
        <w:ind w:left="8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2182 </w:t>
      </w:r>
    </w:p>
    <w:p>
      <w:pPr>
        <w:sectPr>
          <w:pgSz w:w="11906" w:h="16838"/>
          <w:pgMar w:top="1100" w:right="1440" w:bottom="596" w:left="1124" w:header="720" w:footer="720" w:gutter="0"/>
          <w:cols w:space="720" w:num="1" w:equalWidth="0"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EURASIA J Math Sci and Tech Ed </w:t>
      </w:r>
    </w:p>
    <w:p>
      <w:pPr>
        <w:autoSpaceDN w:val="0"/>
        <w:autoSpaceDE w:val="0"/>
        <w:widowControl/>
        <w:spacing w:line="262" w:lineRule="auto" w:before="398" w:after="0"/>
        <w:ind w:left="262" w:right="26" w:firstLine="0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roughness. Based on their findings, it can be said that dielectric constants can be used to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evaluate pavement roughness or smoothness. Joao et al. (2010) used the scanning prototype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machine to achieve 3D characterization of pavement texture and profile depth. Losa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Leandri (2011) applied Butterworth's numerical filters and moving average filters to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analyzing pavement texture depths. Wang and Li (2011) built a model that can effectively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predict pavement smoothness based on the integration of the gray theory with fuzzy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regression analysis. </w:t>
      </w:r>
    </w:p>
    <w:p>
      <w:pPr>
        <w:autoSpaceDN w:val="0"/>
        <w:autoSpaceDE w:val="0"/>
        <w:widowControl/>
        <w:spacing w:line="264" w:lineRule="auto" w:before="188" w:after="0"/>
        <w:ind w:left="262" w:right="28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According to Carry et al. (1960), AASHTO test results indicate pavement smoothness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contributes 95% of road serviceability. The most direct method to quantify pavement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smoothness is to place the travelling beam device at a point of the pavement and then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measure the height difference at the point or calculate the standard deviation of pavement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smoothness. Currently, a comprehensive acceptance review mechanism has been gradually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introduced into road construction in the US, mainly using the international roughness index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(IRI) or the profile index (PI) for the measurement of pavement smoothness. Different states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 the US are now using different types of travelling beam devices to measure pavement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smoothness. For example, in Washington State, the Department of Transportation (WSDOT)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distress data collection vans are used to measure pavement smoothness. </w:t>
      </w:r>
    </w:p>
    <w:p>
      <w:pPr>
        <w:autoSpaceDN w:val="0"/>
        <w:autoSpaceDE w:val="0"/>
        <w:widowControl/>
        <w:spacing w:line="264" w:lineRule="auto" w:before="188" w:after="0"/>
        <w:ind w:left="262" w:right="0" w:firstLine="566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Currently, there are mainly three types of equipment for pavement smoothness (or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roughness) measurement: road profilers, profilographs, and response-type devices. (Haas, et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al., 1994). In ASTM E950, it is explicitly stipulated that, after the road pavement is completed,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pavement smoothness measurement must be conducted as part of the standard acceptance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>review procedure. The three types of travelling beam devices most commonly seen are high-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low detectors, inertial profilers, and three-meter straight edges. High-low detectors consist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double wheel trailers that are towed by operators. The wheel mounted on the trailer was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supported by leaf springs. Altitude variations in the pavement surface cause the wheels to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move with respect to the frame of the device. A three-meter straight edge approximately 3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meters in length may be used to determine lateral surface regularity of a pavement surface.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This lightweight device is equally supported at both ends producing a set height between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pavement surfaces (Shambhavi Co., 2003). </w:t>
      </w:r>
    </w:p>
    <w:p>
      <w:pPr>
        <w:autoSpaceDN w:val="0"/>
        <w:autoSpaceDE w:val="0"/>
        <w:widowControl/>
        <w:spacing w:line="264" w:lineRule="auto" w:before="188" w:after="0"/>
        <w:ind w:left="262" w:right="24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However, since the measuring devices are operated by users, anthropogenic factors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such as differences in personal willingness to use the devices or knowledge about the devices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or the acceptance review standard functions can result in differences or even errors in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smoothness calculation, which in turn may lead to traffic accidents and damage claims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caused by poor pavement smoothness. For example, in Taiwan, there were 16 deaths and 125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injuries in traffic accidents caused by rough pavements from 2005 to 2007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consequentially 211 damage claims for official tort compensation (worth NT$ 64 million),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accounting for 38% of the total amount of claims for national tort compensation during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same time period. In 2008, the Public Construction Commission of the Executive Yuan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conducted a survey on the pavement smoothness of the roads in each city and county in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Taiwan and found only 13% of the surveyed roads had acceptable smoothness levels. This </w:t>
      </w:r>
    </w:p>
    <w:p>
      <w:pPr>
        <w:autoSpaceDN w:val="0"/>
        <w:autoSpaceDE w:val="0"/>
        <w:widowControl/>
        <w:spacing w:line="240" w:lineRule="auto" w:before="264" w:after="0"/>
        <w:ind w:left="0" w:right="20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2183 </w:t>
      </w:r>
    </w:p>
    <w:p>
      <w:pPr>
        <w:sectPr>
          <w:pgSz w:w="11906" w:h="16838"/>
          <w:pgMar w:top="1100" w:right="1050" w:bottom="596" w:left="1440" w:header="720" w:footer="720" w:gutter="0"/>
          <w:cols w:space="720" w:num="1" w:equalWidth="0"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>L. S. Huang &amp; C. F. Huang</w:t>
      </w:r>
    </w:p>
    <w:p>
      <w:pPr>
        <w:autoSpaceDN w:val="0"/>
        <w:autoSpaceDE w:val="0"/>
        <w:widowControl/>
        <w:spacing w:line="259" w:lineRule="auto" w:before="398" w:after="0"/>
        <w:ind w:left="8" w:right="204" w:firstLine="0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finding indicates that, despite the existence of governmental regulations about pavement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smoothness inspection and the use of the travelling beam devices, the overall pavement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smoothness is still unsatisfactory in Taiwan, posing a threat to the safety of both pedestrians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and drivers. Therefore, it is necessary to explore further this issue. </w:t>
      </w:r>
    </w:p>
    <w:p>
      <w:pPr>
        <w:autoSpaceDN w:val="0"/>
        <w:autoSpaceDE w:val="0"/>
        <w:widowControl/>
        <w:spacing w:line="264" w:lineRule="auto" w:before="190" w:after="0"/>
        <w:ind w:left="8" w:right="204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technology acceptance model (TAM) can test the connections among users’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attitudes toward, willingness to use, and behaviors of using a certain technology (Ong, et al,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2004). TAM is mainly intended to explore how different factors affect one’s perceptions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usefulness and ease of use of a technology. Proposed by Davis et al. (1989), the TAM is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mainly based on the theory of reasoned action developed by Fishbein and Ajzen (1975).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TAM mainly discusses the connections between emotional variables and technology usage. It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features such strengths as simple modeling, specific focus on information technology robust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theoretic foundations, and sufficient empirical support. The modeling of the TAM is shown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Figure 1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. According to Chau (1996), since it was proposed, TAM has been very popular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and widely applied in information technology and management fields. Therefore, there have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been many applications and much empirical support of this model. Succi &amp; Walter (1999)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found the TAM capable of explaining the acceptance level of a user toward a new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information technology and forging connections between beliefs and attitudes to predict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acceptance levels of a new technology. Morris &amp; Dillon (1997) thought, empirically applied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or not, the TAM is a successful and easy-to-use system providing predictions that can help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researchers and practitioners to save costs. </w:t>
      </w:r>
    </w:p>
    <w:p>
      <w:pPr>
        <w:autoSpaceDN w:val="0"/>
        <w:autoSpaceDE w:val="0"/>
        <w:widowControl/>
        <w:spacing w:line="240" w:lineRule="auto" w:before="182" w:after="0"/>
        <w:ind w:left="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79110" cy="145033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450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2" w:after="0"/>
        <w:ind w:left="8" w:right="0" w:firstLine="0"/>
        <w:jc w:val="left"/>
      </w:pPr>
      <w:r>
        <w:rPr>
          <w:rFonts w:ascii="Segoe UI" w:hAnsi="Segoe UI" w:eastAsia="Segoe UI"/>
          <w:b/>
          <w:i w:val="0"/>
          <w:color w:val="000099"/>
          <w:sz w:val="20"/>
        </w:rPr>
        <w:t>Figure 1.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 Modeling of the TAM </w:t>
      </w:r>
    </w:p>
    <w:p>
      <w:pPr>
        <w:autoSpaceDN w:val="0"/>
        <w:autoSpaceDE w:val="0"/>
        <w:widowControl/>
        <w:spacing w:line="264" w:lineRule="auto" w:before="246" w:after="0"/>
        <w:ind w:left="8" w:right="204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Using the TAM as its theoretical foundation, this study attempts to explore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effectiveness of using profilograph devices by conducting a questionnaire survey to find out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if the respondents’ previous experiences and training/support about using the devices affect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their perceived usefulness and ease of use of the devices and also to find out if their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perceived usefulness and ease of use of the devices affect their actual use of the devices.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purpose of this study is to help the related organizations and the device users in measuring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and improving the pavement smoothness by encouraging the users’ willingness to use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devices more frequently. In addition, King and He (2006) conducted a meta-analysis on a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total of 88 studies and found, even though one’s perceived usefulness of a technology has a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significant influence on behavioral intention, perceived ease of use of the technology does </w:t>
      </w:r>
    </w:p>
    <w:p>
      <w:pPr>
        <w:autoSpaceDN w:val="0"/>
        <w:autoSpaceDE w:val="0"/>
        <w:widowControl/>
        <w:spacing w:line="240" w:lineRule="auto" w:before="444" w:after="0"/>
        <w:ind w:left="8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2184 </w:t>
      </w:r>
    </w:p>
    <w:p>
      <w:pPr>
        <w:sectPr>
          <w:pgSz w:w="11906" w:h="16838"/>
          <w:pgMar w:top="1100" w:right="1440" w:bottom="596" w:left="1124" w:header="720" w:footer="720" w:gutter="0"/>
          <w:cols w:space="720" w:num="1" w:equalWidth="0"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EURASIA J Math Sci and Tech Ed </w:t>
      </w:r>
    </w:p>
    <w:p>
      <w:pPr>
        <w:autoSpaceDN w:val="0"/>
        <w:autoSpaceDE w:val="0"/>
        <w:widowControl/>
        <w:spacing w:line="259" w:lineRule="auto" w:before="398" w:after="0"/>
        <w:ind w:left="262" w:right="30" w:firstLine="0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not have a direct and stable influence on behavioral intention. In other words, it is still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necessary in this study to establish that there are positive correlations between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respondents’ perceived ease of use of the devices and their attitudes and willingness to use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devices. </w:t>
      </w:r>
    </w:p>
    <w:p>
      <w:pPr>
        <w:autoSpaceDN w:val="0"/>
        <w:autoSpaceDE w:val="0"/>
        <w:widowControl/>
        <w:spacing w:line="262" w:lineRule="auto" w:before="190" w:after="0"/>
        <w:ind w:left="262" w:right="24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According to the previous research (Ong, et al, 2004) (Chau, 1996) etc. The TAM used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 this study is composed of four major dimensions: previous experience, training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support regarding the use of the devices, perceived usefulness, and perceived ease of use.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Each of the dimensions is explored to find out its connections between the attitudes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willingness of the users to the use of travelling beam devices. The modeling framework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this study is shown 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Figure 2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0" w:lineRule="auto" w:before="184" w:after="0"/>
        <w:ind w:left="2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89170" cy="18097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809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90" w:after="0"/>
        <w:ind w:left="262" w:right="0" w:firstLine="0"/>
        <w:jc w:val="left"/>
      </w:pPr>
      <w:r>
        <w:rPr>
          <w:rFonts w:ascii="Book Antiqua" w:hAnsi="Book Antiqua" w:eastAsia="Book Antiqua"/>
          <w:b/>
          <w:i w:val="0"/>
          <w:color w:val="000099"/>
          <w:sz w:val="20"/>
        </w:rPr>
        <w:t>Figure 2.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Research Framework of this Study </w:t>
      </w:r>
    </w:p>
    <w:p>
      <w:pPr>
        <w:autoSpaceDN w:val="0"/>
        <w:autoSpaceDE w:val="0"/>
        <w:widowControl/>
        <w:spacing w:line="240" w:lineRule="auto" w:before="188" w:after="0"/>
        <w:ind w:left="0" w:right="2960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MATERIAL AND METHODS </w:t>
      </w:r>
    </w:p>
    <w:p>
      <w:pPr>
        <w:autoSpaceDN w:val="0"/>
        <w:autoSpaceDE w:val="0"/>
        <w:widowControl/>
        <w:spacing w:line="262" w:lineRule="auto" w:before="164" w:after="0"/>
        <w:ind w:left="262" w:right="26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subjects of the questionnaire survey in this research are employees of 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construction firms in Taiwan. All the 36 questions in the questionnaire were designed based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on references from a literature review of related research. There were three types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questions: (1) questions regarding the respondents’ willingness to use the devices; (2)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questions regarding the respondents’ attitudes toward the use of the devices (using a 7-point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Likert scale to measure their attitudes); and (3) open questions regarding the respondents’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personal information. </w:t>
      </w:r>
    </w:p>
    <w:p>
      <w:pPr>
        <w:autoSpaceDN w:val="0"/>
        <w:autoSpaceDE w:val="0"/>
        <w:widowControl/>
        <w:spacing w:line="264" w:lineRule="auto" w:before="190" w:after="0"/>
        <w:ind w:left="262" w:right="28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questionnaire sample for road engineerings were in this study are either people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who are pavement smoothness device operators or those responsible for the planning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pavement engineering. The questionnaires were individually sent to each of the subjects.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respondents were asked to fill out the questionnaire anonymously to encourage their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willingness to participate in the survey. A total of 150 questionnaires were sent and 121 were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later returned (with a return rate of 80.6%), among which 107 were valid samples.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questionnaire survey results were compiled and then statistically analyzed using descriptive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analysis method, SPSS, and LISREL to evaluate the reliability and validity of the data. </w:t>
      </w:r>
    </w:p>
    <w:p>
      <w:pPr>
        <w:autoSpaceDN w:val="0"/>
        <w:autoSpaceDE w:val="0"/>
        <w:widowControl/>
        <w:spacing w:line="240" w:lineRule="auto" w:before="772" w:after="0"/>
        <w:ind w:left="0" w:right="20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2185 </w:t>
      </w:r>
    </w:p>
    <w:p>
      <w:pPr>
        <w:sectPr>
          <w:pgSz w:w="11906" w:h="16838"/>
          <w:pgMar w:top="1100" w:right="1050" w:bottom="596" w:left="1440" w:header="720" w:footer="720" w:gutter="0"/>
          <w:cols w:space="720" w:num="1" w:equalWidth="0"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>L. S. Huang &amp; C. F. Huang</w:t>
      </w:r>
    </w:p>
    <w:p>
      <w:pPr>
        <w:autoSpaceDN w:val="0"/>
        <w:autoSpaceDE w:val="0"/>
        <w:widowControl/>
        <w:spacing w:line="254" w:lineRule="auto" w:before="398" w:after="0"/>
        <w:ind w:left="72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Finally, SEM was used to conduct a path analysis exploring the connections among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dimensions in the modeling framework of this study. </w:t>
      </w:r>
    </w:p>
    <w:p>
      <w:pPr>
        <w:autoSpaceDN w:val="0"/>
        <w:autoSpaceDE w:val="0"/>
        <w:widowControl/>
        <w:spacing w:line="240" w:lineRule="auto" w:before="190" w:after="0"/>
        <w:ind w:left="0" w:right="3582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ANALYSIS RESULTS </w:t>
      </w:r>
    </w:p>
    <w:p>
      <w:pPr>
        <w:autoSpaceDN w:val="0"/>
        <w:autoSpaceDE w:val="0"/>
        <w:widowControl/>
        <w:spacing w:line="240" w:lineRule="auto" w:before="188" w:after="0"/>
        <w:ind w:left="0" w:right="3638" w:firstLine="0"/>
        <w:jc w:val="right"/>
      </w:pPr>
      <w:r>
        <w:rPr>
          <w:rFonts w:ascii="Book Antiqua" w:hAnsi="Book Antiqua" w:eastAsia="Book Antiqua"/>
          <w:b/>
          <w:i w:val="0"/>
          <w:color w:val="000000"/>
          <w:sz w:val="24"/>
        </w:rPr>
        <w:t xml:space="preserve">Reliability Analysis </w:t>
      </w:r>
    </w:p>
    <w:p>
      <w:pPr>
        <w:autoSpaceDN w:val="0"/>
        <w:autoSpaceDE w:val="0"/>
        <w:widowControl/>
        <w:spacing w:line="254" w:lineRule="auto" w:before="184" w:after="0"/>
        <w:ind w:left="72" w:right="144" w:firstLine="568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Cronbach’s α analysis, a common method to measure internal consistency of data, was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used to evaluate the reliability of the questions in each of the surveyed dimensions based on </w:t>
      </w:r>
    </w:p>
    <w:p>
      <w:pPr>
        <w:autoSpaceDN w:val="0"/>
        <w:autoSpaceDE w:val="0"/>
        <w:widowControl/>
        <w:spacing w:line="298" w:lineRule="exact" w:before="68" w:after="0"/>
        <w:ind w:left="7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>the data of the valid samples. When α</w:t>
      </w:r>
      <w:r>
        <w:rPr>
          <w:rFonts w:ascii="Microsoft JhengHei Light" w:hAnsi="Microsoft JhengHei Light" w:eastAsia="Microsoft JhengHei Light"/>
          <w:b w:val="0"/>
          <w:i w:val="0"/>
          <w:color w:val="000000"/>
          <w:sz w:val="22"/>
        </w:rPr>
        <w:t>＜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>0.35, it means low reliability; 0.35</w:t>
      </w:r>
      <w:r>
        <w:rPr>
          <w:rFonts w:ascii="Microsoft JhengHei Light" w:hAnsi="Microsoft JhengHei Light" w:eastAsia="Microsoft JhengHei Light"/>
          <w:b w:val="0"/>
          <w:i w:val="0"/>
          <w:color w:val="000000"/>
          <w:sz w:val="22"/>
        </w:rPr>
        <w:t>＜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>α</w:t>
      </w:r>
      <w:r>
        <w:rPr>
          <w:rFonts w:ascii="Microsoft JhengHei Light" w:hAnsi="Microsoft JhengHei Light" w:eastAsia="Microsoft JhengHei Light"/>
          <w:b w:val="0"/>
          <w:i w:val="0"/>
          <w:color w:val="000000"/>
          <w:sz w:val="22"/>
        </w:rPr>
        <w:t>＜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0.70 means </w:t>
      </w:r>
    </w:p>
    <w:p>
      <w:pPr>
        <w:autoSpaceDN w:val="0"/>
        <w:autoSpaceDE w:val="0"/>
        <w:widowControl/>
        <w:spacing w:line="300" w:lineRule="exact" w:before="112" w:after="0"/>
        <w:ind w:left="7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>moderate reliability; and α</w:t>
      </w:r>
      <w:r>
        <w:rPr>
          <w:rFonts w:ascii="Microsoft JhengHei Light" w:hAnsi="Microsoft JhengHei Light" w:eastAsia="Microsoft JhengHei Light"/>
          <w:b w:val="0"/>
          <w:i w:val="0"/>
          <w:color w:val="000000"/>
          <w:sz w:val="22"/>
        </w:rPr>
        <w:t>＞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0.70 means high reliability. As indicated by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1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, the </w:t>
      </w:r>
    </w:p>
    <w:p>
      <w:pPr>
        <w:autoSpaceDN w:val="0"/>
        <w:autoSpaceDE w:val="0"/>
        <w:widowControl/>
        <w:spacing w:line="257" w:lineRule="auto" w:before="72" w:after="0"/>
        <w:ind w:left="72" w:right="212" w:firstLine="0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reliability of the questions in each of the surveyed dimensions was higher than 0.70,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indicating high reliability, particularly the questions of the dimensions of training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support (0.818), perceived usefulness (0.863), and willingness to use the devices (0.885). </w:t>
      </w:r>
    </w:p>
    <w:p>
      <w:pPr>
        <w:autoSpaceDN w:val="0"/>
        <w:autoSpaceDE w:val="0"/>
        <w:widowControl/>
        <w:spacing w:line="240" w:lineRule="auto" w:before="184" w:after="62"/>
        <w:ind w:left="72" w:right="0" w:firstLine="0"/>
        <w:jc w:val="left"/>
      </w:pPr>
      <w:r>
        <w:rPr>
          <w:rFonts w:ascii="Segoe UI" w:hAnsi="Segoe UI" w:eastAsia="Segoe UI"/>
          <w:b/>
          <w:i w:val="0"/>
          <w:color w:val="000099"/>
          <w:sz w:val="20"/>
        </w:rPr>
        <w:t>Table 1.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Reliability Analysis of the Dimensions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351"/>
        <w:gridCol w:w="2351"/>
        <w:gridCol w:w="2351"/>
        <w:gridCol w:w="2351"/>
      </w:tblGrid>
      <w:tr>
        <w:trPr>
          <w:trHeight w:hRule="exact" w:val="380"/>
        </w:trPr>
        <w:tc>
          <w:tcPr>
            <w:tcW w:type="dxa" w:w="2062"/>
            <w:tcBorders>
              <w:top w:sz="7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Dimension </w:t>
            </w:r>
          </w:p>
        </w:tc>
        <w:tc>
          <w:tcPr>
            <w:tcW w:type="dxa" w:w="1418"/>
            <w:tcBorders>
              <w:top w:sz="7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Cronbach's α </w:t>
            </w:r>
          </w:p>
        </w:tc>
        <w:tc>
          <w:tcPr>
            <w:tcW w:type="dxa" w:w="2050"/>
            <w:tcBorders>
              <w:top w:sz="7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Dimension </w:t>
            </w:r>
          </w:p>
        </w:tc>
        <w:tc>
          <w:tcPr>
            <w:tcW w:type="dxa" w:w="1512"/>
            <w:tcBorders>
              <w:top w:sz="7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Cronbach's α </w:t>
            </w:r>
          </w:p>
        </w:tc>
      </w:tr>
      <w:tr>
        <w:trPr>
          <w:trHeight w:hRule="exact" w:val="370"/>
        </w:trPr>
        <w:tc>
          <w:tcPr>
            <w:tcW w:type="dxa" w:w="206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Previous Experience </w:t>
            </w:r>
          </w:p>
        </w:tc>
        <w:tc>
          <w:tcPr>
            <w:tcW w:type="dxa" w:w="14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0.728 </w:t>
            </w:r>
          </w:p>
        </w:tc>
        <w:tc>
          <w:tcPr>
            <w:tcW w:type="dxa" w:w="205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Perceived Ease of Use </w:t>
            </w:r>
          </w:p>
        </w:tc>
        <w:tc>
          <w:tcPr>
            <w:tcW w:type="dxa" w:w="151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0.793 </w:t>
            </w:r>
          </w:p>
        </w:tc>
      </w:tr>
      <w:tr>
        <w:trPr>
          <w:trHeight w:hRule="exact" w:val="370"/>
        </w:trPr>
        <w:tc>
          <w:tcPr>
            <w:tcW w:type="dxa" w:w="206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Training and Support </w:t>
            </w:r>
          </w:p>
        </w:tc>
        <w:tc>
          <w:tcPr>
            <w:tcW w:type="dxa" w:w="1418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0.818 </w:t>
            </w:r>
          </w:p>
        </w:tc>
        <w:tc>
          <w:tcPr>
            <w:tcW w:type="dxa" w:w="205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Attitudes </w:t>
            </w:r>
          </w:p>
        </w:tc>
        <w:tc>
          <w:tcPr>
            <w:tcW w:type="dxa" w:w="151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0.784 </w:t>
            </w:r>
          </w:p>
        </w:tc>
      </w:tr>
      <w:tr>
        <w:trPr>
          <w:trHeight w:hRule="exact" w:val="376"/>
        </w:trPr>
        <w:tc>
          <w:tcPr>
            <w:tcW w:type="dxa" w:w="2062"/>
            <w:tcBorders>
              <w:top w:sz="3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Perceived Usefulness </w:t>
            </w:r>
          </w:p>
        </w:tc>
        <w:tc>
          <w:tcPr>
            <w:tcW w:type="dxa" w:w="1418"/>
            <w:tcBorders>
              <w:top w:sz="3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0.863 </w:t>
            </w:r>
          </w:p>
        </w:tc>
        <w:tc>
          <w:tcPr>
            <w:tcW w:type="dxa" w:w="2050"/>
            <w:tcBorders>
              <w:top w:sz="3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Willingness </w:t>
            </w:r>
          </w:p>
        </w:tc>
        <w:tc>
          <w:tcPr>
            <w:tcW w:type="dxa" w:w="1512"/>
            <w:tcBorders>
              <w:top w:sz="3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0.885 </w:t>
            </w:r>
          </w:p>
        </w:tc>
      </w:tr>
    </w:tbl>
    <w:p>
      <w:pPr>
        <w:autoSpaceDN w:val="0"/>
        <w:autoSpaceDE w:val="0"/>
        <w:widowControl/>
        <w:spacing w:line="240" w:lineRule="auto" w:before="448" w:after="0"/>
        <w:ind w:left="0" w:right="3070" w:firstLine="0"/>
        <w:jc w:val="right"/>
      </w:pPr>
      <w:r>
        <w:rPr>
          <w:rFonts w:ascii="Book Antiqua" w:hAnsi="Book Antiqua" w:eastAsia="Book Antiqua"/>
          <w:b/>
          <w:i w:val="0"/>
          <w:color w:val="000000"/>
          <w:sz w:val="24"/>
        </w:rPr>
        <w:t xml:space="preserve">Descriptive Statistics Analysis </w:t>
      </w:r>
    </w:p>
    <w:p>
      <w:pPr>
        <w:autoSpaceDN w:val="0"/>
        <w:autoSpaceDE w:val="0"/>
        <w:widowControl/>
        <w:spacing w:line="262" w:lineRule="auto" w:before="186" w:after="0"/>
        <w:ind w:left="72" w:right="204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 this study, analysis of frequency distribution was used to elucidate a better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understanding of the characteristics of the samples by analyzing how the valid samples were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distributed in each of the following variables of personal information inquired in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questionnaire survey: types of devices they use, sex, age, education level, major subject, rank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of position, years of work experience, types of employers, years of experience in road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engineering, number of employer staff, and frequency of using the devices in road paving.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2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lists the sample distribution results in each of the variables. </w:t>
      </w:r>
    </w:p>
    <w:p>
      <w:pPr>
        <w:autoSpaceDN w:val="0"/>
        <w:autoSpaceDE w:val="0"/>
        <w:widowControl/>
        <w:spacing w:line="240" w:lineRule="auto" w:before="180" w:after="0"/>
        <w:ind w:left="0" w:right="3246" w:firstLine="0"/>
        <w:jc w:val="righ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Experience of using the devices </w:t>
      </w:r>
    </w:p>
    <w:p>
      <w:pPr>
        <w:autoSpaceDN w:val="0"/>
        <w:autoSpaceDE w:val="0"/>
        <w:widowControl/>
        <w:spacing w:line="262" w:lineRule="auto" w:before="188" w:after="0"/>
        <w:ind w:left="72" w:right="206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As indicated 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2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, a total of 41 of the respondents (47.7%) had experience with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using high-low detectors and 40 using three-meter straight edges (46.5%). This is probably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because high-low detectors and three-meter straight edges are relatively easy to use, which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suggests that when selecting among different devices, the respondents found ease of use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device to be a priority concern. </w:t>
      </w:r>
    </w:p>
    <w:p>
      <w:pPr>
        <w:autoSpaceDN w:val="0"/>
        <w:autoSpaceDE w:val="0"/>
        <w:widowControl/>
        <w:spacing w:line="240" w:lineRule="auto" w:before="180" w:after="0"/>
        <w:ind w:left="0" w:right="3222" w:firstLine="0"/>
        <w:jc w:val="righ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Sex and Education Background </w:t>
      </w:r>
    </w:p>
    <w:p>
      <w:pPr>
        <w:autoSpaceDN w:val="0"/>
        <w:autoSpaceDE w:val="0"/>
        <w:widowControl/>
        <w:spacing w:line="252" w:lineRule="auto" w:before="188" w:after="0"/>
        <w:ind w:left="72" w:right="144" w:firstLine="568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Among the respondents, 89 were male (83.2%) and 18 were female (16.8%). Their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average age was 40.96 years old while those from 30 to 39 accounted for the largest age </w:t>
      </w:r>
    </w:p>
    <w:p>
      <w:pPr>
        <w:autoSpaceDN w:val="0"/>
        <w:autoSpaceDE w:val="0"/>
        <w:widowControl/>
        <w:spacing w:line="240" w:lineRule="auto" w:before="284" w:after="0"/>
        <w:ind w:left="7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2186 </w:t>
      </w:r>
    </w:p>
    <w:p>
      <w:pPr>
        <w:sectPr>
          <w:pgSz w:w="11906" w:h="16838"/>
          <w:pgMar w:top="1100" w:right="1440" w:bottom="596" w:left="1060" w:header="720" w:footer="720" w:gutter="0"/>
          <w:cols w:space="720" w:num="1" w:equalWidth="0"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EURASIA J Math Sci and Tech Ed </w:t>
      </w:r>
    </w:p>
    <w:p>
      <w:pPr>
        <w:autoSpaceDN w:val="0"/>
        <w:autoSpaceDE w:val="0"/>
        <w:widowControl/>
        <w:spacing w:line="262" w:lineRule="auto" w:before="398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group (38.3%) among the respondents, followed by those from 40 to 49 (36.4%). As far as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education background is concerned, 50 college/university educated respondents accounted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>for the largest group (47.5%) among the total samples, followed by the junior-college-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educated ones (35 respondents accounting for 33.6% of the total samples). There were only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six respondents who had received graduate or higher education, accounting for the smallest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group (5.7%) among the samples. </w:t>
      </w:r>
    </w:p>
    <w:p>
      <w:pPr>
        <w:autoSpaceDN w:val="0"/>
        <w:autoSpaceDE w:val="0"/>
        <w:widowControl/>
        <w:spacing w:line="240" w:lineRule="auto" w:before="184" w:after="0"/>
        <w:ind w:left="0" w:right="2798" w:firstLine="0"/>
        <w:jc w:val="righ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Major Subjects and Employer Types </w:t>
      </w:r>
    </w:p>
    <w:p>
      <w:pPr>
        <w:autoSpaceDN w:val="0"/>
        <w:autoSpaceDE w:val="0"/>
        <w:widowControl/>
        <w:spacing w:line="262" w:lineRule="auto" w:before="184" w:after="0"/>
        <w:ind w:left="262" w:right="28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 terms of their major subjects, a total of 84 of the samples (80.0%) majored in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construction/civil engineering while 21 majored in subjects other than construction/civil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engineering. As indicated 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2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, the employers of the respondents could be divided into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four types of organizations: construction companies, design/technology consulting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companies, governmental organizations, and other private companies.  Most of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respondents (58.6%) are now currently employed by construction companies. </w:t>
      </w:r>
    </w:p>
    <w:p>
      <w:pPr>
        <w:autoSpaceDN w:val="0"/>
        <w:autoSpaceDE w:val="0"/>
        <w:widowControl/>
        <w:spacing w:line="240" w:lineRule="auto" w:before="184" w:after="0"/>
        <w:ind w:left="0" w:right="3724" w:firstLine="0"/>
        <w:jc w:val="righ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Rank of Position </w:t>
      </w:r>
    </w:p>
    <w:p>
      <w:pPr>
        <w:autoSpaceDN w:val="0"/>
        <w:autoSpaceDE w:val="0"/>
        <w:widowControl/>
        <w:spacing w:line="257" w:lineRule="auto" w:before="186" w:after="0"/>
        <w:ind w:left="262" w:right="26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As indicated 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2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, a total of 75 of the respondents (71%) were basic-level staff,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while 25 (23.8%) were basic-level managers. This indicates that most of the respondents that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had experiences using the devices were in the basic level positions in their companies. </w:t>
      </w:r>
    </w:p>
    <w:p>
      <w:pPr>
        <w:autoSpaceDN w:val="0"/>
        <w:autoSpaceDE w:val="0"/>
        <w:widowControl/>
        <w:spacing w:line="240" w:lineRule="auto" w:before="182" w:after="62"/>
        <w:ind w:left="262" w:right="0" w:firstLine="0"/>
        <w:jc w:val="left"/>
      </w:pPr>
      <w:r>
        <w:rPr>
          <w:rFonts w:ascii="Segoe UI" w:hAnsi="Segoe UI" w:eastAsia="Segoe UI"/>
          <w:b/>
          <w:i w:val="0"/>
          <w:color w:val="000099"/>
          <w:sz w:val="20"/>
        </w:rPr>
        <w:t>Table 2.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Distribution of Samples in Variables of Personal Information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1883"/>
        <w:gridCol w:w="1883"/>
        <w:gridCol w:w="1883"/>
        <w:gridCol w:w="1883"/>
        <w:gridCol w:w="1883"/>
      </w:tblGrid>
      <w:tr>
        <w:trPr>
          <w:trHeight w:hRule="exact" w:val="274"/>
        </w:trPr>
        <w:tc>
          <w:tcPr>
            <w:tcW w:type="dxa" w:w="2518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Variable of Personal </w:t>
            </w:r>
          </w:p>
        </w:tc>
        <w:tc>
          <w:tcPr>
            <w:tcW w:type="dxa" w:w="2554"/>
            <w:vMerge w:val="restart"/>
            <w:tcBorders>
              <w:top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Item </w:t>
            </w:r>
          </w:p>
        </w:tc>
        <w:tc>
          <w:tcPr>
            <w:tcW w:type="dxa" w:w="1276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Number of </w:t>
            </w:r>
          </w:p>
        </w:tc>
        <w:tc>
          <w:tcPr>
            <w:tcW w:type="dxa" w:w="1134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Percentage </w:t>
            </w:r>
          </w:p>
        </w:tc>
        <w:tc>
          <w:tcPr>
            <w:tcW w:type="dxa" w:w="884"/>
            <w:vMerge w:val="restart"/>
            <w:tcBorders>
              <w:top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Average </w:t>
            </w:r>
          </w:p>
        </w:tc>
      </w:tr>
      <w:tr>
        <w:trPr>
          <w:trHeight w:hRule="exact" w:val="276"/>
        </w:trPr>
        <w:tc>
          <w:tcPr>
            <w:tcW w:type="dxa" w:w="251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Information </w:t>
            </w:r>
          </w:p>
        </w:tc>
        <w:tc>
          <w:tcPr>
            <w:tcW w:type="dxa" w:w="1883"/>
            <w:vMerge/>
            <w:tcBorders>
              <w:top w:sz="8.0" w:val="single" w:color="#000000"/>
              <w:bottom w:sz="3.199999999999818" w:val="single" w:color="#000000"/>
            </w:tcBorders>
          </w:tcPr>
          <w:p/>
        </w:tc>
        <w:tc>
          <w:tcPr>
            <w:tcW w:type="dxa" w:w="1276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Samples </w:t>
            </w:r>
          </w:p>
        </w:tc>
        <w:tc>
          <w:tcPr>
            <w:tcW w:type="dxa" w:w="113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(%) </w:t>
            </w:r>
          </w:p>
        </w:tc>
        <w:tc>
          <w:tcPr>
            <w:tcW w:type="dxa" w:w="1883"/>
            <w:vMerge/>
            <w:tcBorders>
              <w:top w:sz="8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248"/>
        </w:trPr>
        <w:tc>
          <w:tcPr>
            <w:tcW w:type="dxa" w:w="251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High-low Detector </w:t>
            </w:r>
          </w:p>
        </w:tc>
        <w:tc>
          <w:tcPr>
            <w:tcW w:type="dxa" w:w="127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41 </w:t>
            </w:r>
          </w:p>
        </w:tc>
        <w:tc>
          <w:tcPr>
            <w:tcW w:type="dxa" w:w="113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47.7 </w:t>
            </w:r>
          </w:p>
        </w:tc>
        <w:tc>
          <w:tcPr>
            <w:tcW w:type="dxa" w:w="88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Device Used </w:t>
            </w:r>
          </w:p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3m Straight Edge </w:t>
            </w:r>
          </w:p>
        </w:tc>
        <w:tc>
          <w:tcPr>
            <w:tcW w:type="dxa" w:w="127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40 </w:t>
            </w:r>
          </w:p>
        </w:tc>
        <w:tc>
          <w:tcPr>
            <w:tcW w:type="dxa" w:w="11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46.5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- </w:t>
            </w:r>
          </w:p>
        </w:tc>
      </w:tr>
      <w:tr>
        <w:trPr>
          <w:trHeight w:hRule="exact" w:val="252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California Profilograph </w:t>
            </w:r>
          </w:p>
        </w:tc>
        <w:tc>
          <w:tcPr>
            <w:tcW w:type="dxa" w:w="127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11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5.8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8"/>
        </w:trPr>
        <w:tc>
          <w:tcPr>
            <w:tcW w:type="dxa" w:w="2518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Sex </w:t>
            </w:r>
          </w:p>
        </w:tc>
        <w:tc>
          <w:tcPr>
            <w:tcW w:type="dxa" w:w="255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Male </w:t>
            </w:r>
          </w:p>
        </w:tc>
        <w:tc>
          <w:tcPr>
            <w:tcW w:type="dxa" w:w="127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89 </w:t>
            </w:r>
          </w:p>
        </w:tc>
        <w:tc>
          <w:tcPr>
            <w:tcW w:type="dxa" w:w="113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83.2 </w:t>
            </w:r>
          </w:p>
        </w:tc>
        <w:tc>
          <w:tcPr>
            <w:tcW w:type="dxa" w:w="88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- </w:t>
            </w:r>
          </w:p>
        </w:tc>
      </w:tr>
      <w:tr>
        <w:trPr>
          <w:trHeight w:hRule="exact" w:val="252"/>
        </w:trPr>
        <w:tc>
          <w:tcPr>
            <w:tcW w:type="dxa" w:w="251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Female </w:t>
            </w:r>
          </w:p>
        </w:tc>
        <w:tc>
          <w:tcPr>
            <w:tcW w:type="dxa" w:w="127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18 </w:t>
            </w:r>
          </w:p>
        </w:tc>
        <w:tc>
          <w:tcPr>
            <w:tcW w:type="dxa" w:w="113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16.8 </w:t>
            </w:r>
          </w:p>
        </w:tc>
        <w:tc>
          <w:tcPr>
            <w:tcW w:type="dxa" w:w="88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≤29 </w:t>
            </w:r>
          </w:p>
        </w:tc>
        <w:tc>
          <w:tcPr>
            <w:tcW w:type="dxa" w:w="127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6 </w:t>
            </w:r>
          </w:p>
        </w:tc>
        <w:tc>
          <w:tcPr>
            <w:tcW w:type="dxa" w:w="11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5.6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Age </w:t>
            </w:r>
          </w:p>
        </w:tc>
        <w:tc>
          <w:tcPr>
            <w:tcW w:type="dxa" w:w="255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>30</w:t>
            </w:r>
            <w:r>
              <w:rPr>
                <w:rFonts w:ascii="Microsoft JhengHei Light" w:hAnsi="Microsoft JhengHei Light" w:eastAsia="Microsoft JhengHei Light"/>
                <w:b w:val="0"/>
                <w:i w:val="0"/>
                <w:color w:val="000000"/>
                <w:sz w:val="18"/>
              </w:rPr>
              <w:t>～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39 </w:t>
            </w:r>
          </w:p>
        </w:tc>
        <w:tc>
          <w:tcPr>
            <w:tcW w:type="dxa" w:w="1276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41 </w:t>
            </w:r>
          </w:p>
        </w:tc>
        <w:tc>
          <w:tcPr>
            <w:tcW w:type="dxa" w:w="113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38.3 </w:t>
            </w:r>
          </w:p>
        </w:tc>
        <w:tc>
          <w:tcPr>
            <w:tcW w:type="dxa" w:w="88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40.96 </w:t>
            </w:r>
          </w:p>
        </w:tc>
      </w:tr>
      <w:tr>
        <w:trPr>
          <w:trHeight w:hRule="exact" w:val="250"/>
        </w:trPr>
        <w:tc>
          <w:tcPr>
            <w:tcW w:type="dxa" w:w="2518"/>
            <w:tcBorders>
              <w:top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>40</w:t>
            </w:r>
            <w:r>
              <w:rPr>
                <w:rFonts w:ascii="Microsoft JhengHei Light" w:hAnsi="Microsoft JhengHei Light" w:eastAsia="Microsoft JhengHei Light"/>
                <w:b w:val="0"/>
                <w:i w:val="0"/>
                <w:color w:val="000000"/>
                <w:sz w:val="18"/>
              </w:rPr>
              <w:t>～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49 </w:t>
            </w:r>
          </w:p>
        </w:tc>
        <w:tc>
          <w:tcPr>
            <w:tcW w:type="dxa" w:w="1276"/>
            <w:tcBorders>
              <w:top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39 </w:t>
            </w:r>
          </w:p>
        </w:tc>
        <w:tc>
          <w:tcPr>
            <w:tcW w:type="dxa" w:w="1134"/>
            <w:tcBorders>
              <w:top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36.4 </w:t>
            </w:r>
          </w:p>
        </w:tc>
        <w:tc>
          <w:tcPr>
            <w:tcW w:type="dxa" w:w="884"/>
            <w:tcBorders>
              <w:top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≥50 </w:t>
            </w:r>
          </w:p>
        </w:tc>
        <w:tc>
          <w:tcPr>
            <w:tcW w:type="dxa" w:w="127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20 </w:t>
            </w:r>
          </w:p>
        </w:tc>
        <w:tc>
          <w:tcPr>
            <w:tcW w:type="dxa" w:w="11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18.7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2518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High School/Vocational </w:t>
            </w:r>
          </w:p>
        </w:tc>
        <w:tc>
          <w:tcPr>
            <w:tcW w:type="dxa" w:w="127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14 </w:t>
            </w:r>
          </w:p>
        </w:tc>
        <w:tc>
          <w:tcPr>
            <w:tcW w:type="dxa" w:w="113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13.2 </w:t>
            </w:r>
          </w:p>
        </w:tc>
        <w:tc>
          <w:tcPr>
            <w:tcW w:type="dxa" w:w="88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8"/>
        </w:trPr>
        <w:tc>
          <w:tcPr>
            <w:tcW w:type="dxa" w:w="188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255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School or Lower </w:t>
            </w:r>
          </w:p>
        </w:tc>
        <w:tc>
          <w:tcPr>
            <w:tcW w:type="dxa" w:w="188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8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83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Education Background </w:t>
            </w:r>
          </w:p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Junior College </w:t>
            </w:r>
          </w:p>
        </w:tc>
        <w:tc>
          <w:tcPr>
            <w:tcW w:type="dxa" w:w="127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35 </w:t>
            </w:r>
          </w:p>
        </w:tc>
        <w:tc>
          <w:tcPr>
            <w:tcW w:type="dxa" w:w="11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33.6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- </w:t>
            </w:r>
          </w:p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College/University </w:t>
            </w:r>
          </w:p>
        </w:tc>
        <w:tc>
          <w:tcPr>
            <w:tcW w:type="dxa" w:w="127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50 </w:t>
            </w:r>
          </w:p>
        </w:tc>
        <w:tc>
          <w:tcPr>
            <w:tcW w:type="dxa" w:w="11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47.5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Graduate School or Higher </w:t>
            </w:r>
          </w:p>
        </w:tc>
        <w:tc>
          <w:tcPr>
            <w:tcW w:type="dxa" w:w="1276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6 </w:t>
            </w:r>
          </w:p>
        </w:tc>
        <w:tc>
          <w:tcPr>
            <w:tcW w:type="dxa" w:w="113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5.7 </w:t>
            </w:r>
          </w:p>
        </w:tc>
        <w:tc>
          <w:tcPr>
            <w:tcW w:type="dxa" w:w="88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2"/>
        </w:trPr>
        <w:tc>
          <w:tcPr>
            <w:tcW w:type="dxa" w:w="2518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Civil Engineering/Construction </w:t>
            </w:r>
          </w:p>
        </w:tc>
        <w:tc>
          <w:tcPr>
            <w:tcW w:type="dxa" w:w="127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84 </w:t>
            </w:r>
          </w:p>
        </w:tc>
        <w:tc>
          <w:tcPr>
            <w:tcW w:type="dxa" w:w="1134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80.0 </w:t>
            </w:r>
          </w:p>
        </w:tc>
        <w:tc>
          <w:tcPr>
            <w:tcW w:type="dxa" w:w="884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pgSz w:w="11906" w:h="16838"/>
          <w:pgMar w:top="1100" w:right="1050" w:bottom="596" w:left="1440" w:header="720" w:footer="720" w:gutter="0"/>
          <w:cols w:space="720" w:num="1" w:equalWidth="0"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8" w:after="0"/>
        <w:ind w:left="2780" w:right="288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Architecture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Environmental Engineering </w:t>
      </w:r>
    </w:p>
    <w:p>
      <w:pPr>
        <w:sectPr>
          <w:type w:val="continuous"/>
          <w:pgSz w:w="11906" w:h="16838"/>
          <w:pgMar w:top="1100" w:right="1050" w:bottom="596" w:left="1440" w:header="720" w:footer="720" w:gutter="0"/>
          <w:cols w:space="720" w:num="2" w:equalWidth="0"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08"/>
        <w:gridCol w:w="4708"/>
      </w:tblGrid>
      <w:tr>
        <w:trPr>
          <w:trHeight w:hRule="exact" w:val="250"/>
        </w:trPr>
        <w:tc>
          <w:tcPr>
            <w:tcW w:type="dxa" w:w="12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90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11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02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4.8 </w:t>
            </w:r>
          </w:p>
        </w:tc>
      </w:tr>
      <w:tr>
        <w:trPr>
          <w:trHeight w:hRule="exact" w:val="222"/>
        </w:trPr>
        <w:tc>
          <w:tcPr>
            <w:tcW w:type="dxa" w:w="121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90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118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02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2.8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nextColumn"/>
          <w:pgSz w:w="11906" w:h="16838"/>
          <w:pgMar w:top="1100" w:right="1050" w:bottom="596" w:left="1440" w:header="720" w:footer="720" w:gutter="0"/>
          <w:cols w:space="720" w:num="2" w:equalWidth="0"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883"/>
        <w:gridCol w:w="1883"/>
        <w:gridCol w:w="1883"/>
        <w:gridCol w:w="1883"/>
        <w:gridCol w:w="1883"/>
      </w:tblGrid>
      <w:tr>
        <w:trPr>
          <w:trHeight w:hRule="exact" w:val="250"/>
        </w:trPr>
        <w:tc>
          <w:tcPr>
            <w:tcW w:type="dxa" w:w="26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2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Major Subject </w:t>
            </w:r>
          </w:p>
        </w:tc>
        <w:tc>
          <w:tcPr>
            <w:tcW w:type="dxa" w:w="256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Mechanics </w:t>
            </w:r>
          </w:p>
        </w:tc>
        <w:tc>
          <w:tcPr>
            <w:tcW w:type="dxa" w:w="121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90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118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02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2.8 </w:t>
            </w:r>
          </w:p>
        </w:tc>
        <w:tc>
          <w:tcPr>
            <w:tcW w:type="dxa" w:w="111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58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- </w:t>
            </w:r>
          </w:p>
        </w:tc>
      </w:tr>
      <w:tr>
        <w:trPr>
          <w:trHeight w:hRule="exact" w:val="224"/>
        </w:trPr>
        <w:tc>
          <w:tcPr>
            <w:tcW w:type="dxa" w:w="260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6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Electrical Engineering </w:t>
            </w:r>
          </w:p>
        </w:tc>
        <w:tc>
          <w:tcPr>
            <w:tcW w:type="dxa" w:w="121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90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118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02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4.8 </w:t>
            </w:r>
          </w:p>
        </w:tc>
        <w:tc>
          <w:tcPr>
            <w:tcW w:type="dxa" w:w="111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1906" w:h="16838"/>
          <w:pgMar w:top="1100" w:right="1050" w:bottom="596" w:left="1440" w:header="720" w:footer="720" w:gutter="0"/>
          <w:cols w:space="720" w:num="1" w:equalWidth="0"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8" w:after="0"/>
        <w:ind w:left="2780" w:right="144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Fire Control and Prevention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General Subject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Business </w:t>
      </w:r>
    </w:p>
    <w:p>
      <w:pPr>
        <w:sectPr>
          <w:type w:val="continuous"/>
          <w:pgSz w:w="11906" w:h="16838"/>
          <w:pgMar w:top="1100" w:right="1050" w:bottom="596" w:left="1440" w:header="720" w:footer="720" w:gutter="0"/>
          <w:cols w:space="720" w:num="2" w:equalWidth="0">
            <w:col w:w="5282" w:space="0"/>
            <w:col w:w="4133" w:space="0"/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08"/>
        <w:gridCol w:w="4708"/>
      </w:tblGrid>
      <w:tr>
        <w:trPr>
          <w:trHeight w:hRule="exact" w:val="250"/>
        </w:trPr>
        <w:tc>
          <w:tcPr>
            <w:tcW w:type="dxa" w:w="12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90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11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2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1.0 </w:t>
            </w:r>
          </w:p>
        </w:tc>
      </w:tr>
      <w:tr>
        <w:trPr>
          <w:trHeight w:hRule="exact" w:val="250"/>
        </w:trPr>
        <w:tc>
          <w:tcPr>
            <w:tcW w:type="dxa" w:w="121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90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1186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02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2.8 </w:t>
            </w:r>
          </w:p>
        </w:tc>
      </w:tr>
      <w:tr>
        <w:trPr>
          <w:trHeight w:hRule="exact" w:val="222"/>
        </w:trPr>
        <w:tc>
          <w:tcPr>
            <w:tcW w:type="dxa" w:w="1214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90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118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02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1.0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nextColumn"/>
          <w:pgSz w:w="11906" w:h="16838"/>
          <w:pgMar w:top="1100" w:right="1050" w:bottom="596" w:left="1440" w:header="720" w:footer="720" w:gutter="0"/>
          <w:cols w:space="720" w:num="2" w:equalWidth="0">
            <w:col w:w="5282" w:space="0"/>
            <w:col w:w="4133" w:space="0"/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356" w:after="0"/>
        <w:ind w:left="0" w:right="20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2187 </w:t>
      </w:r>
    </w:p>
    <w:p>
      <w:pPr>
        <w:sectPr>
          <w:type w:val="continuous"/>
          <w:pgSz w:w="11906" w:h="16838"/>
          <w:pgMar w:top="1100" w:right="1050" w:bottom="596" w:left="1440" w:header="720" w:footer="720" w:gutter="0"/>
          <w:cols w:space="720" w:num="1" w:equalWidth="0">
            <w:col w:w="9416" w:space="0"/>
            <w:col w:w="5282" w:space="0"/>
            <w:col w:w="4133" w:space="0"/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56" w:right="0" w:firstLine="0"/>
        <w:jc w:val="lef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>L. S. Huang &amp; C. F. Huang</w:t>
      </w:r>
    </w:p>
    <w:p>
      <w:pPr>
        <w:autoSpaceDN w:val="0"/>
        <w:autoSpaceDE w:val="0"/>
        <w:widowControl/>
        <w:spacing w:line="240" w:lineRule="auto" w:before="390" w:after="0"/>
        <w:ind w:left="0" w:right="3296" w:firstLine="0"/>
        <w:jc w:val="righ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Years of Working Experiences </w:t>
      </w:r>
    </w:p>
    <w:p>
      <w:pPr>
        <w:autoSpaceDN w:val="0"/>
        <w:autoSpaceDE w:val="0"/>
        <w:widowControl/>
        <w:spacing w:line="257" w:lineRule="auto" w:before="188" w:after="0"/>
        <w:ind w:left="56" w:right="208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As indicated by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2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, the respondents had an average of 11.16 years of working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experiences (with a standard deviation of 8.06) in the civil engineering industry and an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average of 6.98 years (with a standard deviation of 7.33) in road engineering. </w:t>
      </w:r>
    </w:p>
    <w:p>
      <w:pPr>
        <w:autoSpaceDN w:val="0"/>
        <w:autoSpaceDE w:val="0"/>
        <w:widowControl/>
        <w:spacing w:line="240" w:lineRule="auto" w:before="184" w:after="0"/>
        <w:ind w:left="2282" w:right="0" w:firstLine="0"/>
        <w:jc w:val="lef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Frequency of Using the Devices in Road Paving </w:t>
      </w:r>
    </w:p>
    <w:p>
      <w:pPr>
        <w:autoSpaceDN w:val="0"/>
        <w:autoSpaceDE w:val="0"/>
        <w:widowControl/>
        <w:spacing w:line="262" w:lineRule="auto" w:before="188" w:after="0"/>
        <w:ind w:left="56" w:right="210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 total of 39 (43.3%) of the respondents indicated they had used the devices in over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50% of their road paving work, accounting for the largest group of the respondents. None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respondents indicated they had never used the devices. This is probably because of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mandatory use of travelling beam devices in acceptance review of road engineering projects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stipulated by governing regulations. In other words, regardless of the respondents’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willingness to use travelling beam devices, the devices must be used by the respondents or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their colleagues in road construction projects. </w:t>
      </w:r>
    </w:p>
    <w:p>
      <w:pPr>
        <w:autoSpaceDN w:val="0"/>
        <w:autoSpaceDE w:val="0"/>
        <w:widowControl/>
        <w:spacing w:line="240" w:lineRule="auto" w:before="184" w:after="64"/>
        <w:ind w:left="56" w:right="0" w:firstLine="0"/>
        <w:jc w:val="left"/>
      </w:pPr>
      <w:r>
        <w:rPr>
          <w:rFonts w:ascii="Segoe UI" w:hAnsi="Segoe UI" w:eastAsia="Segoe UI"/>
          <w:b/>
          <w:i w:val="0"/>
          <w:color w:val="000099"/>
          <w:sz w:val="20"/>
        </w:rPr>
        <w:t>Table 2.</w:t>
      </w:r>
      <w:r>
        <w:rPr>
          <w:rFonts w:ascii="Segoe UI" w:hAnsi="Segoe UI" w:eastAsia="Segoe UI"/>
          <w:b w:val="0"/>
          <w:i w:val="0"/>
          <w:color w:val="000000"/>
          <w:sz w:val="20"/>
        </w:rPr>
        <w:t>Distribution of Samples in Variables of Personal Information (</w:t>
      </w:r>
      <w:r>
        <w:rPr>
          <w:rFonts w:ascii="Segoe UI" w:hAnsi="Segoe UI" w:eastAsia="Segoe UI"/>
          <w:b w:val="0"/>
          <w:i/>
          <w:color w:val="000000"/>
          <w:sz w:val="20"/>
        </w:rPr>
        <w:t xml:space="preserve">continued)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78"/>
        <w:gridCol w:w="1878"/>
        <w:gridCol w:w="1878"/>
        <w:gridCol w:w="1878"/>
        <w:gridCol w:w="1878"/>
      </w:tblGrid>
      <w:tr>
        <w:trPr>
          <w:trHeight w:hRule="exact" w:val="28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Basic-level Staff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75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71.4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Rank of Position </w:t>
            </w:r>
          </w:p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Basic-level Management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25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23.8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- </w:t>
            </w:r>
          </w:p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Mid-level Management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4.8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High-level Management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 years≥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22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38.6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8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Years of Experience in Civil </w:t>
            </w:r>
          </w:p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>6</w:t>
            </w:r>
            <w:r>
              <w:rPr>
                <w:rFonts w:ascii="Microsoft JhengHei Light" w:hAnsi="Microsoft JhengHei Light" w:eastAsia="Microsoft JhengHei Light"/>
                <w:b w:val="0"/>
                <w:i w:val="0"/>
                <w:color w:val="000000"/>
                <w:sz w:val="18"/>
              </w:rPr>
              <w:t>～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10 years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14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24.6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11.16 </w:t>
            </w:r>
          </w:p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Engineering </w:t>
            </w:r>
          </w:p>
        </w:tc>
        <w:tc>
          <w:tcPr>
            <w:tcW w:type="dxa" w:w="255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>11</w:t>
            </w:r>
            <w:r>
              <w:rPr>
                <w:rFonts w:ascii="Microsoft JhengHei Light" w:hAnsi="Microsoft JhengHei Light" w:eastAsia="Microsoft JhengHei Light"/>
                <w:b w:val="0"/>
                <w:i w:val="0"/>
                <w:color w:val="000000"/>
                <w:sz w:val="18"/>
              </w:rPr>
              <w:t>～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15 years </w:t>
            </w:r>
          </w:p>
        </w:tc>
        <w:tc>
          <w:tcPr>
            <w:tcW w:type="dxa" w:w="127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113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7.0 </w:t>
            </w:r>
          </w:p>
        </w:tc>
        <w:tc>
          <w:tcPr>
            <w:tcW w:type="dxa" w:w="88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8"/>
        </w:trPr>
        <w:tc>
          <w:tcPr>
            <w:tcW w:type="dxa" w:w="251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≥16 years </w:t>
            </w:r>
          </w:p>
        </w:tc>
        <w:tc>
          <w:tcPr>
            <w:tcW w:type="dxa" w:w="127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17 </w:t>
            </w:r>
          </w:p>
        </w:tc>
        <w:tc>
          <w:tcPr>
            <w:tcW w:type="dxa" w:w="113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29.8 </w:t>
            </w:r>
          </w:p>
        </w:tc>
        <w:tc>
          <w:tcPr>
            <w:tcW w:type="dxa" w:w="88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auto" w:before="16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>2 years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8"/>
              </w:rPr>
              <w:t>≥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22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38.6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Years of Experience in Road </w:t>
            </w:r>
          </w:p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3~6 years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14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24.6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6.98 </w:t>
            </w:r>
          </w:p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Engineering </w:t>
            </w:r>
          </w:p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7~9 years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7.0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8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≥10 years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17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29.8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518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Construction Company </w:t>
            </w:r>
          </w:p>
        </w:tc>
        <w:tc>
          <w:tcPr>
            <w:tcW w:type="dxa" w:w="127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61 </w:t>
            </w:r>
          </w:p>
        </w:tc>
        <w:tc>
          <w:tcPr>
            <w:tcW w:type="dxa" w:w="1136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58.6 </w:t>
            </w:r>
          </w:p>
        </w:tc>
        <w:tc>
          <w:tcPr>
            <w:tcW w:type="dxa" w:w="884"/>
            <w:tcBorders>
              <w:top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2518"/>
            <w:tcBorders>
              <w:top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Type of Employer </w:t>
            </w:r>
          </w:p>
        </w:tc>
        <w:tc>
          <w:tcPr>
            <w:tcW w:type="dxa" w:w="2554"/>
            <w:tcBorders>
              <w:top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Design/Consulting Company </w:t>
            </w:r>
          </w:p>
        </w:tc>
        <w:tc>
          <w:tcPr>
            <w:tcW w:type="dxa" w:w="1274"/>
            <w:tcBorders>
              <w:top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1136"/>
            <w:tcBorders>
              <w:top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4.8 </w:t>
            </w:r>
          </w:p>
        </w:tc>
        <w:tc>
          <w:tcPr>
            <w:tcW w:type="dxa" w:w="884"/>
            <w:tcBorders>
              <w:top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- </w:t>
            </w:r>
          </w:p>
        </w:tc>
      </w:tr>
      <w:tr>
        <w:trPr>
          <w:trHeight w:hRule="exact" w:val="250"/>
        </w:trPr>
        <w:tc>
          <w:tcPr>
            <w:tcW w:type="dxa" w:w="2518"/>
            <w:tcBorders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Governmental Organization </w:t>
            </w:r>
          </w:p>
        </w:tc>
        <w:tc>
          <w:tcPr>
            <w:tcW w:type="dxa" w:w="1274"/>
            <w:tcBorders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39 </w:t>
            </w:r>
          </w:p>
        </w:tc>
        <w:tc>
          <w:tcPr>
            <w:tcW w:type="dxa" w:w="1136"/>
            <w:tcBorders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33.7 </w:t>
            </w:r>
          </w:p>
        </w:tc>
        <w:tc>
          <w:tcPr>
            <w:tcW w:type="dxa" w:w="884"/>
            <w:tcBorders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8"/>
        </w:trPr>
        <w:tc>
          <w:tcPr>
            <w:tcW w:type="dxa" w:w="251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Other Private Company </w:t>
            </w:r>
          </w:p>
        </w:tc>
        <w:tc>
          <w:tcPr>
            <w:tcW w:type="dxa" w:w="127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113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2.9 </w:t>
            </w:r>
          </w:p>
        </w:tc>
        <w:tc>
          <w:tcPr>
            <w:tcW w:type="dxa" w:w="88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9≥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9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13.4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Number of Employer’s Staff </w:t>
            </w:r>
          </w:p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10 to 19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33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49.3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16.62 </w:t>
            </w:r>
          </w:p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20 to 29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13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19.4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≥30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12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17.9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27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10 </w:t>
            </w:r>
          </w:p>
        </w:tc>
        <w:tc>
          <w:tcPr>
            <w:tcW w:type="dxa" w:w="113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11.2 </w:t>
            </w:r>
          </w:p>
        </w:tc>
        <w:tc>
          <w:tcPr>
            <w:tcW w:type="dxa" w:w="884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8"/>
        </w:trPr>
        <w:tc>
          <w:tcPr>
            <w:tcW w:type="dxa" w:w="251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≥50% </w:t>
            </w:r>
          </w:p>
        </w:tc>
        <w:tc>
          <w:tcPr>
            <w:tcW w:type="dxa" w:w="127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39 </w:t>
            </w:r>
          </w:p>
        </w:tc>
        <w:tc>
          <w:tcPr>
            <w:tcW w:type="dxa" w:w="113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43.3 </w:t>
            </w:r>
          </w:p>
        </w:tc>
        <w:tc>
          <w:tcPr>
            <w:tcW w:type="dxa" w:w="884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4"/>
        </w:trPr>
        <w:tc>
          <w:tcPr>
            <w:tcW w:type="dxa" w:w="251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Frequency of Using the </w:t>
            </w:r>
          </w:p>
        </w:tc>
        <w:tc>
          <w:tcPr>
            <w:tcW w:type="dxa" w:w="255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&lt;50% </w:t>
            </w:r>
          </w:p>
        </w:tc>
        <w:tc>
          <w:tcPr>
            <w:tcW w:type="dxa" w:w="127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20 </w:t>
            </w:r>
          </w:p>
        </w:tc>
        <w:tc>
          <w:tcPr>
            <w:tcW w:type="dxa" w:w="113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22.2 </w:t>
            </w:r>
          </w:p>
        </w:tc>
        <w:tc>
          <w:tcPr>
            <w:tcW w:type="dxa" w:w="88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- </w:t>
            </w:r>
          </w:p>
        </w:tc>
      </w:tr>
      <w:tr>
        <w:trPr>
          <w:trHeight w:hRule="exact" w:val="126"/>
        </w:trPr>
        <w:tc>
          <w:tcPr>
            <w:tcW w:type="dxa" w:w="251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Devices in Road Paving </w:t>
            </w:r>
          </w:p>
        </w:tc>
        <w:tc>
          <w:tcPr>
            <w:tcW w:type="dxa" w:w="187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7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78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78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50"/>
        </w:trPr>
        <w:tc>
          <w:tcPr>
            <w:tcW w:type="dxa" w:w="251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Just once or twice </w:t>
            </w:r>
          </w:p>
        </w:tc>
        <w:tc>
          <w:tcPr>
            <w:tcW w:type="dxa" w:w="12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21 </w:t>
            </w:r>
          </w:p>
        </w:tc>
        <w:tc>
          <w:tcPr>
            <w:tcW w:type="dxa" w:w="113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23.3 </w:t>
            </w:r>
          </w:p>
        </w:tc>
        <w:tc>
          <w:tcPr>
            <w:tcW w:type="dxa" w:w="88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4"/>
        </w:trPr>
        <w:tc>
          <w:tcPr>
            <w:tcW w:type="dxa" w:w="251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0% </w:t>
            </w:r>
          </w:p>
        </w:tc>
        <w:tc>
          <w:tcPr>
            <w:tcW w:type="dxa" w:w="127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113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0.0 </w:t>
            </w:r>
          </w:p>
        </w:tc>
        <w:tc>
          <w:tcPr>
            <w:tcW w:type="dxa" w:w="88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56" w:right="144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18"/>
        </w:rPr>
        <w:t>Note: A respondent was inclu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ded in the subject frequency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distribution in </w:t>
      </w:r>
      <w:r>
        <w:rPr>
          <w:rFonts w:ascii="Segoe UI" w:hAnsi="Segoe UI" w:eastAsia="Segoe UI"/>
          <w:b w:val="0"/>
          <w:i w:val="0"/>
          <w:color w:val="000000"/>
          <w:sz w:val="18"/>
        </w:rPr>
        <w:t>a variable onl</w:t>
      </w:r>
      <w:r>
        <w:rPr>
          <w:rFonts w:ascii="Segoe UI" w:hAnsi="Segoe UI" w:eastAsia="Segoe UI"/>
          <w:b w:val="0"/>
          <w:i w:val="0"/>
          <w:color w:val="000000"/>
          <w:sz w:val="18"/>
        </w:rPr>
        <w:t>y if the re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spondent </w:t>
      </w: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answered the question regarding that variable. </w:t>
      </w:r>
    </w:p>
    <w:p>
      <w:pPr>
        <w:autoSpaceDN w:val="0"/>
        <w:autoSpaceDE w:val="0"/>
        <w:widowControl/>
        <w:spacing w:line="240" w:lineRule="auto" w:before="1206" w:after="0"/>
        <w:ind w:left="56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2188 </w:t>
      </w:r>
    </w:p>
    <w:p>
      <w:pPr>
        <w:sectPr>
          <w:pgSz w:w="11906" w:h="16838"/>
          <w:pgMar w:top="1100" w:right="1440" w:bottom="596" w:left="1076" w:header="720" w:footer="720" w:gutter="0"/>
          <w:cols w:space="720" w:num="1" w:equalWidth="0">
            <w:col w:w="9389" w:space="0"/>
            <w:col w:w="9416" w:space="0"/>
            <w:col w:w="5282" w:space="0"/>
            <w:col w:w="4133" w:space="0"/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EURASIA J Math Sci and Tech Ed </w:t>
      </w:r>
    </w:p>
    <w:p>
      <w:pPr>
        <w:autoSpaceDN w:val="0"/>
        <w:autoSpaceDE w:val="0"/>
        <w:widowControl/>
        <w:spacing w:line="240" w:lineRule="auto" w:before="394" w:after="0"/>
        <w:ind w:left="0" w:right="3422" w:firstLine="0"/>
        <w:jc w:val="right"/>
      </w:pPr>
      <w:r>
        <w:rPr>
          <w:rFonts w:ascii="Book Antiqua" w:hAnsi="Book Antiqua" w:eastAsia="Book Antiqua"/>
          <w:b/>
          <w:i w:val="0"/>
          <w:color w:val="000000"/>
          <w:sz w:val="24"/>
        </w:rPr>
        <w:t xml:space="preserve">Correlation Analysis </w:t>
      </w:r>
    </w:p>
    <w:p>
      <w:pPr>
        <w:autoSpaceDN w:val="0"/>
        <w:autoSpaceDE w:val="0"/>
        <w:widowControl/>
        <w:spacing w:line="262" w:lineRule="auto" w:before="186" w:after="0"/>
        <w:ind w:left="262" w:right="26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Correlation analysis discusses the strength and directionality of the correlation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between two variables, using a correlation coefficient to describe the strength of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correlation between them. Pearson correlation analysis was applied to explore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correlations among the dimensions of the theoretical model of this research. The points of all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questions of each dimension were added up and averaged. The average point of each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dimension was then used in the Pearson correlation analysis. As indicated by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3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that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lists the analysis results: </w:t>
      </w:r>
    </w:p>
    <w:p>
      <w:pPr>
        <w:autoSpaceDN w:val="0"/>
        <w:autoSpaceDE w:val="0"/>
        <w:widowControl/>
        <w:spacing w:line="264" w:lineRule="auto" w:before="188" w:after="0"/>
        <w:ind w:left="902" w:right="0" w:hanging="356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1. Correlations between experiences of using the devices and the other dimensions are as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indicated 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3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. There is a moderate correlation between the respondents’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>experiences of using the devices and respectively their training and support (r=0.579</w:t>
      </w:r>
      <w:r>
        <w:rPr>
          <w:rFonts w:ascii="MS Gothic" w:hAnsi="MS Gothic" w:eastAsia="MS Gothic"/>
          <w:b w:val="0"/>
          <w:i w:val="0"/>
          <w:color w:val="000000"/>
          <w:sz w:val="22"/>
        </w:rPr>
        <w:t>，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p&lt;0.01), perceived usefulness of the devices (r=0.541, p&lt;0.01), perceived ease of use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of the devices (r=0.570, p&lt;0.01), attitudes toward using the devices (r=0.658, p&lt;0.01)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and willingness to use the devices (r=0.541, p&lt;0.01). These findings indicated that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respondents, based on their experiences, found the devices useful and easy to use,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because the devices provide an instinctive perception of the pavement smoothness by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presenting the measurement results in numbers or in curve lines. In addition, all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devices nowadays are capable of automatically recording the measurement results,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which makes them more reliable and user-friendly. Because of higher perceived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usefulness and ease of use of the devices, the respondents had better attitudes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higher willingness to use the devices. </w:t>
      </w:r>
    </w:p>
    <w:p>
      <w:pPr>
        <w:autoSpaceDN w:val="0"/>
        <w:autoSpaceDE w:val="0"/>
        <w:widowControl/>
        <w:spacing w:line="264" w:lineRule="auto" w:before="188" w:after="0"/>
        <w:ind w:left="902" w:right="26" w:hanging="35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2. For the correlations between training/support regarding the use of the devices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perceived usefulness of the devices as indicated 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3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, there is a moderate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correlation between the respondents’ training and the support they received regarding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use of the devices and respectively their perceived usefulness of the devices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(r=0.689, p&lt;0.01), perceived ease of use (r=0.652, p&lt;0.01), and attitudes (r=0.611,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p&lt;0.01). In addition, there is a high correlation between the training/support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respondents have received and their willingness to use the devices (r=0.735, p&lt;0.01).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These findings indicate when the respondents had higher points in the dimension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training and support, they would have higher points in the other above-mentioned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dimensions, particularly more significantly so in the dimension of willingness to use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devices. According to Agarwal and Prasad (1999), one’s attitudes toward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perceived usefulness of a technology have a direct influence on actual behaviors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use. By training and support, the respondents had more exposure to the devices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gradually found the devices to be useful and easy to use through practice, and then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tended to have better attitudes and willingness. </w:t>
      </w:r>
    </w:p>
    <w:p>
      <w:pPr>
        <w:autoSpaceDN w:val="0"/>
        <w:autoSpaceDE w:val="0"/>
        <w:widowControl/>
        <w:spacing w:line="254" w:lineRule="auto" w:before="190" w:after="0"/>
        <w:ind w:left="902" w:right="28" w:hanging="35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3. Regarding the correlations between perceived ease of use of the devices and the other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>dimensions (r=0.611, p&lt;0.01). (r=0.654</w:t>
      </w:r>
      <w:r>
        <w:rPr>
          <w:rFonts w:ascii="MS Gothic" w:hAnsi="MS Gothic" w:eastAsia="MS Gothic"/>
          <w:b w:val="0"/>
          <w:i w:val="0"/>
          <w:color w:val="000000"/>
          <w:sz w:val="22"/>
        </w:rPr>
        <w:t>，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p&lt;0.01), Szajna (1996) also found one’s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perceived ease of use of a technology can affect his willingness to use it. As shown in </w:t>
      </w:r>
    </w:p>
    <w:p>
      <w:pPr>
        <w:autoSpaceDN w:val="0"/>
        <w:autoSpaceDE w:val="0"/>
        <w:widowControl/>
        <w:spacing w:line="240" w:lineRule="auto" w:before="358" w:after="0"/>
        <w:ind w:left="0" w:right="20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2189 </w:t>
      </w:r>
    </w:p>
    <w:p>
      <w:pPr>
        <w:sectPr>
          <w:pgSz w:w="11906" w:h="16838"/>
          <w:pgMar w:top="1100" w:right="1050" w:bottom="596" w:left="1440" w:header="720" w:footer="720" w:gutter="0"/>
          <w:cols w:space="720" w:num="1" w:equalWidth="0">
            <w:col w:w="9416" w:space="0"/>
            <w:col w:w="9389" w:space="0"/>
            <w:col w:w="9416" w:space="0"/>
            <w:col w:w="5282" w:space="0"/>
            <w:col w:w="4133" w:space="0"/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>L. S. Huang &amp; C. F. Huang</w:t>
      </w:r>
    </w:p>
    <w:p>
      <w:pPr>
        <w:autoSpaceDN w:val="0"/>
        <w:autoSpaceDE w:val="0"/>
        <w:widowControl/>
        <w:spacing w:line="254" w:lineRule="auto" w:before="398" w:after="0"/>
        <w:ind w:left="714" w:right="144" w:firstLine="0"/>
        <w:jc w:val="left"/>
      </w:pPr>
      <w:r>
        <w:rPr>
          <w:rFonts w:ascii="Book Antiqua" w:hAnsi="Book Antiqua" w:eastAsia="Book Antiqua"/>
          <w:b/>
          <w:i w:val="0"/>
          <w:color w:val="000099"/>
          <w:sz w:val="22"/>
        </w:rPr>
        <w:t>Table 3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, there is a moderate correlation between the respondents’ training/support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and respectively their attitudes (r=0.654, p&lt;0.01) and willingness (r=0.602, p&lt;0.01). </w:t>
      </w:r>
    </w:p>
    <w:p>
      <w:pPr>
        <w:autoSpaceDN w:val="0"/>
        <w:autoSpaceDE w:val="0"/>
        <w:widowControl/>
        <w:spacing w:line="262" w:lineRule="auto" w:before="188" w:after="0"/>
        <w:ind w:left="714" w:right="210" w:hanging="35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4. As for correlation between the respondents’ attitude and willingness to use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devices according to the analysis results, there is a moderate positive correlation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between the respondents’ attitudes and their willingness to use the devices (r=0.669,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p&lt;0.01). In other words, when the respondents had higher points in the dimension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perceived ease of use, they would probably have higher points in the dimension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willingness to use the devices. </w:t>
      </w:r>
    </w:p>
    <w:p>
      <w:pPr>
        <w:autoSpaceDN w:val="0"/>
        <w:autoSpaceDE w:val="0"/>
        <w:widowControl/>
        <w:spacing w:line="240" w:lineRule="auto" w:before="182" w:after="62"/>
        <w:ind w:left="72" w:right="0" w:firstLine="0"/>
        <w:jc w:val="left"/>
      </w:pPr>
      <w:r>
        <w:rPr>
          <w:rFonts w:ascii="Segoe UI" w:hAnsi="Segoe UI" w:eastAsia="Segoe UI"/>
          <w:b/>
          <w:i w:val="0"/>
          <w:color w:val="000099"/>
          <w:sz w:val="20"/>
        </w:rPr>
        <w:t>Table 3.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Pearson Correlation Analysis Results of the Dimensions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344"/>
        <w:gridCol w:w="1344"/>
        <w:gridCol w:w="1344"/>
        <w:gridCol w:w="1344"/>
        <w:gridCol w:w="1344"/>
        <w:gridCol w:w="1344"/>
        <w:gridCol w:w="1344"/>
      </w:tblGrid>
      <w:tr>
        <w:trPr>
          <w:trHeight w:hRule="exact" w:val="250"/>
        </w:trPr>
        <w:tc>
          <w:tcPr>
            <w:tcW w:type="dxa" w:w="3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Pearson Correlation </w:t>
            </w:r>
          </w:p>
        </w:tc>
        <w:tc>
          <w:tcPr>
            <w:tcW w:type="dxa" w:w="9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85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2 </w:t>
            </w:r>
          </w:p>
        </w:tc>
        <w:tc>
          <w:tcPr>
            <w:tcW w:type="dxa" w:w="9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99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8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55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6 </w:t>
            </w:r>
          </w:p>
        </w:tc>
      </w:tr>
      <w:tr>
        <w:trPr>
          <w:trHeight w:hRule="exact" w:val="250"/>
        </w:trPr>
        <w:tc>
          <w:tcPr>
            <w:tcW w:type="dxa" w:w="3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1.Experience of Using the Devices </w:t>
            </w:r>
          </w:p>
        </w:tc>
        <w:tc>
          <w:tcPr>
            <w:tcW w:type="dxa" w:w="9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85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3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2. Training and Support </w:t>
            </w:r>
          </w:p>
        </w:tc>
        <w:tc>
          <w:tcPr>
            <w:tcW w:type="dxa" w:w="9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.579** </w:t>
            </w:r>
          </w:p>
        </w:tc>
        <w:tc>
          <w:tcPr>
            <w:tcW w:type="dxa" w:w="85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9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3086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3.Perceived Ease of Use </w:t>
            </w:r>
          </w:p>
        </w:tc>
        <w:tc>
          <w:tcPr>
            <w:tcW w:type="dxa" w:w="99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.541** </w:t>
            </w:r>
          </w:p>
        </w:tc>
        <w:tc>
          <w:tcPr>
            <w:tcW w:type="dxa" w:w="85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.689** </w:t>
            </w:r>
          </w:p>
        </w:tc>
        <w:tc>
          <w:tcPr>
            <w:tcW w:type="dxa" w:w="99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99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3086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4.Perceived Usefulness </w:t>
            </w:r>
          </w:p>
        </w:tc>
        <w:tc>
          <w:tcPr>
            <w:tcW w:type="dxa" w:w="992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.570** </w:t>
            </w:r>
          </w:p>
        </w:tc>
        <w:tc>
          <w:tcPr>
            <w:tcW w:type="dxa" w:w="852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.652** </w:t>
            </w:r>
          </w:p>
        </w:tc>
        <w:tc>
          <w:tcPr>
            <w:tcW w:type="dxa" w:w="992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.654** </w:t>
            </w:r>
          </w:p>
        </w:tc>
        <w:tc>
          <w:tcPr>
            <w:tcW w:type="dxa" w:w="990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892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6"/>
            <w:tcBorders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3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5.Attitudes </w:t>
            </w:r>
          </w:p>
        </w:tc>
        <w:tc>
          <w:tcPr>
            <w:tcW w:type="dxa" w:w="9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.658** </w:t>
            </w:r>
          </w:p>
        </w:tc>
        <w:tc>
          <w:tcPr>
            <w:tcW w:type="dxa" w:w="85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.611** </w:t>
            </w:r>
          </w:p>
        </w:tc>
        <w:tc>
          <w:tcPr>
            <w:tcW w:type="dxa" w:w="9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.710** </w:t>
            </w:r>
          </w:p>
        </w:tc>
        <w:tc>
          <w:tcPr>
            <w:tcW w:type="dxa" w:w="99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.668** </w:t>
            </w:r>
          </w:p>
        </w:tc>
        <w:tc>
          <w:tcPr>
            <w:tcW w:type="dxa" w:w="8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55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30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6.Willingness </w:t>
            </w:r>
          </w:p>
        </w:tc>
        <w:tc>
          <w:tcPr>
            <w:tcW w:type="dxa" w:w="9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.640** </w:t>
            </w:r>
          </w:p>
        </w:tc>
        <w:tc>
          <w:tcPr>
            <w:tcW w:type="dxa" w:w="85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.735** </w:t>
            </w:r>
          </w:p>
        </w:tc>
        <w:tc>
          <w:tcPr>
            <w:tcW w:type="dxa" w:w="9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.751** </w:t>
            </w:r>
          </w:p>
        </w:tc>
        <w:tc>
          <w:tcPr>
            <w:tcW w:type="dxa" w:w="99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.602** </w:t>
            </w:r>
          </w:p>
        </w:tc>
        <w:tc>
          <w:tcPr>
            <w:tcW w:type="dxa" w:w="89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.669** </w:t>
            </w:r>
          </w:p>
        </w:tc>
        <w:tc>
          <w:tcPr>
            <w:tcW w:type="dxa" w:w="55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64" w:lineRule="auto" w:before="452" w:after="0"/>
        <w:ind w:left="72" w:right="204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Based on the Pearson correlation analysis results, training/support among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respondents has a high correlation between willingness and use the devices. This means that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respondents’ training is the most important factor affecting the validity of paving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smoothness equipment operation. However, it can be found that the remaining variables of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dimensions in the model of this study are moderately and positively correlated with each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other. Respondents completed intensive training. The respondents’ perceived ease of use is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highly positively correlated respectively with their attitudes toward the devices and their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willingness to use the devices. </w:t>
      </w:r>
    </w:p>
    <w:p>
      <w:pPr>
        <w:autoSpaceDN w:val="0"/>
        <w:autoSpaceDE w:val="0"/>
        <w:widowControl/>
        <w:spacing w:line="262" w:lineRule="auto" w:before="190" w:after="0"/>
        <w:ind w:left="72" w:right="204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Currently in the road construction projects in Taiwan, pavement smoothness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measurement is used as one of the importance references to ensure good quality. Therefore,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to ensure correct use of travelling beam devices, more effort can be invested in the training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and support of how to use the devices and also in activities that can promote the perceived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ease of use of the devices. </w:t>
      </w:r>
    </w:p>
    <w:p>
      <w:pPr>
        <w:autoSpaceDN w:val="0"/>
        <w:autoSpaceDE w:val="0"/>
        <w:widowControl/>
        <w:spacing w:line="240" w:lineRule="auto" w:before="186" w:after="0"/>
        <w:ind w:left="0" w:right="3090" w:firstLine="0"/>
        <w:jc w:val="right"/>
      </w:pPr>
      <w:r>
        <w:rPr>
          <w:rFonts w:ascii="Book Antiqua" w:hAnsi="Book Antiqua" w:eastAsia="Book Antiqua"/>
          <w:b/>
          <w:i w:val="0"/>
          <w:color w:val="000000"/>
          <w:sz w:val="24"/>
        </w:rPr>
        <w:t xml:space="preserve">Structural Equation Modeling </w:t>
      </w:r>
    </w:p>
    <w:p>
      <w:pPr>
        <w:autoSpaceDN w:val="0"/>
        <w:autoSpaceDE w:val="0"/>
        <w:widowControl/>
        <w:spacing w:line="262" w:lineRule="auto" w:before="188" w:after="0"/>
        <w:ind w:left="72" w:right="208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 this study, the strength of the correlations between the dimensions was analyzed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using LISREL software for structural equation modeling (SEM). The LISREL model is shown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Figure 3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. As indicated in this figure, Y1 to Y3 belong to the dimension of previous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experiences, Y4 to Y8 belong to the dimension of training and support, Y9 to Y14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dimension of perceived usefulness, Y15 to Y19 the dimension of ease of use, Y20 to Y25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dimension of attitudes, and Y26 to Y35 the dimension of willingness. </w:t>
      </w:r>
    </w:p>
    <w:p>
      <w:pPr>
        <w:autoSpaceDN w:val="0"/>
        <w:autoSpaceDE w:val="0"/>
        <w:widowControl/>
        <w:spacing w:line="240" w:lineRule="auto" w:before="936" w:after="0"/>
        <w:ind w:left="7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2190 </w:t>
      </w:r>
    </w:p>
    <w:p>
      <w:pPr>
        <w:sectPr>
          <w:pgSz w:w="11906" w:h="16838"/>
          <w:pgMar w:top="1100" w:right="1440" w:bottom="596" w:left="1060" w:header="720" w:footer="720" w:gutter="0"/>
          <w:cols w:space="720" w:num="1" w:equalWidth="0">
            <w:col w:w="9406" w:space="0"/>
            <w:col w:w="9416" w:space="0"/>
            <w:col w:w="9389" w:space="0"/>
            <w:col w:w="9416" w:space="0"/>
            <w:col w:w="5282" w:space="0"/>
            <w:col w:w="4133" w:space="0"/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EURASIA J Math Sci and Tech Ed </w:t>
      </w:r>
    </w:p>
    <w:p>
      <w:pPr>
        <w:autoSpaceDN w:val="0"/>
        <w:autoSpaceDE w:val="0"/>
        <w:widowControl/>
        <w:spacing w:line="262" w:lineRule="auto" w:before="398" w:after="0"/>
        <w:ind w:left="262" w:right="26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In verifying the reliability and validity of the measuring scale, a confirmatory factory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analysis (CFA) was conducted to test the validity of the measuring scale in each of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dimensions. The study comprises two stages about determining the characteristics of motion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problems and suggesting the model that providing a solution in line with these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characteristics. </w:t>
      </w:r>
    </w:p>
    <w:p>
      <w:pPr>
        <w:autoSpaceDN w:val="0"/>
        <w:autoSpaceDE w:val="0"/>
        <w:widowControl/>
        <w:spacing w:line="240" w:lineRule="auto" w:before="184" w:after="0"/>
        <w:ind w:left="0" w:right="2318" w:firstLine="0"/>
        <w:jc w:val="righ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Descriptive Statistic Results of Each Variable </w:t>
      </w:r>
    </w:p>
    <w:p>
      <w:pPr>
        <w:autoSpaceDN w:val="0"/>
        <w:autoSpaceDE w:val="0"/>
        <w:widowControl/>
        <w:spacing w:line="259" w:lineRule="auto" w:before="186" w:after="0"/>
        <w:ind w:left="262" w:right="28" w:firstLine="566"/>
        <w:jc w:val="both"/>
      </w:pPr>
      <w:r>
        <w:rPr>
          <w:rFonts w:ascii="Book Antiqua" w:hAnsi="Book Antiqua" w:eastAsia="Book Antiqua"/>
          <w:b/>
          <w:i w:val="0"/>
          <w:color w:val="000099"/>
          <w:sz w:val="22"/>
        </w:rPr>
        <w:t>Tables 4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lists the average point skewness. The variable with the highest average point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is Y31 (4.95), followed by Y30 (4.93), and the variable with the lowest average point is Y11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(3.96), followed by Y16 (4.16). The correlation coefficients of the variables range from 0.201 to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0.712. Only a very few of the coefficients do not reach the level of significance. </w:t>
      </w:r>
    </w:p>
    <w:p>
      <w:pPr>
        <w:autoSpaceDN w:val="0"/>
        <w:autoSpaceDE w:val="0"/>
        <w:widowControl/>
        <w:spacing w:line="240" w:lineRule="auto" w:before="184" w:after="0"/>
        <w:ind w:left="0" w:right="3556" w:firstLine="0"/>
        <w:jc w:val="righ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Offending Estimates </w:t>
      </w:r>
    </w:p>
    <w:p>
      <w:pPr>
        <w:autoSpaceDN w:val="0"/>
        <w:autoSpaceDE w:val="0"/>
        <w:widowControl/>
        <w:spacing w:line="262" w:lineRule="auto" w:before="188" w:after="0"/>
        <w:ind w:left="262" w:right="26" w:firstLine="566"/>
        <w:jc w:val="both"/>
      </w:pPr>
      <w:r>
        <w:rPr>
          <w:rFonts w:ascii="Book Antiqua" w:hAnsi="Book Antiqua" w:eastAsia="Book Antiqua"/>
          <w:b/>
          <w:i w:val="0"/>
          <w:color w:val="000099"/>
          <w:sz w:val="22"/>
        </w:rPr>
        <w:t>Figure 3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illustrates the path diagram and the standardized estimates in the model.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coefficient estimate summary is listed 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4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. In addition, the skewness values of all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35 variables range from -0.18 to 0.53, less than 3 when in absolute value terms, while their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kurtosis values range from -0.78 to 0.68, less than 10 when in absolute value terms. These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findings indicate the skewness and kurtosis values of the variables are all within a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reasonable range. </w:t>
      </w:r>
    </w:p>
    <w:p>
      <w:pPr>
        <w:autoSpaceDN w:val="0"/>
        <w:autoSpaceDE w:val="0"/>
        <w:widowControl/>
        <w:spacing w:line="240" w:lineRule="auto" w:before="182" w:after="0"/>
        <w:ind w:left="0" w:right="3676" w:firstLine="0"/>
        <w:jc w:val="righ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Overall Model Fit </w:t>
      </w:r>
    </w:p>
    <w:p>
      <w:pPr>
        <w:autoSpaceDN w:val="0"/>
        <w:autoSpaceDE w:val="0"/>
        <w:widowControl/>
        <w:spacing w:line="262" w:lineRule="auto" w:before="188" w:after="0"/>
        <w:ind w:left="262" w:right="24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overall model fit evaluation results of the LISREL model in this study are listed 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4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. As indicated in </w:t>
      </w:r>
      <w:r>
        <w:rPr>
          <w:rFonts w:ascii="Book Antiqua" w:hAnsi="Book Antiqua" w:eastAsia="Book Antiqua"/>
          <w:b/>
          <w:i w:val="0"/>
          <w:color w:val="000099"/>
          <w:sz w:val="22"/>
        </w:rPr>
        <w:t>Table 4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, in the absolute fit measures, the RMSEA value is 0.066 (less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than 0.08), which indicates very good model fit. In addition, in the relative fit measures,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>values of NNFI (0.96), CFI (0.96) and NFI (0.90) are all greater than 0.9</w:t>
      </w:r>
      <w:r>
        <w:rPr>
          <w:rFonts w:ascii="MS Gothic" w:hAnsi="MS Gothic" w:eastAsia="MS Gothic"/>
          <w:b w:val="0"/>
          <w:i w:val="0"/>
          <w:color w:val="000000"/>
          <w:sz w:val="22"/>
        </w:rPr>
        <w:t>【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>Bentler, 1990</w:t>
      </w:r>
      <w:r>
        <w:rPr>
          <w:rFonts w:ascii="MS Gothic" w:hAnsi="MS Gothic" w:eastAsia="MS Gothic"/>
          <w:b w:val="0"/>
          <w:i w:val="0"/>
          <w:color w:val="000000"/>
          <w:sz w:val="22"/>
        </w:rPr>
        <w:t>】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which also indicates good model fit. In the parsimonious fit measures, the PNFI value is 0.84,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greater than 0.5, indicating acceptable model fit. Therefore, it can be said that the model is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overall an effective one. </w:t>
      </w:r>
    </w:p>
    <w:p>
      <w:pPr>
        <w:autoSpaceDN w:val="0"/>
        <w:autoSpaceDE w:val="0"/>
        <w:widowControl/>
        <w:spacing w:line="240" w:lineRule="auto" w:before="182" w:after="0"/>
        <w:ind w:left="0" w:right="3566" w:firstLine="0"/>
        <w:jc w:val="righ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Reliability Analysis </w:t>
      </w:r>
    </w:p>
    <w:p>
      <w:pPr>
        <w:autoSpaceDN w:val="0"/>
        <w:autoSpaceDE w:val="0"/>
        <w:widowControl/>
        <w:spacing w:line="262" w:lineRule="auto" w:before="186" w:after="0"/>
        <w:ind w:left="262" w:right="26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 composite reliability analysis was conducted on the six dimensions of the model in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study. The reliability analysis results of the “previous experiences”, “training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support”, “perceived usefulness”, “perceived ease of use”, “attitude” and “willingness” were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respectively 0.728, 0.818, 0.863, 0.793, 0.784 and 0.885. They are all greater than 0.6, indicating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all the six dimensions have good reliability. </w:t>
      </w:r>
    </w:p>
    <w:p>
      <w:pPr>
        <w:autoSpaceDN w:val="0"/>
        <w:autoSpaceDE w:val="0"/>
        <w:widowControl/>
        <w:spacing w:line="242" w:lineRule="auto" w:before="182" w:after="0"/>
        <w:ind w:left="0" w:right="3566" w:firstLine="0"/>
        <w:jc w:val="right"/>
      </w:pPr>
      <w:r>
        <w:rPr>
          <w:rFonts w:ascii="Book Antiqua" w:hAnsi="Book Antiqua" w:eastAsia="Book Antiqua"/>
          <w:b/>
          <w:i/>
          <w:color w:val="000000"/>
          <w:sz w:val="22"/>
        </w:rPr>
        <w:t xml:space="preserve">Convergent Validity </w:t>
      </w:r>
    </w:p>
    <w:p>
      <w:pPr>
        <w:autoSpaceDN w:val="0"/>
        <w:autoSpaceDE w:val="0"/>
        <w:widowControl/>
        <w:spacing w:line="257" w:lineRule="auto" w:before="186" w:after="0"/>
        <w:ind w:left="262" w:right="26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standardized estimates of λ1 ~λ35 range from 0.54 to 0.86. All these estimates reach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level of significance. Therefore, it can be said these observed variables have convergent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validity. </w:t>
      </w:r>
    </w:p>
    <w:p>
      <w:pPr>
        <w:autoSpaceDN w:val="0"/>
        <w:autoSpaceDE w:val="0"/>
        <w:widowControl/>
        <w:spacing w:line="240" w:lineRule="auto" w:before="650" w:after="0"/>
        <w:ind w:left="0" w:right="20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2191 </w:t>
      </w:r>
    </w:p>
    <w:p>
      <w:pPr>
        <w:sectPr>
          <w:pgSz w:w="11906" w:h="16838"/>
          <w:pgMar w:top="1100" w:right="1050" w:bottom="596" w:left="1440" w:header="720" w:footer="720" w:gutter="0"/>
          <w:cols w:space="720" w:num="1" w:equalWidth="0">
            <w:col w:w="9416" w:space="0"/>
            <w:col w:w="9406" w:space="0"/>
            <w:col w:w="9416" w:space="0"/>
            <w:col w:w="9389" w:space="0"/>
            <w:col w:w="9416" w:space="0"/>
            <w:col w:w="5282" w:space="0"/>
            <w:col w:w="4133" w:space="0"/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22" w:right="0" w:firstLine="0"/>
        <w:jc w:val="lef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>L. S. Huang &amp; C. F. Huang</w:t>
      </w:r>
    </w:p>
    <w:p>
      <w:pPr>
        <w:autoSpaceDN w:val="0"/>
        <w:autoSpaceDE w:val="0"/>
        <w:widowControl/>
        <w:spacing w:line="240" w:lineRule="auto" w:before="392" w:after="0"/>
        <w:ind w:left="1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59450" cy="32753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5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4" w:after="0"/>
        <w:ind w:left="122" w:right="0" w:firstLine="0"/>
        <w:jc w:val="left"/>
      </w:pPr>
      <w:r>
        <w:rPr>
          <w:rFonts w:ascii="Segoe UI" w:hAnsi="Segoe UI" w:eastAsia="Segoe UI"/>
          <w:b/>
          <w:i w:val="0"/>
          <w:color w:val="000099"/>
          <w:sz w:val="20"/>
        </w:rPr>
        <w:t>Figure 3.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Standardized Estimates of the Variables </w:t>
      </w:r>
    </w:p>
    <w:p>
      <w:pPr>
        <w:autoSpaceDN w:val="0"/>
        <w:autoSpaceDE w:val="0"/>
        <w:widowControl/>
        <w:spacing w:line="240" w:lineRule="auto" w:before="182" w:after="66"/>
        <w:ind w:left="122" w:right="0" w:firstLine="0"/>
        <w:jc w:val="left"/>
      </w:pPr>
      <w:r>
        <w:rPr>
          <w:rFonts w:ascii="Segoe UI" w:hAnsi="Segoe UI" w:eastAsia="Segoe UI"/>
          <w:b/>
          <w:i w:val="0"/>
          <w:color w:val="000099"/>
          <w:sz w:val="20"/>
        </w:rPr>
        <w:t>Table 4.</w:t>
      </w:r>
      <w:r>
        <w:rPr>
          <w:rFonts w:ascii="Segoe UI" w:hAnsi="Segoe UI" w:eastAsia="Segoe UI"/>
          <w:b w:val="0"/>
          <w:i w:val="0"/>
          <w:color w:val="000000"/>
          <w:sz w:val="20"/>
        </w:rPr>
        <w:t xml:space="preserve">Evaluation of Overall Model Fit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2364"/>
        <w:gridCol w:w="2364"/>
        <w:gridCol w:w="2364"/>
        <w:gridCol w:w="2364"/>
      </w:tblGrid>
      <w:tr>
        <w:trPr>
          <w:trHeight w:hRule="exact" w:val="246"/>
        </w:trPr>
        <w:tc>
          <w:tcPr>
            <w:tcW w:type="dxa" w:w="2540"/>
            <w:vMerge w:val="restart"/>
            <w:tcBorders>
              <w:top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Overall Model Fit Criteria </w:t>
            </w:r>
          </w:p>
        </w:tc>
        <w:tc>
          <w:tcPr>
            <w:tcW w:type="dxa" w:w="2174"/>
            <w:vMerge w:val="restart"/>
            <w:tcBorders>
              <w:top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Critical Ratio </w:t>
            </w:r>
          </w:p>
        </w:tc>
        <w:tc>
          <w:tcPr>
            <w:tcW w:type="dxa" w:w="1784"/>
            <w:vMerge w:val="restart"/>
            <w:tcBorders>
              <w:top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Model </w:t>
            </w:r>
          </w:p>
        </w:tc>
        <w:tc>
          <w:tcPr>
            <w:tcW w:type="dxa" w:w="1444"/>
            <w:tcBorders>
              <w:top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Evaluation </w:t>
            </w:r>
          </w:p>
        </w:tc>
      </w:tr>
      <w:tr>
        <w:trPr>
          <w:trHeight w:hRule="exact" w:val="248"/>
        </w:trPr>
        <w:tc>
          <w:tcPr>
            <w:tcW w:type="dxa" w:w="2364"/>
            <w:vMerge/>
            <w:tcBorders>
              <w:top w:sz="7.199999999999818" w:val="single" w:color="#000000"/>
              <w:bottom w:sz="4.0" w:val="single" w:color="#000000"/>
            </w:tcBorders>
          </w:tcPr>
          <w:p/>
        </w:tc>
        <w:tc>
          <w:tcPr>
            <w:tcW w:type="dxa" w:w="2364"/>
            <w:vMerge/>
            <w:tcBorders>
              <w:top w:sz="7.199999999999818" w:val="single" w:color="#000000"/>
              <w:bottom w:sz="4.0" w:val="single" w:color="#000000"/>
            </w:tcBorders>
          </w:tcPr>
          <w:p/>
        </w:tc>
        <w:tc>
          <w:tcPr>
            <w:tcW w:type="dxa" w:w="2364"/>
            <w:vMerge/>
            <w:tcBorders>
              <w:top w:sz="7.199999999999818" w:val="single" w:color="#000000"/>
              <w:bottom w:sz="4.0" w:val="single" w:color="#000000"/>
            </w:tcBorders>
          </w:tcPr>
          <w:p/>
        </w:tc>
        <w:tc>
          <w:tcPr>
            <w:tcW w:type="dxa" w:w="144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18"/>
              </w:rPr>
              <w:t xml:space="preserve">Result </w:t>
            </w:r>
          </w:p>
        </w:tc>
      </w:tr>
      <w:tr>
        <w:trPr>
          <w:trHeight w:hRule="exact" w:val="244"/>
        </w:trPr>
        <w:tc>
          <w:tcPr>
            <w:tcW w:type="dxa" w:w="254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9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>Χ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 value </w:t>
            </w:r>
          </w:p>
        </w:tc>
        <w:tc>
          <w:tcPr>
            <w:tcW w:type="dxa" w:w="217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The smaller, the better; </w:t>
            </w:r>
          </w:p>
        </w:tc>
        <w:tc>
          <w:tcPr>
            <w:tcW w:type="dxa" w:w="178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848.76( p = 0.00 ) </w:t>
            </w:r>
          </w:p>
        </w:tc>
        <w:tc>
          <w:tcPr>
            <w:tcW w:type="dxa" w:w="144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Fair </w:t>
            </w:r>
          </w:p>
        </w:tc>
      </w:tr>
      <w:tr>
        <w:trPr>
          <w:trHeight w:hRule="exact" w:val="220"/>
        </w:trPr>
        <w:tc>
          <w:tcPr>
            <w:tcW w:type="dxa" w:w="2364"/>
            <w:vMerge/>
            <w:tcBorders>
              <w:top w:sz="4.0" w:val="single" w:color="#000000"/>
            </w:tcBorders>
          </w:tcPr>
          <w:p/>
        </w:tc>
        <w:tc>
          <w:tcPr>
            <w:tcW w:type="dxa" w:w="2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p &gt; 0.1 </w:t>
            </w:r>
          </w:p>
        </w:tc>
        <w:tc>
          <w:tcPr>
            <w:tcW w:type="dxa" w:w="2364"/>
            <w:vMerge/>
            <w:tcBorders>
              <w:top w:sz="4.0" w:val="single" w:color="#000000"/>
            </w:tcBorders>
          </w:tcPr>
          <w:p/>
        </w:tc>
        <w:tc>
          <w:tcPr>
            <w:tcW w:type="dxa" w:w="2364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64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>Χ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/df value </w:t>
            </w:r>
          </w:p>
        </w:tc>
        <w:tc>
          <w:tcPr>
            <w:tcW w:type="dxa" w:w="2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&lt; 3 </w:t>
            </w:r>
          </w:p>
        </w:tc>
        <w:tc>
          <w:tcPr>
            <w:tcW w:type="dxa" w:w="1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1.54 </w:t>
            </w:r>
          </w:p>
        </w:tc>
        <w:tc>
          <w:tcPr>
            <w:tcW w:type="dxa" w:w="1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Good 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122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Absolute Fit Measures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2364"/>
        <w:gridCol w:w="2364"/>
        <w:gridCol w:w="2364"/>
        <w:gridCol w:w="2364"/>
      </w:tblGrid>
      <w:tr>
        <w:trPr>
          <w:trHeight w:hRule="exact" w:val="23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GFI </w:t>
            </w:r>
          </w:p>
        </w:tc>
        <w:tc>
          <w:tcPr>
            <w:tcW w:type="dxa" w:w="2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2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&gt; 0.90 </w:t>
            </w:r>
          </w:p>
        </w:tc>
        <w:tc>
          <w:tcPr>
            <w:tcW w:type="dxa" w:w="1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76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0.68 </w:t>
            </w:r>
          </w:p>
        </w:tc>
        <w:tc>
          <w:tcPr>
            <w:tcW w:type="dxa" w:w="1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Fair </w:t>
            </w:r>
          </w:p>
        </w:tc>
      </w:tr>
      <w:tr>
        <w:trPr>
          <w:trHeight w:hRule="exact" w:val="24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SRMR </w:t>
            </w:r>
          </w:p>
        </w:tc>
        <w:tc>
          <w:tcPr>
            <w:tcW w:type="dxa" w:w="2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72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&lt; 0.05 </w:t>
            </w:r>
          </w:p>
        </w:tc>
        <w:tc>
          <w:tcPr>
            <w:tcW w:type="dxa" w:w="1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2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0.077 </w:t>
            </w:r>
          </w:p>
        </w:tc>
        <w:tc>
          <w:tcPr>
            <w:tcW w:type="dxa" w:w="1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Fair </w:t>
            </w:r>
          </w:p>
        </w:tc>
      </w:tr>
      <w:tr>
        <w:trPr>
          <w:trHeight w:hRule="exact" w:val="258"/>
        </w:trPr>
        <w:tc>
          <w:tcPr>
            <w:tcW w:type="dxa" w:w="25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RMSEA </w:t>
            </w:r>
          </w:p>
        </w:tc>
        <w:tc>
          <w:tcPr>
            <w:tcW w:type="dxa" w:w="211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72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&lt; 0.08 </w:t>
            </w:r>
          </w:p>
        </w:tc>
        <w:tc>
          <w:tcPr>
            <w:tcW w:type="dxa" w:w="184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62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0.066 </w:t>
            </w:r>
          </w:p>
        </w:tc>
        <w:tc>
          <w:tcPr>
            <w:tcW w:type="dxa" w:w="144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Good </w:t>
            </w:r>
          </w:p>
        </w:tc>
      </w:tr>
      <w:tr>
        <w:trPr>
          <w:trHeight w:hRule="exact" w:val="242"/>
        </w:trPr>
        <w:tc>
          <w:tcPr>
            <w:tcW w:type="dxa" w:w="25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8" w:right="0" w:firstLine="0"/>
              <w:jc w:val="lef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Incremental Fit Measures </w:t>
            </w:r>
          </w:p>
        </w:tc>
        <w:tc>
          <w:tcPr>
            <w:tcW w:type="dxa" w:w="211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0" w:right="72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&gt; 0.90 </w:t>
            </w:r>
          </w:p>
        </w:tc>
        <w:tc>
          <w:tcPr>
            <w:tcW w:type="dxa" w:w="1842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0" w:right="676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0.96 </w:t>
            </w:r>
          </w:p>
        </w:tc>
        <w:tc>
          <w:tcPr>
            <w:tcW w:type="dxa" w:w="144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8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Good </w:t>
            </w:r>
          </w:p>
        </w:tc>
      </w:tr>
      <w:tr>
        <w:trPr>
          <w:trHeight w:hRule="exact" w:val="24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NNFI </w:t>
            </w:r>
          </w:p>
        </w:tc>
        <w:tc>
          <w:tcPr>
            <w:tcW w:type="dxa" w:w="2364"/>
            <w:vMerge/>
            <w:tcBorders>
              <w:top w:sz="4.0" w:val="single" w:color="#000000"/>
            </w:tcBorders>
          </w:tcPr>
          <w:p/>
        </w:tc>
        <w:tc>
          <w:tcPr>
            <w:tcW w:type="dxa" w:w="2364"/>
            <w:vMerge/>
            <w:tcBorders>
              <w:top w:sz="4.0" w:val="single" w:color="#000000"/>
            </w:tcBorders>
          </w:tcPr>
          <w:p/>
        </w:tc>
        <w:tc>
          <w:tcPr>
            <w:tcW w:type="dxa" w:w="2364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NFI </w:t>
            </w:r>
          </w:p>
        </w:tc>
        <w:tc>
          <w:tcPr>
            <w:tcW w:type="dxa" w:w="2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&gt; 0.90 </w:t>
            </w:r>
          </w:p>
        </w:tc>
        <w:tc>
          <w:tcPr>
            <w:tcW w:type="dxa" w:w="1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76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0.90 </w:t>
            </w:r>
          </w:p>
        </w:tc>
        <w:tc>
          <w:tcPr>
            <w:tcW w:type="dxa" w:w="1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Good </w:t>
            </w:r>
          </w:p>
        </w:tc>
      </w:tr>
      <w:tr>
        <w:trPr>
          <w:trHeight w:hRule="exact" w:val="244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CFI </w:t>
            </w:r>
          </w:p>
        </w:tc>
        <w:tc>
          <w:tcPr>
            <w:tcW w:type="dxa" w:w="2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&gt; 0.90 </w:t>
            </w:r>
          </w:p>
        </w:tc>
        <w:tc>
          <w:tcPr>
            <w:tcW w:type="dxa" w:w="1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76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0.96 </w:t>
            </w:r>
          </w:p>
        </w:tc>
        <w:tc>
          <w:tcPr>
            <w:tcW w:type="dxa" w:w="1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Good 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"/>
        <w:ind w:left="122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Parsimonious Fit Measures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4"/>
        <w:gridCol w:w="2364"/>
        <w:gridCol w:w="2364"/>
        <w:gridCol w:w="2364"/>
      </w:tblGrid>
      <w:tr>
        <w:trPr>
          <w:trHeight w:hRule="exact" w:val="272"/>
        </w:trPr>
        <w:tc>
          <w:tcPr>
            <w:tcW w:type="dxa" w:w="24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932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PNFI 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4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&gt; 0.50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574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0.84 </w:t>
            </w:r>
          </w:p>
        </w:tc>
        <w:tc>
          <w:tcPr>
            <w:tcW w:type="dxa" w:w="15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452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Good </w:t>
            </w:r>
          </w:p>
        </w:tc>
      </w:tr>
      <w:tr>
        <w:trPr>
          <w:trHeight w:hRule="exact" w:val="278"/>
        </w:trPr>
        <w:tc>
          <w:tcPr>
            <w:tcW w:type="dxa" w:w="245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936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PGFI </w:t>
            </w:r>
          </w:p>
        </w:tc>
        <w:tc>
          <w:tcPr>
            <w:tcW w:type="dxa" w:w="22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748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&gt; 0.50 </w:t>
            </w:r>
          </w:p>
        </w:tc>
        <w:tc>
          <w:tcPr>
            <w:tcW w:type="dxa" w:w="17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574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0.60 </w:t>
            </w:r>
          </w:p>
        </w:tc>
        <w:tc>
          <w:tcPr>
            <w:tcW w:type="dxa" w:w="154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452" w:firstLine="0"/>
              <w:jc w:val="right"/>
            </w:pPr>
            <w:r>
              <w:rPr>
                <w:rFonts w:ascii="Segoe UI" w:hAnsi="Segoe UI" w:eastAsia="Segoe UI"/>
                <w:b w:val="0"/>
                <w:i w:val="0"/>
                <w:color w:val="000000"/>
                <w:sz w:val="18"/>
              </w:rPr>
              <w:t xml:space="preserve">Good </w:t>
            </w:r>
          </w:p>
        </w:tc>
      </w:tr>
    </w:tbl>
    <w:p>
      <w:pPr>
        <w:autoSpaceDN w:val="0"/>
        <w:autoSpaceDE w:val="0"/>
        <w:widowControl/>
        <w:spacing w:line="240" w:lineRule="auto" w:before="486" w:after="0"/>
        <w:ind w:left="0" w:right="0" w:firstLine="0"/>
        <w:jc w:val="center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CONCLUSION </w:t>
      </w:r>
    </w:p>
    <w:p>
      <w:pPr>
        <w:autoSpaceDN w:val="0"/>
        <w:autoSpaceDE w:val="0"/>
        <w:widowControl/>
        <w:spacing w:line="240" w:lineRule="auto" w:before="168" w:after="0"/>
        <w:ind w:left="690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Using the TAM theory, this study is intended to explore if previous experience, </w:t>
      </w:r>
    </w:p>
    <w:p>
      <w:pPr>
        <w:autoSpaceDN w:val="0"/>
        <w:autoSpaceDE w:val="0"/>
        <w:widowControl/>
        <w:spacing w:line="242" w:lineRule="auto" w:before="28" w:after="0"/>
        <w:ind w:left="12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training and support, perceived usefulness, perceived ease of use, and attitude of road </w:t>
      </w:r>
    </w:p>
    <w:p>
      <w:pPr>
        <w:autoSpaceDN w:val="0"/>
        <w:autoSpaceDE w:val="0"/>
        <w:widowControl/>
        <w:spacing w:line="240" w:lineRule="auto" w:before="28" w:after="0"/>
        <w:ind w:left="12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engineering can help to enhance their willingness to use travelling beam devices. Based on </w:t>
      </w:r>
    </w:p>
    <w:p>
      <w:pPr>
        <w:autoSpaceDN w:val="0"/>
        <w:autoSpaceDE w:val="0"/>
        <w:widowControl/>
        <w:spacing w:line="240" w:lineRule="auto" w:before="30" w:after="0"/>
        <w:ind w:left="12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its findings, the conclusions of this study are as follows: </w:t>
      </w:r>
    </w:p>
    <w:p>
      <w:pPr>
        <w:autoSpaceDN w:val="0"/>
        <w:autoSpaceDE w:val="0"/>
        <w:widowControl/>
        <w:spacing w:line="240" w:lineRule="auto" w:before="326" w:after="0"/>
        <w:ind w:left="12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2192 </w:t>
      </w:r>
    </w:p>
    <w:p>
      <w:pPr>
        <w:sectPr>
          <w:pgSz w:w="11906" w:h="16838"/>
          <w:pgMar w:top="1100" w:right="1440" w:bottom="596" w:left="1010" w:header="720" w:footer="720" w:gutter="0"/>
          <w:cols w:space="720" w:num="1" w:equalWidth="0">
            <w:col w:w="9456" w:space="0"/>
            <w:col w:w="9416" w:space="0"/>
            <w:col w:w="9406" w:space="0"/>
            <w:col w:w="9416" w:space="0"/>
            <w:col w:w="9389" w:space="0"/>
            <w:col w:w="9416" w:space="0"/>
            <w:col w:w="5282" w:space="0"/>
            <w:col w:w="4133" w:space="0"/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EURASIA J Math Sci and Tech Ed </w:t>
      </w:r>
    </w:p>
    <w:p>
      <w:pPr>
        <w:autoSpaceDN w:val="0"/>
        <w:autoSpaceDE w:val="0"/>
        <w:widowControl/>
        <w:spacing w:line="254" w:lineRule="auto" w:before="398" w:after="14"/>
        <w:ind w:left="828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1. Factors Influencing the Use of Travelling Beam devices </w:t>
      </w:r>
      <w:r>
        <w:br/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As indicated by the correlation analysis results in this study, the dimensions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569"/>
        <w:gridCol w:w="1569"/>
        <w:gridCol w:w="1569"/>
        <w:gridCol w:w="1569"/>
        <w:gridCol w:w="1569"/>
        <w:gridCol w:w="1569"/>
      </w:tblGrid>
      <w:tr>
        <w:trPr>
          <w:trHeight w:hRule="exact" w:val="29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 xml:space="preserve">“willingness”,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 xml:space="preserve">“previous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 xml:space="preserve">experience”,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 xml:space="preserve">“training/support”,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 xml:space="preserve">“perceived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12" w:right="0" w:firstLine="0"/>
              <w:jc w:val="lef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2"/>
              </w:rPr>
              <w:t xml:space="preserve">usefulness”, </w:t>
            </w:r>
          </w:p>
        </w:tc>
      </w:tr>
    </w:tbl>
    <w:p>
      <w:pPr>
        <w:autoSpaceDN w:val="0"/>
        <w:autoSpaceDE w:val="0"/>
        <w:widowControl/>
        <w:spacing w:line="262" w:lineRule="auto" w:before="14" w:after="0"/>
        <w:ind w:left="262" w:right="28" w:firstLine="0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“perceived ease of use” and “attitude” were all positively correlated with each other. This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study also found the dimension of willingness was affected by the other dimensions,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particularly by training/support and perceived ease of use. In addition, there is a high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correlation between the training/support the respondents have received and their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willingness to use the devices. Therefore, it can be said that more training/support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perceived ease of use can lead to more willingness to use travelling beam devices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consequentially helps to improve pavement smoothness. </w:t>
      </w:r>
    </w:p>
    <w:p>
      <w:pPr>
        <w:autoSpaceDN w:val="0"/>
        <w:autoSpaceDE w:val="0"/>
        <w:widowControl/>
        <w:spacing w:line="264" w:lineRule="auto" w:before="186" w:after="0"/>
        <w:ind w:left="262" w:right="26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As to TAM and the Willingness to Use the Travelling Beam Devices, a hierarchical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regression analysis was conducted and, according to the analysis results, training/support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and perceived ease of use could explain 66.1% of the variances of willingness. Moreover,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training/support, perceived ease of use and previous experience could explain 70.7% of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variance in willingness. Therefore, it can be concluded that, to enhance willingness to use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travelling beam devices, more emphasis can be placed on giving training/support of how to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use the devices before the implementation of road paving and also on providing assistance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should any problem occurs during device use. </w:t>
      </w:r>
    </w:p>
    <w:p>
      <w:pPr>
        <w:autoSpaceDN w:val="0"/>
        <w:tabs>
          <w:tab w:pos="828" w:val="left"/>
        </w:tabs>
        <w:autoSpaceDE w:val="0"/>
        <w:widowControl/>
        <w:spacing w:line="262" w:lineRule="auto" w:before="188" w:after="0"/>
        <w:ind w:left="262" w:right="0" w:firstLine="0"/>
        <w:jc w:val="left"/>
      </w:pP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2. SEM Analysis </w:t>
      </w:r>
      <w:r>
        <w:br/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This research used LISREL software to conduct a SEM analysis. According to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analysis results, previous experience does not have a direct influence on perceived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usefulness while training/support has an indirect influence on previous experience. In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addition, the analysis results also indicate training/support, perceived ease of use and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attitude will give users positive attitudes toward the use of travelling beam devices and, as a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consequence, enhance their willingness to use the devices in the end. </w:t>
      </w:r>
    </w:p>
    <w:p>
      <w:pPr>
        <w:autoSpaceDN w:val="0"/>
        <w:autoSpaceDE w:val="0"/>
        <w:widowControl/>
        <w:spacing w:line="257" w:lineRule="auto" w:before="190" w:after="0"/>
        <w:ind w:left="262" w:right="30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Pavement smoothness has a direct influence on the safety of drivers and pedestrians.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Based on the findings of this study, the following suggestions are made regarding how to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improve road pavement smoothness: </w:t>
      </w:r>
    </w:p>
    <w:p>
      <w:pPr>
        <w:autoSpaceDN w:val="0"/>
        <w:autoSpaceDE w:val="0"/>
        <w:widowControl/>
        <w:spacing w:line="262" w:lineRule="auto" w:before="188" w:after="0"/>
        <w:ind w:left="262" w:right="28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3. As indicated by the findings of this study, training/support regarding the use of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devices has an indirect influence on willingness to use the devices. Therefore, it is suggested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that a series of training and support activities can be given to teach road engineering about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the devices, their strengths, and how to use them. Through the training and support,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road engineering can have more knowledge about the devices and their impact on road user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safety so that they can develop more willingness to use the devices. </w:t>
      </w:r>
    </w:p>
    <w:p>
      <w:pPr>
        <w:autoSpaceDN w:val="0"/>
        <w:autoSpaceDE w:val="0"/>
        <w:widowControl/>
        <w:spacing w:line="259" w:lineRule="auto" w:before="186" w:after="0"/>
        <w:ind w:left="262" w:right="30" w:firstLine="566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4. Difficulties or problems in using the devices can lead to negative user experiences. It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is suggested that an employer build a database that compiles all the problems using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devices and corresponding troubleshooting instructions. Its employees can solve problems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using the devices on their own by accessing the databases and finding suitable solutions. </w:t>
      </w:r>
    </w:p>
    <w:p>
      <w:pPr>
        <w:autoSpaceDN w:val="0"/>
        <w:autoSpaceDE w:val="0"/>
        <w:widowControl/>
        <w:spacing w:line="240" w:lineRule="auto" w:before="536" w:after="0"/>
        <w:ind w:left="0" w:right="20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2193 </w:t>
      </w:r>
    </w:p>
    <w:p>
      <w:pPr>
        <w:sectPr>
          <w:pgSz w:w="11906" w:h="16838"/>
          <w:pgMar w:top="1100" w:right="1050" w:bottom="596" w:left="1440" w:header="720" w:footer="720" w:gutter="0"/>
          <w:cols w:space="720" w:num="1" w:equalWidth="0">
            <w:col w:w="9416" w:space="0"/>
            <w:col w:w="9456" w:space="0"/>
            <w:col w:w="9416" w:space="0"/>
            <w:col w:w="9406" w:space="0"/>
            <w:col w:w="9416" w:space="0"/>
            <w:col w:w="9389" w:space="0"/>
            <w:col w:w="9416" w:space="0"/>
            <w:col w:w="5282" w:space="0"/>
            <w:col w:w="4133" w:space="0"/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>L. S. Huang &amp; C. F. Huang</w:t>
      </w:r>
    </w:p>
    <w:p>
      <w:pPr>
        <w:autoSpaceDN w:val="0"/>
        <w:autoSpaceDE w:val="0"/>
        <w:widowControl/>
        <w:spacing w:line="254" w:lineRule="auto" w:before="398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Databases like this can help improve road engineering’ willingness to continue using the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devices. </w:t>
      </w:r>
    </w:p>
    <w:p>
      <w:pPr>
        <w:autoSpaceDN w:val="0"/>
        <w:autoSpaceDE w:val="0"/>
        <w:widowControl/>
        <w:spacing w:line="240" w:lineRule="auto" w:before="190" w:after="0"/>
        <w:ind w:left="0" w:right="3330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ACKNOWLEDGEMENTS </w:t>
      </w:r>
    </w:p>
    <w:p>
      <w:pPr>
        <w:autoSpaceDN w:val="0"/>
        <w:autoSpaceDE w:val="0"/>
        <w:widowControl/>
        <w:spacing w:line="259" w:lineRule="auto" w:before="192" w:after="0"/>
        <w:ind w:left="8" w:right="204" w:firstLine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Financial support (MOST-105-2221-E-151-005), (MOST-105-2221-E-366-001) from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Taiwan’s Ministry of Science and Technology is gratefully acknowledged. We also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appreciate the long-term support from our team, especially for Huang, Wen Ken's assistance </w:t>
      </w:r>
      <w:r>
        <w:rPr>
          <w:rFonts w:ascii="Book Antiqua" w:hAnsi="Book Antiqua" w:eastAsia="Book Antiqua"/>
          <w:b w:val="0"/>
          <w:i w:val="0"/>
          <w:color w:val="000000"/>
          <w:sz w:val="22"/>
        </w:rPr>
        <w:t xml:space="preserve">on data and references collection. </w:t>
      </w:r>
    </w:p>
    <w:p>
      <w:pPr>
        <w:autoSpaceDN w:val="0"/>
        <w:autoSpaceDE w:val="0"/>
        <w:widowControl/>
        <w:spacing w:line="240" w:lineRule="auto" w:before="190" w:after="0"/>
        <w:ind w:left="0" w:right="3968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REFERENCES </w:t>
      </w:r>
    </w:p>
    <w:p>
      <w:pPr>
        <w:autoSpaceDN w:val="0"/>
        <w:autoSpaceDE w:val="0"/>
        <w:widowControl/>
        <w:spacing w:line="223" w:lineRule="auto" w:before="204" w:after="0"/>
        <w:ind w:left="8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>AASHTO PP49</w:t>
      </w:r>
      <w:r>
        <w:rPr>
          <w:rFonts w:ascii="MS Gothic" w:hAnsi="MS Gothic" w:eastAsia="MS Gothic"/>
          <w:b w:val="0"/>
          <w:i w:val="0"/>
          <w:color w:val="000000"/>
          <w:sz w:val="20"/>
        </w:rPr>
        <w:t>（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>2007</w:t>
      </w:r>
      <w:r>
        <w:rPr>
          <w:rFonts w:ascii="MS Gothic" w:hAnsi="MS Gothic" w:eastAsia="MS Gothic"/>
          <w:b w:val="0"/>
          <w:i w:val="0"/>
          <w:color w:val="000000"/>
          <w:sz w:val="20"/>
        </w:rPr>
        <w:t>）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Certification of Inertial Profiling Systems. </w:t>
      </w:r>
    </w:p>
    <w:p>
      <w:pPr>
        <w:autoSpaceDN w:val="0"/>
        <w:tabs>
          <w:tab w:pos="576" w:val="left"/>
        </w:tabs>
        <w:autoSpaceDE w:val="0"/>
        <w:widowControl/>
        <w:spacing w:line="264" w:lineRule="auto" w:before="70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AASHTO (1962), The AASHTO Road Test Report 5, Pavement Research, HRB Special Report 61E. 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Agarwal, R., and Prasad, J. (1999), Are individual differences germane to the acceptance of new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information technologies? Decision Sciences,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30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(2), 361-391.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78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>ASTM E950</w:t>
      </w:r>
      <w:r>
        <w:rPr>
          <w:rFonts w:ascii="MS Gothic" w:hAnsi="MS Gothic" w:eastAsia="MS Gothic"/>
          <w:b w:val="0"/>
          <w:i w:val="0"/>
          <w:color w:val="000000"/>
          <w:sz w:val="20"/>
        </w:rPr>
        <w:t>（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>2004</w:t>
      </w:r>
      <w:r>
        <w:rPr>
          <w:rFonts w:ascii="MS Gothic" w:hAnsi="MS Gothic" w:eastAsia="MS Gothic"/>
          <w:b w:val="0"/>
          <w:i w:val="0"/>
          <w:color w:val="000000"/>
          <w:sz w:val="20"/>
        </w:rPr>
        <w:t>）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Standard Test Method for Measuring the Longitudinal Profile of Traveled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Surfaces with an Accelerometer Established Inertial Profiling Reference.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68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Bentler, P. M. (1990). Comparative Fit Indexes in Structural Models. Psychological Bulletin,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107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(2),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238-246.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68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Carry, W. N. &amp; Irick, P.E. (1960), The Pavement Serviceability Performance Concept, Highway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Research Bulletin 250.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66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Chau, P.Y., (1996). An empirical assessment of a modified technology acceptance model,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Management </w:t>
      </w:r>
      <w:r>
        <w:tab/>
      </w:r>
      <w:r>
        <w:rPr>
          <w:rFonts w:ascii="Book Antiqua" w:hAnsi="Book Antiqua" w:eastAsia="Book Antiqua"/>
          <w:b w:val="0"/>
          <w:i/>
          <w:color w:val="000000"/>
          <w:sz w:val="20"/>
        </w:rPr>
        <w:t>Information Systems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.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13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(2), 185-204.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68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Davis, F. D. (1989), Perceived usefulness, perceived ease of use, and user acceptance of information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technology, MIS Quarterly,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13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(3), 319-340.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68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Fishbein, M and I. Ajzen. (1975), Believe, Attitude, Intention, and Behavior: An Introduction to Theory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and Research, Addison-Wesley Publishing company.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70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Haas, R., Hudson, R., and Zaniewki, J., (1994), Moderm Pavement Management, Kieger Publishing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Company. </w:t>
      </w:r>
    </w:p>
    <w:p>
      <w:pPr>
        <w:autoSpaceDN w:val="0"/>
        <w:autoSpaceDE w:val="0"/>
        <w:widowControl/>
        <w:spacing w:line="245" w:lineRule="auto" w:before="70" w:after="0"/>
        <w:ind w:left="576" w:right="210" w:hanging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Harris, N.K., Gonzalez, A., Obrien, E.J., McGetrick, P.(2010), Characterisation of pavement profile 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heights using accelerometer readings and a combinatorial optimisation technique,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Journal of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Sound and Vibration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329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(5), 497-508.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66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Joao, L.V., Jaime, C.F., Pinho, A.C.M., Elisabete,F. (2010), 3D surface profile equipment for the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characterization of the pavement texture – TexScan,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Mechatronics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20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(6), 674-685.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70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Kim, S., Ceylan, H., Gopalakrishnan, K. (2007), Initial smoothness of concrete pavements under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environmental loads,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Magazine of Concrete Research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59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(8), 599-609.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68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King, W. R., and He, J. (2006), A meta-analysis of the technology acceptance model,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Information &amp; </w:t>
      </w:r>
      <w:r>
        <w:tab/>
      </w:r>
      <w:r>
        <w:rPr>
          <w:rFonts w:ascii="Book Antiqua" w:hAnsi="Book Antiqua" w:eastAsia="Book Antiqua"/>
          <w:b w:val="0"/>
          <w:i/>
          <w:color w:val="000000"/>
          <w:sz w:val="20"/>
        </w:rPr>
        <w:t>Management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43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(6), 740-755. </w:t>
      </w:r>
    </w:p>
    <w:p>
      <w:pPr>
        <w:autoSpaceDN w:val="0"/>
        <w:autoSpaceDE w:val="0"/>
        <w:widowControl/>
        <w:spacing w:line="245" w:lineRule="auto" w:before="70" w:after="0"/>
        <w:ind w:left="576" w:right="210" w:hanging="568"/>
        <w:jc w:val="both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Lin, J., Richard, L., Li, J.,  Chen, X.(2004), Measurement of Concrete Highway Rough Surface 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>Parameters by an X-Band Scatterometer,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 IEEE Transactions on Geoscience &amp; Remote Sensing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42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(6), 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1188-1196. </w:t>
      </w:r>
    </w:p>
    <w:p>
      <w:pPr>
        <w:autoSpaceDN w:val="0"/>
        <w:tabs>
          <w:tab w:pos="576" w:val="left"/>
        </w:tabs>
        <w:autoSpaceDE w:val="0"/>
        <w:widowControl/>
        <w:spacing w:line="245" w:lineRule="auto" w:before="66" w:after="0"/>
        <w:ind w:left="8" w:right="144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Losa, M.,and Leandri, P., (2011), The reliability of tests and data processing procedures for pavement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macrotexture evaluation,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International Journal of Pavement Engineering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12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(1), 59-73. </w:t>
      </w:r>
    </w:p>
    <w:p>
      <w:pPr>
        <w:autoSpaceDN w:val="0"/>
        <w:autoSpaceDE w:val="0"/>
        <w:widowControl/>
        <w:spacing w:line="240" w:lineRule="auto" w:before="594" w:after="0"/>
        <w:ind w:left="8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2194 </w:t>
      </w:r>
    </w:p>
    <w:p>
      <w:pPr>
        <w:sectPr>
          <w:pgSz w:w="11906" w:h="16838"/>
          <w:pgMar w:top="1100" w:right="1440" w:bottom="596" w:left="1124" w:header="720" w:footer="720" w:gutter="0"/>
          <w:cols w:space="720" w:num="1" w:equalWidth="0">
            <w:col w:w="9342" w:space="0"/>
            <w:col w:w="9416" w:space="0"/>
            <w:col w:w="9456" w:space="0"/>
            <w:col w:w="9416" w:space="0"/>
            <w:col w:w="9406" w:space="0"/>
            <w:col w:w="9416" w:space="0"/>
            <w:col w:w="9389" w:space="0"/>
            <w:col w:w="9416" w:space="0"/>
            <w:col w:w="5282" w:space="0"/>
            <w:col w:w="4133" w:space="0"/>
            <w:col w:w="9416" w:space="0"/>
            <w:col w:w="5282" w:space="0"/>
            <w:col w:w="4133" w:space="0"/>
            <w:col w:w="9416" w:space="0"/>
            <w:col w:w="9406" w:space="0"/>
            <w:col w:w="9416" w:space="0"/>
            <w:col w:w="9342" w:space="0"/>
            <w:col w:w="9416" w:space="0"/>
            <w:col w:w="9342" w:space="0"/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EURASIA J Math Sci and Tech Ed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400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Morris, M.G., &amp; Dillon, A. (1997), How user perceptions influence software use, decision support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systems, IEEE Software, 58-65.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68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>Ong, C. S., Lai, J. Y., and Wang, Y. S. (2004), Factors affecting engineers' acceptance of asynchronous e-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learning systems in high-tech companies,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Information &amp; Management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>,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 41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(6), 795-804.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66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Ongel, A., Lu, Q., Harvey, J., (2009), Frictional properties of asphalt concrete mixes,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Transport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162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(1), </w:t>
      </w:r>
      <w:r>
        <w:tab/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19-26.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70" w:after="0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Szajna, B., (1996), Empirical evaluation of the revised technology acceptance model,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 xml:space="preserve">Management </w:t>
      </w:r>
      <w:r>
        <w:tab/>
      </w:r>
      <w:r>
        <w:rPr>
          <w:rFonts w:ascii="Book Antiqua" w:hAnsi="Book Antiqua" w:eastAsia="Book Antiqua"/>
          <w:b w:val="0"/>
          <w:i/>
          <w:color w:val="000000"/>
          <w:sz w:val="20"/>
        </w:rPr>
        <w:t>Science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42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(1), 85- 92.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70" w:after="36"/>
        <w:ind w:left="262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Wang, K., and Li, Q. (2011), Pavement Smoothness Prediction Based on Fuzzy and Gray Theories, </w:t>
      </w:r>
      <w:r>
        <w:tab/>
      </w:r>
      <w:r>
        <w:rPr>
          <w:rFonts w:ascii="Book Antiqua" w:hAnsi="Book Antiqua" w:eastAsia="Book Antiqua"/>
          <w:b w:val="0"/>
          <w:i/>
          <w:color w:val="000000"/>
          <w:sz w:val="20"/>
        </w:rPr>
        <w:t>Computer-Aided Civil &amp; Infrastructure Engineering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, </w:t>
      </w:r>
      <w:r>
        <w:rPr>
          <w:rFonts w:ascii="Book Antiqua" w:hAnsi="Book Antiqua" w:eastAsia="Book Antiqua"/>
          <w:b w:val="0"/>
          <w:i/>
          <w:color w:val="000000"/>
          <w:sz w:val="20"/>
        </w:rPr>
        <w:t>26</w:t>
      </w:r>
      <w:r>
        <w:rPr>
          <w:rFonts w:ascii="Book Antiqua" w:hAnsi="Book Antiqua" w:eastAsia="Book Antiqua"/>
          <w:b w:val="0"/>
          <w:i w:val="0"/>
          <w:color w:val="000000"/>
          <w:sz w:val="20"/>
        </w:rPr>
        <w:t xml:space="preserve">(1), 69-76.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177"/>
        <w:gridCol w:w="1177"/>
        <w:gridCol w:w="1177"/>
        <w:gridCol w:w="1177"/>
        <w:gridCol w:w="1177"/>
        <w:gridCol w:w="1177"/>
        <w:gridCol w:w="1177"/>
        <w:gridCol w:w="1177"/>
      </w:tblGrid>
      <w:tr>
        <w:trPr>
          <w:trHeight w:hRule="exact" w:val="2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42" w:right="0" w:firstLine="0"/>
              <w:jc w:val="lef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Shambhavi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Impex,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An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ISO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9001:2008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certified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company,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4" w:firstLine="0"/>
              <w:jc w:val="right"/>
            </w:pPr>
            <w:r>
              <w:rPr>
                <w:rFonts w:ascii="Book Antiqua" w:hAnsi="Book Antiqua" w:eastAsia="Book Antiqua"/>
                <w:b w:val="0"/>
                <w:i w:val="0"/>
                <w:color w:val="000000"/>
                <w:sz w:val="20"/>
              </w:rPr>
              <w:t xml:space="preserve">(2003), 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828" w:right="0" w:firstLine="0"/>
        <w:jc w:val="left"/>
      </w:pPr>
      <w:r>
        <w:rPr>
          <w:rFonts w:ascii="Book Antiqua" w:hAnsi="Book Antiqua" w:eastAsia="Book Antiqua"/>
          <w:b w:val="0"/>
          <w:i w:val="0"/>
          <w:color w:val="000000"/>
          <w:sz w:val="20"/>
        </w:rPr>
        <w:hyperlink r:id="rId16" w:history="1">
          <w:r>
            <w:rPr>
              <w:rStyle w:val="Hyperlink"/>
            </w:rPr>
            <w:t xml:space="preserve">http://www.shambhaviimpex.com/profile.html </w:t>
          </w:r>
        </w:hyperlink>
      </w:r>
    </w:p>
    <w:p>
      <w:pPr>
        <w:autoSpaceDN w:val="0"/>
        <w:autoSpaceDE w:val="0"/>
        <w:widowControl/>
        <w:spacing w:line="240" w:lineRule="auto" w:before="678" w:after="0"/>
        <w:ind w:left="1778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32"/>
        </w:rPr>
        <w:t xml:space="preserve">http://iserjournals.com/journals/eurasia </w:t>
      </w:r>
    </w:p>
    <w:p>
      <w:pPr>
        <w:autoSpaceDN w:val="0"/>
        <w:autoSpaceDE w:val="0"/>
        <w:widowControl/>
        <w:spacing w:line="240" w:lineRule="auto" w:before="8138" w:after="0"/>
        <w:ind w:left="0" w:right="20" w:firstLine="0"/>
        <w:jc w:val="right"/>
      </w:pPr>
      <w:r>
        <w:rPr>
          <w:rFonts w:ascii="Book Antiqua" w:hAnsi="Book Antiqua" w:eastAsia="Book Antiqua"/>
          <w:b w:val="0"/>
          <w:i w:val="0"/>
          <w:color w:val="000000"/>
          <w:sz w:val="24"/>
        </w:rPr>
        <w:t xml:space="preserve">2195 </w:t>
      </w:r>
    </w:p>
    <w:sectPr w:rsidR="00FC693F" w:rsidRPr="0006063C" w:rsidSect="00034616">
      <w:pgSz w:w="11906" w:h="16838"/>
      <w:pgMar w:top="1100" w:right="1050" w:bottom="596" w:left="1440" w:header="720" w:footer="720" w:gutter="0"/>
      <w:cols w:space="720" w:num="1" w:equalWidth="0">
        <w:col w:w="9416" w:space="0"/>
        <w:col w:w="9342" w:space="0"/>
        <w:col w:w="9416" w:space="0"/>
        <w:col w:w="9456" w:space="0"/>
        <w:col w:w="9416" w:space="0"/>
        <w:col w:w="9406" w:space="0"/>
        <w:col w:w="9416" w:space="0"/>
        <w:col w:w="9389" w:space="0"/>
        <w:col w:w="9416" w:space="0"/>
        <w:col w:w="5282" w:space="0"/>
        <w:col w:w="4133" w:space="0"/>
        <w:col w:w="9416" w:space="0"/>
        <w:col w:w="5282" w:space="0"/>
        <w:col w:w="4133" w:space="0"/>
        <w:col w:w="9416" w:space="0"/>
        <w:col w:w="9406" w:space="0"/>
        <w:col w:w="9416" w:space="0"/>
        <w:col w:w="9342" w:space="0"/>
        <w:col w:w="9416" w:space="0"/>
        <w:col w:w="9342" w:space="0"/>
        <w:col w:w="94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www.shambhaviimpex.com/pro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