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rFonts w:ascii="Calibri" w:eastAsia="SimHei"/>
          <w:b/>
          <w:bCs/>
          <w:color w:val="1A2330"/>
          <w:sz w:val="56"/>
          <w:szCs w:val="56"/>
        </w:rPr>
        <w:t xml:space="preserve">宠迹 PawTrack</w:t>
      </w:r>
    </w:p>
    <w:p>
      <w:pPr>
        <w:spacing w:before="200"/>
        <w:jc w:val="center"/>
      </w:pPr>
      <w:r>
        <w:rPr>
          <w:rFonts w:ascii="Calibri" w:eastAsia="SimHei"/>
          <w:color w:val="D4875A"/>
          <w:sz w:val="36"/>
          <w:szCs w:val="36"/>
        </w:rPr>
        <w:t xml:space="preserve">商业需求文档（BRD）</w:t>
      </w:r>
    </w:p>
    <w:p>
      <w:pPr>
        <w:spacing w:before="600"/>
        <w:jc w:val="center"/>
      </w:pPr>
      <w:r>
        <w:rPr>
          <w:rFonts w:ascii="Calibri"/>
          <w:color w:val="687078"/>
          <w:sz w:val="24"/>
          <w:szCs w:val="24"/>
        </w:rPr>
        <w:t xml:space="preserve">Business Requirements Document</w:t>
      </w:r>
    </w:p>
    <w:p>
      <w:pPr>
        <w:spacing w:before="200"/>
        <w:jc w:val="center"/>
      </w:pPr>
      <w:r>
        <w:rPr>
          <w:rFonts w:ascii="Calibri" w:eastAsia="Microsoft YaHei"/>
          <w:color w:val="687078"/>
          <w:sz w:val="22"/>
          <w:szCs w:val="22"/>
        </w:rPr>
        <w:t xml:space="preserve">版本：V2.0　　日期：2026-05-23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200" w:before="200"/>
      </w:pPr>
      <w:r>
        <w:rPr>
          <w:rFonts w:ascii="Calibri" w:eastAsia="SimHei"/>
          <w:b/>
          <w:bCs/>
          <w:color w:val="1A2330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一、执行摘要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二、商业模式画布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2.1 价值主张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2.2 商业模式画布核心要素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三、收入模型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3.1 三层变现架构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3.1.1 第一层：硬件销售（占总收入约40%）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3.1.2 第二层：订阅服务（占总收入约40%）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3.1.3 第三层：增值生态（占总收入约20%）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四、成本结构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4.1 成本分类明细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五、盈利预测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5.1 三年财务模型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六、关键业务指标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6.1 北极星指标与漏斗模型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七、风险评估与应对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八、里程碑与资源规划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8.1 产品里程碑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8.2 团队规划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九、附录：商业模型图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Calibri" w:eastAsia="SimHei"/>
          <w:b/>
          <w:bCs/>
          <w:color w:val="1A2330"/>
          <w:sz w:val="32"/>
          <w:szCs w:val="32"/>
        </w:rPr>
        <w:t xml:space="preserve">一、执行摘要</w:t>
      </w:r>
      <w:bookmarkEnd w:id="100000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宠迹采用“硬件销售 + 订阅服务 + 增值生态”三层变现模型，以宠物安全刚需为入口建立用户信任，通过社交功能提升留存，最终通过订阅和生态平台实现持续变现。硬件定价199元（毛利40%），会员订阅ARPU 19.9元/月，目标18个月实现盈亏平衡，24个月月活50万、月收入960万元。后台管理系统9大模块为运营提供数据驱动决策能力，是商业变现的基础设施。</w:t>
      </w:r>
    </w:p>
    <w:p>
      <w:pPr>
        <w:pStyle w:val="Heading1"/>
        <w:spacing w:after="160" w:before="360" w:line="312"/>
      </w:pPr>
      <w:bookmarkStart w:id="100001" w:name="_Toc100001"/>
      <w:r>
        <w:rPr>
          <w:rFonts w:ascii="Calibri" w:eastAsia="SimHei"/>
          <w:b/>
          <w:bCs/>
          <w:color w:val="1A2330"/>
          <w:sz w:val="32"/>
          <w:szCs w:val="32"/>
        </w:rPr>
        <w:t xml:space="preserve">二、商业模式画布</w:t>
      </w:r>
      <w:bookmarkEnd w:id="100001"/>
    </w:p>
    <w:p>
      <w:pPr>
        <w:pStyle w:val="Heading2"/>
        <w:spacing w:after="120" w:before="240" w:line="312"/>
      </w:pPr>
      <w:bookmarkStart w:id="100002" w:name="_Toc100002"/>
      <w:r>
        <w:rPr>
          <w:rFonts w:ascii="Calibri" w:eastAsia="SimHei"/>
          <w:b/>
          <w:bCs/>
          <w:color w:val="1A2330"/>
          <w:sz w:val="28"/>
          <w:szCs w:val="28"/>
        </w:rPr>
        <w:t xml:space="preserve">2.1 价值主张</w:t>
      </w:r>
      <w:bookmarkEnd w:id="100002"/>
    </w:p>
    <w:p>
      <w:pPr>
        <w:spacing w:after="60" w:before="60" w:line="312"/>
      </w:pPr>
      <w:r>
        <w:rPr>
          <w:rFonts w:ascii="Calibri" w:eastAsia="Microsoft YaHei"/>
          <w:b/>
          <w:bCs/>
          <w:color w:val="000000"/>
          <w:sz w:val="24"/>
          <w:szCs w:val="24"/>
        </w:rPr>
        <w:t xml:space="preserve">让每一只宠物都安全、快乐、有朋友</w:t>
      </w:r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宠迹的价值主张包含三层含义：安全是基础（定位器解决走丢焦虑），快乐是进阶（社交功能让宠物生活更丰富），有朋友是生态（宠物社区带来归属感）。这三层价值对应三层变现模型，形成完整的商业闭环。</w:t>
      </w:r>
    </w:p>
    <w:p>
      <w:pPr>
        <w:pStyle w:val="Heading2"/>
        <w:spacing w:after="120" w:before="240" w:line="312"/>
      </w:pPr>
      <w:bookmarkStart w:id="100003" w:name="_Toc100003"/>
      <w:r>
        <w:rPr>
          <w:rFonts w:ascii="Calibri" w:eastAsia="SimHei"/>
          <w:b/>
          <w:bCs/>
          <w:color w:val="1A2330"/>
          <w:sz w:val="28"/>
          <w:szCs w:val="28"/>
        </w:rPr>
        <w:t xml:space="preserve">2.2 商业模式画布核心要素</w:t>
      </w:r>
      <w:bookmarkEnd w:id="100003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45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客户细分</w:t>
            </w:r>
          </w:p>
        </w:tc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猫咪主人（安全刚需）/ 狗狗主人（社交需求）/ 多宠家庭（复购需求）</w:t>
            </w:r>
          </w:p>
        </w:tc>
      </w:tr>
      <w:tr>
        <w:trPr>
          <w:tblHeader w:val="false"/>
        </w:trPr>
        <w:tc>
          <w:tcPr>
            <w:tcW w:type="dxa" w:w="4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价值主张</w:t>
            </w:r>
          </w:p>
        </w:tc>
        <w:tc>
          <w:tcPr>
            <w:tcW w:type="dxa" w:w="4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安全守护 + 社交互动 + 生态服务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渠道</w:t>
            </w:r>
          </w:p>
        </w:tc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线上（小红书/抖音/微信）+ 线下（宠物店/宠物医院）</w:t>
            </w:r>
          </w:p>
        </w:tc>
      </w:tr>
      <w:tr>
        <w:trPr>
          <w:tblHeader w:val="false"/>
        </w:trPr>
        <w:tc>
          <w:tcPr>
            <w:tcW w:type="dxa" w:w="4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客户关系</w:t>
            </w:r>
          </w:p>
        </w:tc>
        <w:tc>
          <w:tcPr>
            <w:tcW w:type="dxa" w:w="4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硬件一次购买 + 订阅持续服务 + 积分忠诚度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收入来源</w:t>
            </w:r>
          </w:p>
        </w:tc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硬件销售40% + 订阅服务40% + 增值生态20%</w:t>
            </w:r>
          </w:p>
        </w:tc>
      </w:tr>
      <w:tr>
        <w:trPr>
          <w:tblHeader w:val="false"/>
        </w:trPr>
        <w:tc>
          <w:tcPr>
            <w:tcW w:type="dxa" w:w="4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核心资源</w:t>
            </w:r>
          </w:p>
        </w:tc>
        <w:tc>
          <w:tcPr>
            <w:tcW w:type="dxa" w:w="4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定位器硬件 + 定位算法 + 社交匹配算法 + 后台数据平台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关键业务</w:t>
            </w:r>
          </w:p>
        </w:tc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硬件供应链稳定 + 用户获审成本控制 + 社交飞轮启动</w:t>
            </w:r>
          </w:p>
        </w:tc>
      </w:tr>
      <w:tr>
        <w:trPr>
          <w:tblHeader w:val="false"/>
        </w:trPr>
        <w:tc>
          <w:tcPr>
            <w:tcW w:type="dxa" w:w="4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重要伙伴</w:t>
            </w:r>
          </w:p>
        </w:tc>
        <w:tc>
          <w:tcPr>
            <w:tcW w:type="dxa" w:w="4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宠物店连锁 / 宠物保险公司 / 宠物食品品牌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成本结构</w:t>
            </w:r>
          </w:p>
        </w:tc>
        <w:tc>
          <w:tcPr>
            <w:tcW w:type="dxa" w:w="4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硬件BOM 80-120元 + 云服务月均5万 + 获客成本50元/人</w:t>
            </w:r>
          </w:p>
        </w:tc>
      </w:tr>
    </w:tbl>
    <w:p>
      <w:pPr>
        <w:pStyle w:val="Heading1"/>
        <w:spacing w:after="160" w:before="360" w:line="312"/>
      </w:pPr>
      <w:bookmarkStart w:id="100004" w:name="_Toc100004"/>
      <w:r>
        <w:rPr>
          <w:rFonts w:ascii="Calibri" w:eastAsia="SimHei"/>
          <w:b/>
          <w:bCs/>
          <w:color w:val="1A2330"/>
          <w:sz w:val="32"/>
          <w:szCs w:val="32"/>
        </w:rPr>
        <w:t xml:space="preserve">三、收入模型</w:t>
      </w:r>
      <w:bookmarkEnd w:id="100004"/>
    </w:p>
    <w:p>
      <w:pPr>
        <w:pStyle w:val="Heading2"/>
        <w:spacing w:after="120" w:before="240" w:line="312"/>
      </w:pPr>
      <w:bookmarkStart w:id="100005" w:name="_Toc100005"/>
      <w:r>
        <w:rPr>
          <w:rFonts w:ascii="Calibri" w:eastAsia="SimHei"/>
          <w:b/>
          <w:bCs/>
          <w:color w:val="1A2330"/>
          <w:sz w:val="28"/>
          <w:szCs w:val="28"/>
        </w:rPr>
        <w:t xml:space="preserve">3.1 三层变现架构</w:t>
      </w:r>
      <w:bookmarkEnd w:id="100005"/>
    </w:p>
    <w:p>
      <w:pPr>
        <w:pStyle w:val="Heading3"/>
        <w:spacing w:after="100" w:before="200" w:line="312"/>
      </w:pPr>
      <w:bookmarkStart w:id="100006" w:name="_Toc100006"/>
      <w:r>
        <w:rPr>
          <w:rFonts w:ascii="Calibri" w:eastAsia="SimHei"/>
          <w:b/>
          <w:bCs/>
          <w:color w:val="1A2330"/>
          <w:sz w:val="24"/>
          <w:szCs w:val="24"/>
        </w:rPr>
        <w:t xml:space="preserve">3.1.1 第一层：硬件销售（占总收入约40%）</w:t>
      </w:r>
      <w:bookmarkEnd w:id="100006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定位器硬件单价199元，BOM成本80-120元，毛利率约40%。硬件作为入口产品，定价策略是“低价引流”——低于竞品平均价格的一半，降低试错门槛，通过后端订阅服务弥补硬件利润。多宠家庭套餐（2台299元、3台399元）提升客单价。配件复购（充电底座、备用套环等）提供额外收入。</w:t>
      </w:r>
    </w:p>
    <w:p>
      <w:pPr>
        <w:pStyle w:val="Heading3"/>
        <w:spacing w:after="100" w:before="200" w:line="312"/>
      </w:pPr>
      <w:bookmarkStart w:id="100007" w:name="_Toc100007"/>
      <w:r>
        <w:rPr>
          <w:rFonts w:ascii="Calibri" w:eastAsia="SimHei"/>
          <w:b/>
          <w:bCs/>
          <w:color w:val="1A2330"/>
          <w:sz w:val="24"/>
          <w:szCs w:val="24"/>
        </w:rPr>
        <w:t xml:space="preserve">3.1.2 第二层：订阅服务（占总收入约40%）</w:t>
      </w:r>
      <w:bookmarkEnd w:id="100007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月费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年费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核心权益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免费版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¥0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¥0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5分钟定位刷新 / 7天轨迹 / 基础报警</w:t>
            </w:r>
          </w:p>
        </w:tc>
      </w:tr>
      <w:tr>
        <w:trPr>
          <w:tblHeader w:val="false"/>
        </w:trPr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基础版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¥19.9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¥199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实时5秒刷新 / 无限轨迹 / 全通道报警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Pro版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¥29.9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¥299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基础版 + 家人共享 / 多设备 / 优先客服</w:t>
            </w:r>
          </w:p>
        </w:tc>
      </w:tr>
    </w:tbl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订阅转化的核心触发点包括：免费用户查看历史轨迹时触发“7天限制”提示、报警时提示“实时刷新需开通会员”、宠物详情页展示Pro功能对比。目标付费转化率≥5%。</w:t>
      </w:r>
    </w:p>
    <w:p>
      <w:pPr>
        <w:pStyle w:val="Heading3"/>
        <w:spacing w:after="100" w:before="200" w:line="312"/>
      </w:pPr>
      <w:bookmarkStart w:id="100008" w:name="_Toc100008"/>
      <w:r>
        <w:rPr>
          <w:rFonts w:ascii="Calibri" w:eastAsia="SimHei"/>
          <w:b/>
          <w:bCs/>
          <w:color w:val="1A2330"/>
          <w:sz w:val="24"/>
          <w:szCs w:val="24"/>
        </w:rPr>
        <w:t xml:space="preserve">3.1.3 第三层：增值生态（占总收入约20%）</w:t>
      </w:r>
      <w:bookmarkEnd w:id="100008"/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积分商城：积分兑换宠物用品、服务抵扣券、合作品牌优惠券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宠物保险：与保险公司合作，提供走失赔付、意外医疗等保障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宠物服务：宠物店、宠物美容、宠物寄养等服务推荐抽成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品牌合作：线下宠物活动引流、宠物食品电商平台接入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后台SaaS：宠物店管理工具、数据分析服务（V3阶段）</w:t>
      </w:r>
    </w:p>
    <w:p>
      <w:pPr>
        <w:pStyle w:val="Heading1"/>
        <w:spacing w:after="160" w:before="360" w:line="312"/>
      </w:pPr>
      <w:bookmarkStart w:id="100009" w:name="_Toc100009"/>
      <w:r>
        <w:rPr>
          <w:rFonts w:ascii="Calibri" w:eastAsia="SimHei"/>
          <w:b/>
          <w:bCs/>
          <w:color w:val="1A2330"/>
          <w:sz w:val="32"/>
          <w:szCs w:val="32"/>
        </w:rPr>
        <w:t xml:space="preserve">四、成本结构</w:t>
      </w:r>
      <w:bookmarkEnd w:id="100009"/>
    </w:p>
    <w:p>
      <w:pPr>
        <w:pStyle w:val="Heading2"/>
        <w:spacing w:after="120" w:before="240" w:line="312"/>
      </w:pPr>
      <w:bookmarkStart w:id="100010" w:name="_Toc100010"/>
      <w:r>
        <w:rPr>
          <w:rFonts w:ascii="Calibri" w:eastAsia="SimHei"/>
          <w:b/>
          <w:bCs/>
          <w:color w:val="1A2330"/>
          <w:sz w:val="28"/>
          <w:szCs w:val="28"/>
        </w:rPr>
        <w:t xml:space="preserve">4.1 成本分类明细</w:t>
      </w:r>
      <w:bookmarkEnd w:id="100010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成本类别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单价/月均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硬件成本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BOM成本（定位器）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80-120元/台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35%</w:t>
            </w:r>
          </w:p>
        </w:tc>
      </w:tr>
      <w:tr>
        <w:trPr>
          <w:tblHeader w:val="false"/>
        </w:trPr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硬件成本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包装+物流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15元/台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技术成本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云服务（定位+数据库）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5万元/月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</w:tr>
      <w:tr>
        <w:trPr>
          <w:tblHeader w:val="false"/>
        </w:trPr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技术成本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研发团队（前端+后台+硬件）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30万元/月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运营成本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获客成本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50元/人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</w:tr>
      <w:tr>
        <w:trPr>
          <w:tblHeader w:val="false"/>
        </w:trPr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运营成本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客服+运营人员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8万元/月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</w:tr>
    </w:tbl>
    <w:p>
      <w:pPr>
        <w:pStyle w:val="Heading1"/>
        <w:spacing w:after="160" w:before="360" w:line="312"/>
      </w:pPr>
      <w:bookmarkStart w:id="100011" w:name="_Toc100011"/>
      <w:r>
        <w:rPr>
          <w:rFonts w:ascii="Calibri" w:eastAsia="SimHei"/>
          <w:b/>
          <w:bCs/>
          <w:color w:val="1A2330"/>
          <w:sz w:val="32"/>
          <w:szCs w:val="32"/>
        </w:rPr>
        <w:t xml:space="preserve">五、盈利预测</w:t>
      </w:r>
      <w:bookmarkEnd w:id="100011"/>
    </w:p>
    <w:p>
      <w:pPr>
        <w:pStyle w:val="Heading2"/>
        <w:spacing w:after="120" w:before="240" w:line="312"/>
      </w:pPr>
      <w:bookmarkStart w:id="100012" w:name="_Toc100012"/>
      <w:r>
        <w:rPr>
          <w:rFonts w:ascii="Calibri" w:eastAsia="SimHei"/>
          <w:b/>
          <w:bCs/>
          <w:color w:val="1A2330"/>
          <w:sz w:val="28"/>
          <w:szCs w:val="28"/>
        </w:rPr>
        <w:t xml:space="preserve">5.1 三年财务模型</w:t>
      </w:r>
      <w:bookmarkEnd w:id="100012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Y1（M1-12）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Y2（M13-24）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Y3（M25-36）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注册用户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10万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30万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80万</w:t>
            </w:r>
          </w:p>
        </w:tc>
      </w:tr>
      <w:tr>
        <w:trPr>
          <w:tblHeader w:val="false"/>
        </w:trPr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月活用户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3万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15万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50万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付费用户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1500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1.5万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5万</w:t>
            </w:r>
          </w:p>
        </w:tc>
      </w:tr>
      <w:tr>
        <w:trPr>
          <w:tblHeader w:val="false"/>
        </w:trPr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硬件收入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1200万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2400万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4000万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订阅收入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36万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360万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1200万</w:t>
            </w:r>
          </w:p>
        </w:tc>
      </w:tr>
      <w:tr>
        <w:trPr>
          <w:tblHeader w:val="false"/>
        </w:trPr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增值收入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5万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120万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600万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总收入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1241万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2880万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5800万</w:t>
            </w:r>
          </w:p>
        </w:tc>
      </w:tr>
      <w:tr>
        <w:trPr>
          <w:tblHeader w:val="false"/>
        </w:trPr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总成本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1500万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2200万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3500万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净利润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-259万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680万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2300万</w:t>
            </w:r>
          </w:p>
        </w:tc>
      </w:tr>
    </w:tbl>
    <w:p>
      <w:pPr>
        <w:pStyle w:val="Heading1"/>
        <w:spacing w:after="160" w:before="360" w:line="312"/>
      </w:pPr>
      <w:bookmarkStart w:id="100013" w:name="_Toc100013"/>
      <w:r>
        <w:rPr>
          <w:rFonts w:ascii="Calibri" w:eastAsia="SimHei"/>
          <w:b/>
          <w:bCs/>
          <w:color w:val="1A2330"/>
          <w:sz w:val="32"/>
          <w:szCs w:val="32"/>
        </w:rPr>
        <w:t xml:space="preserve">六、关键业务指标</w:t>
      </w:r>
      <w:bookmarkEnd w:id="100013"/>
    </w:p>
    <w:p>
      <w:pPr>
        <w:pStyle w:val="Heading2"/>
        <w:spacing w:after="120" w:before="240" w:line="312"/>
      </w:pPr>
      <w:bookmarkStart w:id="100014" w:name="_Toc100014"/>
      <w:r>
        <w:rPr>
          <w:rFonts w:ascii="Calibri" w:eastAsia="SimHei"/>
          <w:b/>
          <w:bCs/>
          <w:color w:val="1A2330"/>
          <w:sz w:val="28"/>
          <w:szCs w:val="28"/>
        </w:rPr>
        <w:t xml:space="preserve">6.1 北极星指标与漏斗模型</w:t>
      </w:r>
      <w:bookmarkEnd w:id="100014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MVP目标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V2目标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北极星指标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日定位查看次数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≥3次/日/活用户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≥5次/日/活用户</w:t>
            </w:r>
          </w:p>
        </w:tc>
      </w:tr>
      <w:tr>
        <w:trPr>
          <w:tblHeader w:val="false"/>
        </w:trPr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激活率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绑定设备/注册用户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≥70%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≥80%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7日留存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7日后仍活跃/新增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≥40%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≥50%</w:t>
            </w:r>
          </w:p>
        </w:tc>
      </w:tr>
      <w:tr>
        <w:trPr>
          <w:tblHeader w:val="false"/>
        </w:trPr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付费转化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付费用户/活跃用户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≥5%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≥8%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碰头参与率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发起碰头/社交用户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≥30%</w:t>
            </w:r>
          </w:p>
        </w:tc>
      </w:tr>
      <w:tr>
        <w:trPr>
          <w:tblHeader w:val="false"/>
        </w:trPr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硬件复购率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多宠购买/总购买用户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≥15%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≥25%</w:t>
            </w:r>
          </w:p>
        </w:tc>
      </w:tr>
    </w:tbl>
    <w:p>
      <w:pPr>
        <w:pStyle w:val="Heading1"/>
        <w:spacing w:after="160" w:before="360" w:line="312"/>
      </w:pPr>
      <w:bookmarkStart w:id="100015" w:name="_Toc100015"/>
      <w:r>
        <w:rPr>
          <w:rFonts w:ascii="Calibri" w:eastAsia="SimHei"/>
          <w:b/>
          <w:bCs/>
          <w:color w:val="1A2330"/>
          <w:sz w:val="32"/>
          <w:szCs w:val="32"/>
        </w:rPr>
        <w:t xml:space="preserve">七、风险评估与应对</w:t>
      </w:r>
      <w:bookmarkEnd w:id="100015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风险类型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影响程度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隐私合规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宠物定位数据涉及位置隐私，可能触犯个人信息保护法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后台隐私设置模块 + 数据加密 + 合规审计</w:t>
            </w:r>
          </w:p>
        </w:tc>
      </w:tr>
      <w:tr>
        <w:trPr>
          <w:tblHeader w:val="false"/>
        </w:trPr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硬件供应链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定位器芯片短缺或交付延迟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备选芯片方案 + 多供应商 + 安全库存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竞品模仿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大厂快速复制猫狗分区策略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快速迭代社交功能 + 用户网络效应护城河</w:t>
            </w:r>
          </w:p>
        </w:tc>
      </w:tr>
      <w:tr>
        <w:trPr>
          <w:tblHeader w:val="false"/>
        </w:trPr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硬件质量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定位器故障率高影响用户信任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充分测试 + 后台设备异常监控 + 快速换货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社交安全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碰头功能可能被用于骚扰或诈骗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后台审核机制 + 距离校验 + 举报封禁</w:t>
            </w:r>
          </w:p>
        </w:tc>
      </w:tr>
      <w:tr>
        <w:trPr>
          <w:tblHeader w:val="false"/>
        </w:trPr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订阅转化低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免费版满足大部分用户需求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精准触发点 + 会员体验营 + 功能对比引导</w:t>
            </w:r>
          </w:p>
        </w:tc>
      </w:tr>
    </w:tbl>
    <w:p>
      <w:pPr>
        <w:pStyle w:val="Heading1"/>
        <w:spacing w:after="160" w:before="360" w:line="312"/>
      </w:pPr>
      <w:bookmarkStart w:id="100016" w:name="_Toc100016"/>
      <w:r>
        <w:rPr>
          <w:rFonts w:ascii="Calibri" w:eastAsia="SimHei"/>
          <w:b/>
          <w:bCs/>
          <w:color w:val="1A2330"/>
          <w:sz w:val="32"/>
          <w:szCs w:val="32"/>
        </w:rPr>
        <w:t xml:space="preserve">八、里程碑与资源规划</w:t>
      </w:r>
      <w:bookmarkEnd w:id="100016"/>
    </w:p>
    <w:p>
      <w:pPr>
        <w:pStyle w:val="Heading2"/>
        <w:spacing w:after="120" w:before="240" w:line="312"/>
      </w:pPr>
      <w:bookmarkStart w:id="100017" w:name="_Toc100017"/>
      <w:r>
        <w:rPr>
          <w:rFonts w:ascii="Calibri" w:eastAsia="SimHei"/>
          <w:b/>
          <w:bCs/>
          <w:color w:val="1A2330"/>
          <w:sz w:val="28"/>
          <w:szCs w:val="28"/>
        </w:rPr>
        <w:t xml:space="preserve">8.1 产品里程碑</w:t>
      </w:r>
      <w:bookmarkEnd w:id="100017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核心交付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成功标准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V1.0 MVP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M1-M10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前端6流程26屏 + 后台9模块15屏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激活率≥70% / 7日留存≥40%</w:t>
            </w:r>
          </w:p>
        </w:tc>
      </w:tr>
      <w:tr>
        <w:trPr>
          <w:tblHeader w:val="false"/>
        </w:trPr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V2.0 社交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M11-M18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好朋狗 + 碰头奖励 + 积分体系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碰头参与率≥30% / 付费转化≥8%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V3.0 生态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M19-M30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宠物保险 + 服务平台 + 后台SaaS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月活50万 / 月收入960万</w:t>
            </w:r>
          </w:p>
        </w:tc>
      </w:tr>
    </w:tbl>
    <w:p>
      <w:pPr>
        <w:pStyle w:val="Heading2"/>
        <w:spacing w:after="120" w:before="240" w:line="312"/>
      </w:pPr>
      <w:bookmarkStart w:id="100018" w:name="_Toc100018"/>
      <w:r>
        <w:rPr>
          <w:rFonts w:ascii="Calibri" w:eastAsia="SimHei"/>
          <w:b/>
          <w:bCs/>
          <w:color w:val="1A2330"/>
          <w:sz w:val="28"/>
          <w:szCs w:val="28"/>
        </w:rPr>
        <w:t xml:space="preserve">8.2 团队规划</w:t>
      </w:r>
      <w:bookmarkEnd w:id="100018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人数</w:t>
            </w:r>
          </w:p>
        </w:tc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产品经理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产品规划、需求管理、迭代决策</w:t>
            </w:r>
          </w:p>
        </w:tc>
      </w:tr>
      <w:tr>
        <w:trPr>
          <w:tblHeader w:val="false"/>
        </w:trPr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前端开发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App开发（iOS+Android）、26屏前端页面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后端开发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服务端+后台管理系统9大模块15屏</w:t>
            </w:r>
          </w:p>
        </w:tc>
      </w:tr>
      <w:tr>
        <w:trPr>
          <w:tblHeader w:val="false"/>
        </w:trPr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硬件工程师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定位器硬件设计、固件开发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UI设计师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前端+ 后台UI设计</w:t>
            </w:r>
          </w:p>
        </w:tc>
      </w:tr>
      <w:tr>
        <w:trPr>
          <w:tblHeader w:val="false"/>
        </w:trPr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运营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用户运营、内容运营、商业化</w:t>
            </w:r>
          </w:p>
        </w:tc>
      </w:tr>
    </w:tbl>
    <w:p>
      <w:pPr>
        <w:pStyle w:val="Heading1"/>
        <w:spacing w:after="160" w:before="360" w:line="312"/>
      </w:pPr>
      <w:bookmarkStart w:id="100019" w:name="_Toc100019"/>
      <w:r>
        <w:rPr>
          <w:rFonts w:ascii="Calibri" w:eastAsia="SimHei"/>
          <w:b/>
          <w:bCs/>
          <w:color w:val="1A2330"/>
          <w:sz w:val="32"/>
          <w:szCs w:val="32"/>
        </w:rPr>
        <w:t xml:space="preserve">九、附录：商业模型图</w:t>
      </w:r>
      <w:bookmarkEnd w:id="100019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以下三张图分别展示了宠迹的业务逻辑、业务流程和后台管理系统架构，体现了“安全刚需引流 → 社交留存 → 变现转化”的三层增长飞轮模型。</w:t>
      </w:r>
    </w:p>
    <w:p>
      <w:pPr>
        <w:spacing w:after="80" w:before="200"/>
        <w:jc w:val="center"/>
      </w:pPr>
      <w:r>
        <w:drawing>
          <wp:inline distT="0" distB="0" distL="0" distR="0">
            <wp:extent cx="4572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Calibri" w:eastAsia="Microsoft YaHei"/>
          <w:i/>
          <w:iCs/>
          <w:color w:val="687078"/>
          <w:sz w:val="20"/>
          <w:szCs w:val="20"/>
        </w:rPr>
        <w:t xml:space="preserve">图1：宠迹业务逻辑图（数据输入 → 核心逻辑 → 变现输出）</w:t>
      </w:r>
    </w:p>
    <w:p>
      <w:pPr>
        <w:spacing w:after="80" w:before="200"/>
        <w:jc w:val="center"/>
      </w:pPr>
      <w:r>
        <w:drawing>
          <wp:inline distT="0" distB="0" distL="0" distR="0">
            <wp:extent cx="41910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Calibri" w:eastAsia="Microsoft YaHei"/>
          <w:i/>
          <w:iCs/>
          <w:color w:val="687078"/>
          <w:sz w:val="20"/>
          <w:szCs w:val="20"/>
        </w:rPr>
        <w:t xml:space="preserve">图2：宠迹业务流程图（7阶段完整用户旅程）</w:t>
      </w:r>
    </w:p>
    <w:p>
      <w:pPr>
        <w:spacing w:after="80" w:before="200"/>
        <w:jc w:val="center"/>
      </w:pPr>
      <w:r>
        <w:drawing>
          <wp:inline distT="0" distB="0" distL="0" distR="0">
            <wp:extent cx="4572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Calibri" w:eastAsia="Microsoft YaHei"/>
          <w:i/>
          <w:iCs/>
          <w:color w:val="687078"/>
          <w:sz w:val="20"/>
          <w:szCs w:val="20"/>
        </w:rPr>
        <w:t xml:space="preserve">图3：宠迹后台管理系统功能架构图（9大模块）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808080"/>
        <w:sz w:val="18"/>
        <w:szCs w:val="18"/>
      </w:rPr>
      <w:t xml:space="preserve">宠迹 BRD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Calibri" w:eastAsia="SimHei"/>
      <w:b/>
      <w:bCs/>
      <w:color w:val="1A23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Calibri" w:eastAsia="SimHei"/>
      <w:b/>
      <w:bCs/>
      <w:color w:val="1A233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  <w:outlineLvl w:val="2"/>
    </w:pPr>
    <w:rPr>
      <w:rFonts w:ascii="Calibri" w:eastAsia="SimHei"/>
      <w:b/>
      <w:bCs/>
      <w:color w:val="1A2330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c77090f421b178522e9a45115bcca280af9bc6c.jpg"/><Relationship Id="rId10" Type="http://schemas.openxmlformats.org/officeDocument/2006/relationships/image" Target="media/c1a3375b7581e96aec202b43daae96a3cebd395d.jpg"/><Relationship Id="rId11" Type="http://schemas.openxmlformats.org/officeDocument/2006/relationships/image" Target="media/019efc33134a2a649f02558808818fcc2bf367ae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2026-05-23T02:39:27.493Z</dcterms:created>
  <dcterms:modified xsi:type="dcterms:W3CDTF">2026-05-23T02:39:27.493Z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