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6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75A" w:val="clear"/>
          </w:tcPr>
          <w:p/>
        </w:tc>
      </w:tr>
    </w:tbl>
    <w:p>
      <w:pPr>
        <w:spacing w:before="36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1A2330"/>
          <w:sz w:val="52"/>
          <w:szCs w:val="52"/>
        </w:rPr>
        <w:t xml:space="preserve">测试用例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测试验收阶段交付产物</w:t>
      </w:r>
    </w:p>
    <w:p>
      <w:pPr>
        <w:spacing w:after="400" w:before="400"/>
        <w:jc w:val="center"/>
      </w:pPr>
      <w:r>
        <w:rPr>
          <w:color w:val="D4875A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文档编号：【请填写】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版本号：V1.0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编制人：【请填写】</w:t>
      </w:r>
    </w:p>
    <w:p>
      <w:pPr>
        <w:spacing w:after="100"/>
        <w:jc w:val="center"/>
      </w:pPr>
      <w:r>
        <w:rPr>
          <w:color w:val="607080"/>
          <w:sz w:val="22"/>
          <w:szCs w:val="22"/>
        </w:rPr>
        <w:t xml:space="preserve">编制日期：【请填写】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一、文档信息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测试项目名称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关联版本号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关联PRD编号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【请填写】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测试用例编写人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【测试人员姓名】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编写日期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【年/月/日】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二、测试环境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环境项</w:t>
            </w:r>
          </w:p>
        </w:tc>
        <w:tc>
          <w:tcPr>
            <w:tcW w:type="pct" w:w="7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测试服务器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【填写服务器地址】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测试数据库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【填写数据库信息】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测试账号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【填写测试账号及角色】</w:t>
            </w:r>
          </w:p>
        </w:tc>
      </w:tr>
      <w:tr>
        <w:trPr>
          <w:cantSplit/>
        </w:trPr>
        <w:tc>
          <w:tcPr>
            <w:tcW w:type="pct" w:w="3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浏览器/客户端</w:t>
            </w:r>
          </w:p>
        </w:tc>
        <w:tc>
          <w:tcPr>
            <w:tcW w:type="pct" w:w="7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【填写测试环境】</w:t>
            </w:r>
          </w:p>
        </w:tc>
      </w:tr>
    </w:tbl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提测时开发人员需准备好预上线的 SQL，确保测试数据库数据充足。</w:t>
      </w:r>
    </w:p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三、测试用例列表</w:t>
      </w:r>
    </w:p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3.1 功能测试用例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所属模块</w:t>
            </w:r>
          </w:p>
        </w:tc>
        <w:tc>
          <w:tcPr>
            <w:tcW w:type="pct" w:w="12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pct" w:w="14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pct" w:w="1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8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TC-001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【模块名】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□P0□P1□P2□P3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□正常□异常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TC-002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【模块名】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□P0□P1□P2□P3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□正常□异常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TC-003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【模块名】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□P0□P1□P2□P3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□正常□异常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TC-004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【模块名】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□P0□P1□P2□P3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□正常□异常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TC-005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【模块名】</w:t>
            </w:r>
          </w:p>
        </w:tc>
        <w:tc>
          <w:tcPr>
            <w:tcW w:type="pct" w:w="12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4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□P0□P1□P2□P3</w:t>
            </w:r>
          </w:p>
        </w:tc>
        <w:tc>
          <w:tcPr>
            <w:tcW w:type="pct" w:w="8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□正常□异常</w:t>
            </w:r>
          </w:p>
        </w:tc>
      </w:tr>
    </w:tbl>
    <w:p>
      <w:pPr>
        <w:pStyle w:val="Heading3"/>
      </w:pPr>
      <w:r>
        <w:rPr>
          <w:rFonts w:ascii="Calibri" w:eastAsia="SimHei"/>
          <w:b/>
          <w:bCs/>
          <w:color w:val="1A2330"/>
          <w:sz w:val="22"/>
          <w:szCs w:val="22"/>
        </w:rPr>
        <w:t xml:space="preserve">3.2 UI验收测试用例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pct" w:w="1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25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  <w:tc>
          <w:tcPr>
            <w:tcW w:type="pct" w:w="2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实际效果</w:t>
            </w:r>
          </w:p>
        </w:tc>
        <w:tc>
          <w:tcPr>
            <w:tcW w:type="pct" w:w="1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是否通过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UI-001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【页面名称】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□通过□不通过</w:t>
            </w:r>
          </w:p>
        </w:tc>
      </w:tr>
      <w:tr>
        <w:trPr>
          <w:cantSplit/>
        </w:trPr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UI-002</w:t>
            </w:r>
          </w:p>
        </w:tc>
        <w:tc>
          <w:tcPr>
            <w:tcW w:type="pct" w:w="1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【页面名称】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  <w:tc>
          <w:tcPr>
            <w:tcW w:type="pct" w:w="1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□通过□不通过</w:t>
            </w:r>
          </w:p>
        </w:tc>
      </w:tr>
    </w:tbl>
    <w:p>
      <w:pPr>
        <w:pStyle w:val="Heading1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四、测试结果汇总</w:t>
      </w:r>
    </w:p>
    <w:tbl>
      <w:tblPr>
        <w:tblW w:type="pct" w:w="100%"/>
        <w:tblBorders>
          <w:top w:val="single" w:color="D4875A" w:sz="2"/>
          <w:left w:val="single" w:color="D0D0D0" w:sz="1"/>
          <w:bottom w:val="single" w:color="D4875A" w:sz="2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统计项</w:t>
            </w:r>
          </w:p>
        </w:tc>
        <w:tc>
          <w:tcPr>
            <w:tcW w:type="pct" w:w="50%"/>
            <w:tcBorders>
              <w:top w:val="single" w:color="D4875A" w:sz="2"/>
              <w:left w:val="single" w:color="D0D0D0" w:sz="1"/>
              <w:bottom w:val="single" w:color="D4875A" w:sz="2"/>
              <w:right w:val="single" w:color="D0D0D0" w:sz="1"/>
            </w:tcBorders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总用例数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通过数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失败数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阻塞数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  <w:tr>
        <w:trPr>
          <w:cantSplit/>
        </w:trPr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通过率</w:t>
            </w:r>
          </w:p>
        </w:tc>
        <w:tc>
          <w:tcPr>
            <w:tcW w:type="pct" w:w="5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2D3748"/>
                <w:sz w:val="20"/>
                <w:szCs w:val="20"/>
              </w:rPr>
              <w:t xml:space="preserve">【填写】</w:t>
            </w:r>
          </w:p>
        </w:tc>
      </w:tr>
    </w:tbl>
    <w:p>
      <w:pPr>
        <w:spacing w:after="200" w:before="200"/>
        <w:jc w:val="center"/>
      </w:pPr>
      <w:r>
        <w:rPr>
          <w:color w:val="D0D0D0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120" w:line="300"/>
        <w:ind w:left="360"/>
      </w:pPr>
      <w:r>
        <w:rPr>
          <w:rFonts w:ascii="Calibri" w:eastAsia="SimHei"/>
          <w:b/>
          <w:bCs/>
          <w:color w:val="D4875A"/>
          <w:sz w:val="20"/>
          <w:szCs w:val="20"/>
        </w:rPr>
        <w:t xml:space="preserve">ℹ️ 说明：</w:t>
      </w:r>
      <w:r>
        <w:rPr>
          <w:rFonts w:ascii="Calibri" w:eastAsia="Microsoft YaHei"/>
          <w:color w:val="607080"/>
          <w:sz w:val="20"/>
          <w:szCs w:val="20"/>
        </w:rPr>
        <w:t xml:space="preserve">本模板由测试人员根据产品经理输出的 PRD 文档编写。测试用例应覆盖所有功能点和异常场景，确保产品质量。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AA6B2"/>
        <w:sz w:val="16"/>
        <w:szCs w:val="16"/>
      </w:rPr>
      <w:t xml:space="preserve">测试用例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D3748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00"/>
    </w:pPr>
    <w:rPr>
      <w:rFonts w:ascii="Calibri" w:eastAsia="Sim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 w:line="300"/>
    </w:pPr>
    <w:rPr>
      <w:rFonts w:ascii="Calibri" w:eastAsia="SimHei"/>
      <w:b/>
      <w:bCs/>
      <w:color w:val="1A23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00"/>
    </w:pPr>
    <w:rPr>
      <w:rFonts w:ascii="Calibri" w:eastAsia="SimHei"/>
      <w:b/>
      <w:bCs/>
      <w:color w:val="1A233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2026-04-30T13:00:10.677Z</dcterms:created>
  <dcterms:modified xsi:type="dcterms:W3CDTF">2026-04-30T13:00:10.677Z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