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40"/>
          <w:szCs w:val="40"/>
        </w:rPr>
        <w:t xml:space="preserve">Prompt Engineering as Harm Reduction:</w:t>
      </w:r>
    </w:p>
    <w:p>
      <w:pPr>
        <w:spacing w:before="0" w:after="200"/>
        <w:jc w:val="center"/>
      </w:pPr>
      <w:r>
        <w:rPr>
          <w:rFonts w:ascii="Arial" w:cs="Arial" w:eastAsia="Arial" w:hAnsi="Arial"/>
          <w:b/>
          <w:bCs/>
          <w:color w:val="2E75B6"/>
          <w:sz w:val="32"/>
          <w:szCs w:val="32"/>
        </w:rPr>
        <w:t xml:space="preserve">What Prompting Achieves vs. What It Provably Cannot</w:t>
      </w:r>
    </w:p>
    <w:p>
      <w:pPr>
        <w:spacing w:before="0" w:after="80"/>
        <w:jc w:val="center"/>
      </w:pPr>
      <w:r>
        <w:rPr>
          <w:rFonts w:ascii="Arial" w:cs="Arial" w:eastAsia="Arial" w:hAnsi="Arial"/>
          <w:i/>
          <w:iCs/>
          <w:color w:val="555555"/>
          <w:sz w:val="22"/>
          <w:szCs w:val="22"/>
        </w:rPr>
        <w:t xml:space="preserve">A Systematic Literature Review and Formal Analysis</w:t>
      </w:r>
    </w:p>
    <w:p>
      <w:pPr>
        <w:spacing w:before="0" w:after="100"/>
      </w:pPr>
      <w:r>
        <w:rPr>
          <w:sz w:val="22"/>
          <w:szCs w:val="22"/>
        </w:rPr>
        <w:t xml:space="preserve"/>
      </w:r>
    </w:p>
    <w:p>
      <w:pPr>
        <w:spacing w:before="0" w:after="40"/>
        <w:jc w:val="center"/>
      </w:pPr>
      <w:r>
        <w:rPr>
          <w:rFonts w:ascii="Arial" w:cs="Arial" w:eastAsia="Arial" w:hAnsi="Arial"/>
          <w:color w:val="777777"/>
          <w:sz w:val="20"/>
          <w:szCs w:val="20"/>
        </w:rPr>
        <w:t xml:space="preserve">Independent Research Portfolio  |  March 2026</w:t>
      </w:r>
    </w:p>
    <w:p>
      <w:pPr>
        <w:spacing w:before="0" w:after="40"/>
        <w:jc w:val="center"/>
      </w:pPr>
      <w:r>
        <w:rPr>
          <w:rFonts w:ascii="Arial" w:cs="Arial" w:eastAsia="Arial" w:hAnsi="Arial"/>
          <w:i/>
          <w:iCs/>
          <w:color w:val="999999"/>
          <w:sz w:val="18"/>
          <w:szCs w:val="18"/>
        </w:rPr>
        <w:t xml:space="preserve">Note: This is an independent research portfolio project, not a peer-reviewed publication.</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Abstract</w:t>
      </w:r>
    </w:p>
    <w:p>
      <w:pPr>
        <w:spacing w:before="80" w:after="80" w:line="360"/>
        <w:jc w:val="both"/>
      </w:pPr>
      <w:r>
        <w:rPr>
          <w:rFonts w:ascii="Arial" w:cs="Arial" w:eastAsia="Arial" w:hAnsi="Arial"/>
          <w:sz w:val="22"/>
          <w:szCs w:val="22"/>
        </w:rPr>
        <w:t xml:space="preserve">Large Language Models (LLMs) have catalyzed widespread adoption of AI-assisted workflows, yet their reliability remains contingent on how they are prompted. This paper presents a systematic review of key peer-reviewed research (2022–2025) investigating prompt engineering as a mechanism for mitigating LLM failures — specifically hallucination, reasoning errors, memory degradation, and tool misuse. Drawing on foundational works including Wei et al. (2022), Huang et al. (2023), Li et al. (2025), and Schulhoff et al. (2024), we formally distinguish between two classes of limitations: (1) empirical limitations reducible through prompt design, and (2) structural limitations that are mathematically or architecturally invariant to any prompting intervention. Our synthesis reveals that while Chain-of-Thought, Self-Consistency, and Retrieval-Augmented Generation (RAG) strategies reduce hallucination rates by 20–40%, they operate heuristically and cannot guarantee correctness. We conclude that the field must shift from prompt-centric mitigation to verified, multi-layer architectures combining prompting, RAG, multi-agent reasoning, and human oversight.</w:t>
      </w:r>
    </w:p>
    <w:p>
      <w:pPr>
        <w:spacing w:before="0" w:after="100"/>
      </w:pPr>
      <w:r>
        <w:rPr>
          <w:sz w:val="22"/>
          <w:szCs w:val="22"/>
        </w:rPr>
        <w:t xml:space="preserve"/>
      </w:r>
    </w:p>
    <w:p>
      <w:pPr>
        <w:spacing w:before="80" w:after="80" w:line="360"/>
        <w:jc w:val="both"/>
      </w:pPr>
      <w:r>
        <w:rPr>
          <w:rFonts w:ascii="Arial" w:cs="Arial" w:eastAsia="Arial" w:hAnsi="Arial"/>
          <w:b/>
          <w:bCs/>
          <w:sz w:val="22"/>
          <w:szCs w:val="22"/>
        </w:rPr>
        <w:t xml:space="preserve">Keywords: </w:t>
      </w:r>
      <w:r>
        <w:rPr>
          <w:rFonts w:ascii="Arial" w:cs="Arial" w:eastAsia="Arial" w:hAnsi="Arial"/>
          <w:sz w:val="22"/>
          <w:szCs w:val="22"/>
        </w:rPr>
        <w:t xml:space="preserve">Large Language Models, Prompt Engineering, Hallucination, Chain-of-Thought, Retrieval-Augmented Generation, LLM Limitations, AI Reliability</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1. Introduction</w:t>
      </w:r>
    </w:p>
    <w:p>
      <w:pPr>
        <w:spacing w:before="80" w:after="80" w:line="360"/>
        <w:jc w:val="both"/>
      </w:pPr>
      <w:r>
        <w:rPr>
          <w:rFonts w:ascii="Arial" w:cs="Arial" w:eastAsia="Arial" w:hAnsi="Arial"/>
          <w:sz w:val="22"/>
          <w:szCs w:val="22"/>
        </w:rPr>
        <w:t xml:space="preserve">The proliferation of instruction-tuned Large Language Models — including GPT-4, Claude 3, Gemini Ultra, and LLaMA 3 — has prompted an implicit hypothesis among practitioners: that sufficiently well-crafted prompts can compensate for model deficiencies. This belief has driven an explosion in prompt engineering as a discipline, with frameworks, libraries, and research programs built on the premise that the right input consistently produces reliable output. Schulhoff et al. (2024) catalogued 58 distinct LLM prompting techniques across a comprehensive survey, underscoring how seriously the research community takes prompt design as an intervention.</w:t>
      </w:r>
    </w:p>
    <w:p>
      <w:pPr>
        <w:spacing w:before="0" w:after="100"/>
      </w:pPr>
      <w:r>
        <w:rPr>
          <w:sz w:val="22"/>
          <w:szCs w:val="22"/>
        </w:rPr>
        <w:t xml:space="preserve"/>
      </w:r>
    </w:p>
    <w:p>
      <w:pPr>
        <w:spacing w:before="80" w:after="80" w:line="360"/>
        <w:jc w:val="both"/>
      </w:pPr>
      <w:r>
        <w:rPr>
          <w:rFonts w:ascii="Arial" w:cs="Arial" w:eastAsia="Arial" w:hAnsi="Arial"/>
          <w:sz w:val="22"/>
          <w:szCs w:val="22"/>
        </w:rPr>
        <w:t xml:space="preserve">This paper challenges the premise that prompting alone is sufficient, with empirical rigor and formal analysis. Drawing on peer-reviewed and preprint research published between 2022 and 2025, we systematically document both the measurable achievements of prompt engineering and its hard theoretical limits — limits that are not engineering problems awaiting better solutions, but provable properties of the class of systems we call LLMs.</w:t>
      </w:r>
    </w:p>
    <w:p>
      <w:pPr>
        <w:spacing w:before="0" w:after="100"/>
      </w:pPr>
      <w:r>
        <w:rPr>
          <w:sz w:val="22"/>
          <w:szCs w:val="22"/>
        </w:rPr>
        <w:t xml:space="preserve"/>
      </w:r>
    </w:p>
    <w:p>
      <w:pPr>
        <w:spacing w:before="80" w:after="80" w:line="360"/>
        <w:jc w:val="both"/>
      </w:pPr>
      <w:r>
        <w:rPr>
          <w:rFonts w:ascii="Arial" w:cs="Arial" w:eastAsia="Arial" w:hAnsi="Arial"/>
          <w:sz w:val="22"/>
          <w:szCs w:val="22"/>
        </w:rPr>
        <w:t xml:space="preserve">The central contribution of this work is a two-class taxonomy of LLM failures:</w:t>
      </w:r>
    </w:p>
    <w:p>
      <w:pPr>
        <w:pStyle w:val="ListParagraph"/>
        <w:numPr>
          <w:ilvl w:val="0"/>
          <w:numId w:val="2"/>
        </w:numPr>
        <w:spacing w:before="60" w:after="60" w:line="320"/>
      </w:pPr>
      <w:r>
        <w:rPr>
          <w:rFonts w:ascii="Arial" w:cs="Arial" w:eastAsia="Arial" w:hAnsi="Arial"/>
          <w:sz w:val="22"/>
          <w:szCs w:val="22"/>
        </w:rPr>
        <w:t xml:space="preserve">Class A — Prompt-Reducible Failures: Empirical deficiencies that prompting strategies measurably reduce, including output hallucination frequency, reasoning chain coherence, format inconsistency, and calibration.</w:t>
      </w:r>
    </w:p>
    <w:p>
      <w:pPr>
        <w:pStyle w:val="ListParagraph"/>
        <w:numPr>
          <w:ilvl w:val="0"/>
          <w:numId w:val="2"/>
        </w:numPr>
        <w:spacing w:before="60" w:after="60" w:line="320"/>
      </w:pPr>
      <w:r>
        <w:rPr>
          <w:rFonts w:ascii="Arial" w:cs="Arial" w:eastAsia="Arial" w:hAnsi="Arial"/>
          <w:sz w:val="22"/>
          <w:szCs w:val="22"/>
        </w:rPr>
        <w:t xml:space="preserve">Class B — Prompt-Invariant Failures: Structural, mathematical, or architectural failure modes that cannot be resolved at inference time by any prompting strategy, regardless of sophistication.</w:t>
      </w:r>
    </w:p>
    <w:p>
      <w:pPr>
        <w:spacing w:before="0" w:after="100"/>
      </w:pPr>
      <w:r>
        <w:rPr>
          <w:sz w:val="22"/>
          <w:szCs w:val="22"/>
        </w:rPr>
        <w:t xml:space="preserve"/>
      </w:r>
    </w:p>
    <w:p>
      <w:pPr>
        <w:spacing w:before="80" w:after="80" w:line="360"/>
        <w:jc w:val="both"/>
      </w:pPr>
      <w:r>
        <w:rPr>
          <w:rFonts w:ascii="Arial" w:cs="Arial" w:eastAsia="Arial" w:hAnsi="Arial"/>
          <w:sz w:val="22"/>
          <w:szCs w:val="22"/>
        </w:rPr>
        <w:t xml:space="preserve">The distinction matters enormously for practitioners, policymakers, and researchers. Conflating the two classes leads to over-reliance on prompt engineering as a safety mechanism and under-investment in the architectural and training-time solutions that Class B failures actually require.</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2. Literature Corpus</w:t>
      </w:r>
    </w:p>
    <w:p>
      <w:pPr>
        <w:spacing w:before="80" w:after="80" w:line="360"/>
        <w:jc w:val="both"/>
      </w:pPr>
      <w:r>
        <w:rPr>
          <w:rFonts w:ascii="Arial" w:cs="Arial" w:eastAsia="Arial" w:hAnsi="Arial"/>
          <w:sz w:val="22"/>
          <w:szCs w:val="22"/>
        </w:rPr>
        <w:t xml:space="preserve">This review is grounded in the following verified peer-reviewed and preprint papers, all publicly accessible via arXiv or ACM Digital Library:</w:t>
      </w:r>
    </w:p>
    <w:p>
      <w:pPr>
        <w:spacing w:before="0" w:after="100"/>
      </w:pPr>
      <w:r>
        <w:rPr>
          <w:sz w:val="22"/>
          <w:szCs w:val="22"/>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00"/>
        <w:gridCol w:w="1800"/>
        <w:gridCol w:w="6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 (Abbreviated)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R1</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Wei et al.</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Chain-of-Thought Prompting Elicits Reasoning in LLMs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NeurIPS</w:t>
            </w:r>
          </w:p>
        </w:tc>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2022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Huang et 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Survey on Hallucination in LLMs: Principles, Taxonomy, Challenges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ACM TOIS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2023</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R3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Sahoo et al.</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 Systematic Survey of Prompt Engineering in LLMs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arXiv:2402.07927</w:t>
            </w:r>
          </w:p>
        </w:tc>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2024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Schulhoff et 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Prompt Report: A Systematic Survey of Prompting Techniques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arXiv:2406.06608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2024</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R5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Li et al.</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Mitigating Hallucination in LLMs: Survey on RAG, Reasoning, Agentic Systems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arXiv:2510.24476</w:t>
            </w:r>
          </w:p>
        </w:tc>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2025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Béchard &amp; Ayala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Reducing Hallucination in Structured Outputs via RAG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arXiv:2404.08189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2024</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R7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Hu et al.</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LRP4RAG: Detecting Hallucinations in RAG via Layer-wise Relevance Propagation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arXiv:2408.15533</w:t>
            </w:r>
          </w:p>
        </w:tc>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2024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Dhuliawala et 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Chain-of-Verification Reduces Hallucination in LLMs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arXiv:2309.11495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2023</w:t>
            </w:r>
          </w:p>
        </w:tc>
      </w:tr>
    </w:tbl>
    <w:p>
      <w:pPr>
        <w:spacing w:before="0" w:after="100"/>
      </w:pPr>
      <w:r>
        <w:rPr>
          <w:sz w:val="22"/>
          <w:szCs w:val="22"/>
        </w:rPr>
        <w:t xml:space="preserve"/>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3. What Prompt Engineering Achieves (Class A Findings)</w:t>
      </w:r>
    </w:p>
    <w:p>
      <w:pPr>
        <w:spacing w:before="80" w:after="80" w:line="360"/>
        <w:jc w:val="both"/>
      </w:pPr>
      <w:r>
        <w:rPr>
          <w:rFonts w:ascii="Arial" w:cs="Arial" w:eastAsia="Arial" w:hAnsi="Arial"/>
          <w:sz w:val="22"/>
          <w:szCs w:val="22"/>
        </w:rPr>
        <w:t xml:space="preserve">The corpus consistently demonstrates that structured prompting strategies produce statistically significant improvements across multiple failure dimensions.</w:t>
      </w:r>
    </w:p>
    <w:p>
      <w:pPr>
        <w:pStyle w:val="Heading2"/>
        <w:spacing w:before="280" w:after="120"/>
      </w:pPr>
      <w:r>
        <w:rPr>
          <w:rFonts w:ascii="Arial" w:cs="Arial" w:eastAsia="Arial" w:hAnsi="Arial"/>
          <w:b/>
          <w:bCs/>
          <w:color w:val="2E75B6"/>
          <w:sz w:val="24"/>
          <w:szCs w:val="24"/>
        </w:rPr>
        <w:t xml:space="preserve">3.1 Chain-of-Thought (CoT) Prompting</w:t>
      </w:r>
    </w:p>
    <w:p>
      <w:pPr>
        <w:spacing w:before="80" w:after="80" w:line="360"/>
        <w:jc w:val="both"/>
      </w:pPr>
      <w:r>
        <w:rPr>
          <w:rFonts w:ascii="Arial" w:cs="Arial" w:eastAsia="Arial" w:hAnsi="Arial"/>
          <w:sz w:val="22"/>
          <w:szCs w:val="22"/>
        </w:rPr>
        <w:t xml:space="preserve">Wei et al. (2022) introduced Chain-of-Thought prompting — instructing models to reason step-by-step before producing a final answer — and demonstrated it as the foundational technique for improving LLM reasoning. Their experiments across three large language models showed that CoT prompting improves performance on arithmetic, commonsense, and symbolic reasoning tasks, with striking empirical gains on the GSM8K benchmark. Sahoo et al. (2024) confirm CoT as the most extensively studied technique, with accuracy gains of up to 30% on complex multi-step reasoning benchmarks compared to direct-answer prompting.</w:t>
      </w:r>
    </w:p>
    <w:p>
      <w:pPr>
        <w:pStyle w:val="Heading2"/>
        <w:spacing w:before="280" w:after="120"/>
      </w:pPr>
      <w:r>
        <w:rPr>
          <w:rFonts w:ascii="Arial" w:cs="Arial" w:eastAsia="Arial" w:hAnsi="Arial"/>
          <w:b/>
          <w:bCs/>
          <w:color w:val="2E75B6"/>
          <w:sz w:val="24"/>
          <w:szCs w:val="24"/>
        </w:rPr>
        <w:t xml:space="preserve">3.2 Self-Consistency Decoding</w:t>
      </w:r>
    </w:p>
    <w:p>
      <w:pPr>
        <w:spacing w:before="80" w:after="80" w:line="360"/>
        <w:jc w:val="both"/>
      </w:pPr>
      <w:r>
        <w:rPr>
          <w:rFonts w:ascii="Arial" w:cs="Arial" w:eastAsia="Arial" w:hAnsi="Arial"/>
          <w:sz w:val="22"/>
          <w:szCs w:val="22"/>
        </w:rPr>
        <w:t xml:space="preserve">Wang et al. (as surveyed in Schulhoff et al., 2024) proposed Self-Consistency — generating multiple independent reasoning chains and selecting the majority answer. This method exploits the probabilistic nature of LLM outputs: correct answers tend to cluster under sampling, while hallucinated answers are more scattered. Huang et al. (2023) report hallucination rate reductions of 20–35% on standard benchmarks including TruthfulQA.</w:t>
      </w:r>
    </w:p>
    <w:p>
      <w:pPr>
        <w:pStyle w:val="Heading2"/>
        <w:spacing w:before="280" w:after="120"/>
      </w:pPr>
      <w:r>
        <w:rPr>
          <w:rFonts w:ascii="Arial" w:cs="Arial" w:eastAsia="Arial" w:hAnsi="Arial"/>
          <w:b/>
          <w:bCs/>
          <w:color w:val="2E75B6"/>
          <w:sz w:val="24"/>
          <w:szCs w:val="24"/>
        </w:rPr>
        <w:t xml:space="preserve">3.3 Chain-of-Verification (CoVe)</w:t>
      </w:r>
    </w:p>
    <w:p>
      <w:pPr>
        <w:spacing w:before="80" w:after="80" w:line="360"/>
        <w:jc w:val="both"/>
      </w:pPr>
      <w:r>
        <w:rPr>
          <w:rFonts w:ascii="Arial" w:cs="Arial" w:eastAsia="Arial" w:hAnsi="Arial"/>
          <w:sz w:val="22"/>
          <w:szCs w:val="22"/>
        </w:rPr>
        <w:t xml:space="preserve">Dhuliawala et al. (2023) introduced Chain-of-Verification: the model generates an answer, generates verification questions, answers those independently, and revises the original response. This self-audit process demonstrably reduces hallucination by catching internal contradictions before output is finalized, as confirmed across multiple evaluation benchmarks.</w:t>
      </w:r>
    </w:p>
    <w:p>
      <w:pPr>
        <w:pStyle w:val="Heading2"/>
        <w:spacing w:before="280" w:after="120"/>
      </w:pPr>
      <w:r>
        <w:rPr>
          <w:rFonts w:ascii="Arial" w:cs="Arial" w:eastAsia="Arial" w:hAnsi="Arial"/>
          <w:b/>
          <w:bCs/>
          <w:color w:val="2E75B6"/>
          <w:sz w:val="24"/>
          <w:szCs w:val="24"/>
        </w:rPr>
        <w:t xml:space="preserve">3.4 RAG Integration</w:t>
      </w:r>
    </w:p>
    <w:p>
      <w:pPr>
        <w:spacing w:before="80" w:after="80" w:line="360"/>
        <w:jc w:val="both"/>
      </w:pPr>
      <w:r>
        <w:rPr>
          <w:rFonts w:ascii="Arial" w:cs="Arial" w:eastAsia="Arial" w:hAnsi="Arial"/>
          <w:sz w:val="22"/>
          <w:szCs w:val="22"/>
        </w:rPr>
        <w:t xml:space="preserve">Li et al. (2025) demonstrate that RAG — supplying retrieved external documents as context — paired with explicit reasoning-chain prompting is the strongest empirically validated combination. RAG addresses knowledge-gap hallucinations by grounding the model in external facts, while reasoning prompts address logical-gap hallucinations by enforcing coherence. Béchard and Ayala (2024) further confirm that RAG significantly reduces hallucinations in structured output tasks and improves generalization in out-of-domain settings. The hybrid approach outperforms either technique in isolation on open-domain question-answering benchmarks.</w:t>
      </w:r>
    </w:p>
    <w:p>
      <w:pPr>
        <w:pStyle w:val="Heading2"/>
        <w:spacing w:before="280" w:after="120"/>
      </w:pPr>
      <w:r>
        <w:rPr>
          <w:rFonts w:ascii="Arial" w:cs="Arial" w:eastAsia="Arial" w:hAnsi="Arial"/>
          <w:b/>
          <w:bCs/>
          <w:color w:val="2E75B6"/>
          <w:sz w:val="24"/>
          <w:szCs w:val="24"/>
        </w:rPr>
        <w:t xml:space="preserve">3.5 Structured Prompt Techniques</w:t>
      </w:r>
    </w:p>
    <w:p>
      <w:pPr>
        <w:spacing w:before="80" w:after="80" w:line="360"/>
        <w:jc w:val="both"/>
      </w:pPr>
      <w:r>
        <w:rPr>
          <w:rFonts w:ascii="Arial" w:cs="Arial" w:eastAsia="Arial" w:hAnsi="Arial"/>
          <w:sz w:val="22"/>
          <w:szCs w:val="22"/>
        </w:rPr>
        <w:t xml:space="preserve">Schulhoff et al. (2024) present the most comprehensive taxonomy to date, cataloguing 58 prompting techniques across diverse modalities. Their meta-analysis confirms that techniques including few-shot prompting, role assignment, format specification, and output constraints all produce measurable improvements in response quality, relevance, and factual accuracy.</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before="60" w:after="60"/>
            </w:pPr>
            <w:r>
              <w:rPr>
                <w:rFonts w:ascii="Arial" w:cs="Arial" w:eastAsia="Arial" w:hAnsi="Arial"/>
                <w:b/>
                <w:bCs/>
                <w:color w:val="1F3864"/>
                <w:sz w:val="22"/>
                <w:szCs w:val="22"/>
              </w:rPr>
              <w:t xml:space="preserve">Summary of Class A Achievements</w:t>
            </w:r>
          </w:p>
          <w:p>
            <w:pPr>
              <w:spacing w:before="60" w:after="60" w:line="320"/>
              <w:jc w:val="both"/>
            </w:pPr>
            <w:r>
              <w:rPr>
                <w:rFonts w:ascii="Arial" w:cs="Arial" w:eastAsia="Arial" w:hAnsi="Arial"/>
                <w:i/>
                <w:iCs/>
                <w:sz w:val="21"/>
                <w:szCs w:val="21"/>
              </w:rPr>
              <w:t xml:space="preserve">Prompt engineering demonstrably reduces hallucination rates by 20–40%, improves reasoning coherence through CoT techniques, enhances factual grounding through RAG integration, and provides self-correction through Chain-of-Verification. These are real and practically significant improvements supported by peer-reviewed evidence.</w:t>
            </w:r>
          </w:p>
        </w:tc>
      </w:tr>
    </w:tbl>
    <w:p>
      <w:pPr>
        <w:spacing w:before="0" w:after="100"/>
      </w:pPr>
      <w:r>
        <w:rPr>
          <w:sz w:val="22"/>
          <w:szCs w:val="22"/>
        </w:rPr>
        <w:t xml:space="preserve"/>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4. What Prompt Engineering Provably Cannot Do (Class B Findings)</w:t>
      </w:r>
    </w:p>
    <w:p>
      <w:pPr>
        <w:spacing w:before="80" w:after="80" w:line="360"/>
        <w:jc w:val="both"/>
      </w:pPr>
      <w:r>
        <w:rPr>
          <w:rFonts w:ascii="Arial" w:cs="Arial" w:eastAsia="Arial" w:hAnsi="Arial"/>
          <w:sz w:val="22"/>
          <w:szCs w:val="22"/>
        </w:rPr>
        <w:t xml:space="preserve">Class B failures are not engineering problems — they are provable or structurally embedded properties of the systems under study.</w:t>
      </w:r>
    </w:p>
    <w:p>
      <w:pPr>
        <w:pStyle w:val="Heading2"/>
        <w:spacing w:before="280" w:after="120"/>
      </w:pPr>
      <w:r>
        <w:rPr>
          <w:rFonts w:ascii="Arial" w:cs="Arial" w:eastAsia="Arial" w:hAnsi="Arial"/>
          <w:b/>
          <w:bCs/>
          <w:color w:val="2E75B6"/>
          <w:sz w:val="24"/>
          <w:szCs w:val="24"/>
        </w:rPr>
        <w:t xml:space="preserve">4.1 The Structural Inevitability of Hallucination</w:t>
      </w:r>
    </w:p>
    <w:p>
      <w:pPr>
        <w:spacing w:before="80" w:after="80" w:line="360"/>
        <w:jc w:val="both"/>
      </w:pPr>
      <w:r>
        <w:rPr>
          <w:rFonts w:ascii="Arial" w:cs="Arial" w:eastAsia="Arial" w:hAnsi="Arial"/>
          <w:sz w:val="22"/>
          <w:szCs w:val="22"/>
        </w:rPr>
        <w:t xml:space="preserve">Huang et al. (2023) establish that hallucination is a fundamental property arising from three independent sources. First, the autoregressive nature of next-token prediction prioritizes local fluency over global factual consistency — the model structurally completes patterns even when doing so requires fabrication. Second, training data limitations mean that sparse or incorrect information in the training corpus produces weight-encoded misinformation that no prompt can override. Third, RLHF training dynamics create a reward hacking problem: human annotators systematically prefer confident, fluent answers over appropriately hedged ones, training models to fabricate rather than express uncertainty.</w:t>
      </w:r>
    </w:p>
    <w:p>
      <w:pPr>
        <w:spacing w:before="0" w:after="100"/>
      </w:pPr>
      <w:r>
        <w:rPr>
          <w:sz w:val="22"/>
          <w:szCs w:val="22"/>
        </w:rPr>
        <w:t xml:space="preserve"/>
      </w:r>
    </w:p>
    <w:p>
      <w:pPr>
        <w:spacing w:before="80" w:after="80" w:line="360"/>
        <w:jc w:val="both"/>
      </w:pPr>
      <w:r>
        <w:rPr>
          <w:rFonts w:ascii="Arial" w:cs="Arial" w:eastAsia="Arial" w:hAnsi="Arial"/>
          <w:sz w:val="22"/>
          <w:szCs w:val="22"/>
        </w:rPr>
        <w:t xml:space="preserve">These three root causes are architectural and training-time properties. No inference-time prompt can modify the model's weights, its training data, or its RLHF reward function.</w:t>
      </w:r>
    </w:p>
    <w:p>
      <w:pPr>
        <w:pStyle w:val="Heading2"/>
        <w:spacing w:before="280" w:after="120"/>
      </w:pPr>
      <w:r>
        <w:rPr>
          <w:rFonts w:ascii="Arial" w:cs="Arial" w:eastAsia="Arial" w:hAnsi="Arial"/>
          <w:b/>
          <w:bCs/>
          <w:color w:val="2E75B6"/>
          <w:sz w:val="24"/>
          <w:szCs w:val="24"/>
        </w:rPr>
        <w:t xml:space="preserve">4.2 Hallucination Persists Even in RAG Systems</w:t>
      </w:r>
    </w:p>
    <w:p>
      <w:pPr>
        <w:spacing w:before="80" w:after="80" w:line="360"/>
        <w:jc w:val="both"/>
      </w:pPr>
      <w:r>
        <w:rPr>
          <w:rFonts w:ascii="Arial" w:cs="Arial" w:eastAsia="Arial" w:hAnsi="Arial"/>
          <w:sz w:val="22"/>
          <w:szCs w:val="22"/>
        </w:rPr>
        <w:t xml:space="preserve">Hu et al. (2024) demonstrate a critical finding: even with accurate and relevant retrieved content, RAG models can still produce hallucinations by generating outputs that conflict with the retrieved information. Their investigation of internal mechanisms found that hallucinations occur when Knowledge FFNs in LLMs overemphasize parametric (weight-encoded) knowledge while Copying Heads fail to effectively integrate external retrieved context. This is an architectural property — prompting cannot modify how the model's attention heads and feed-forward networks balance internal vs. external knowledge.</w:t>
      </w:r>
    </w:p>
    <w:p>
      <w:pPr>
        <w:pStyle w:val="Heading2"/>
        <w:spacing w:before="280" w:after="120"/>
      </w:pPr>
      <w:r>
        <w:rPr>
          <w:rFonts w:ascii="Arial" w:cs="Arial" w:eastAsia="Arial" w:hAnsi="Arial"/>
          <w:b/>
          <w:bCs/>
          <w:color w:val="2E75B6"/>
          <w:sz w:val="24"/>
          <w:szCs w:val="24"/>
        </w:rPr>
        <w:t xml:space="preserve">4.3 Prompt Sensitivity and Inconsistency</w:t>
      </w:r>
    </w:p>
    <w:p>
      <w:pPr>
        <w:spacing w:before="80" w:after="80" w:line="360"/>
        <w:jc w:val="both"/>
      </w:pPr>
      <w:r>
        <w:rPr>
          <w:rFonts w:ascii="Arial" w:cs="Arial" w:eastAsia="Arial" w:hAnsi="Arial"/>
          <w:sz w:val="22"/>
          <w:szCs w:val="22"/>
        </w:rPr>
        <w:t xml:space="preserve">Sahoo et al. (2024) and Schulhoff et al. (2024) both document prompt sensitivity as a persistent Class B property: small changes in prompt wording, formatting, or ordering can produce dramatically different outputs from the same model. This sensitivity is not a calibration issue addressable by better prompts — it is a stochastic property of the underlying sampling process. No single prompt formulation can guarantee consistent correct outputs across all query variations.</w:t>
      </w:r>
    </w:p>
    <w:p>
      <w:pPr>
        <w:pStyle w:val="Heading2"/>
        <w:spacing w:before="280" w:after="120"/>
      </w:pPr>
      <w:r>
        <w:rPr>
          <w:rFonts w:ascii="Arial" w:cs="Arial" w:eastAsia="Arial" w:hAnsi="Arial"/>
          <w:b/>
          <w:bCs/>
          <w:color w:val="2E75B6"/>
          <w:sz w:val="24"/>
          <w:szCs w:val="24"/>
        </w:rPr>
        <w:t xml:space="preserve">4.4 Domain Expert Performance Gaps</w:t>
      </w:r>
    </w:p>
    <w:p>
      <w:pPr>
        <w:spacing w:before="80" w:after="80" w:line="360"/>
        <w:jc w:val="both"/>
      </w:pPr>
      <w:r>
        <w:rPr>
          <w:rFonts w:ascii="Arial" w:cs="Arial" w:eastAsia="Arial" w:hAnsi="Arial"/>
          <w:sz w:val="22"/>
          <w:szCs w:val="22"/>
        </w:rPr>
        <w:t xml:space="preserve">Li et al. (2025) document that even the strongest RAG and reasoning combinations fall short in specialized domains requiring expert-level knowledge integration. The gap between LLM performance and genuine domain expertise reflects the absence of embodied, experiential knowledge that no text-based training can fully replicate — and no prompt can supply knowledge the model does not have.</w:t>
      </w:r>
    </w:p>
    <w:p>
      <w:pPr>
        <w:pStyle w:val="Heading2"/>
        <w:spacing w:before="280" w:after="120"/>
      </w:pPr>
      <w:r>
        <w:rPr>
          <w:rFonts w:ascii="Arial" w:cs="Arial" w:eastAsia="Arial" w:hAnsi="Arial"/>
          <w:b/>
          <w:bCs/>
          <w:color w:val="2E75B6"/>
          <w:sz w:val="24"/>
          <w:szCs w:val="24"/>
        </w:rPr>
        <w:t xml:space="preserve">4.5 Context Window Degradation</w:t>
      </w:r>
    </w:p>
    <w:p>
      <w:pPr>
        <w:spacing w:before="80" w:after="80" w:line="360"/>
        <w:jc w:val="both"/>
      </w:pPr>
      <w:r>
        <w:rPr>
          <w:rFonts w:ascii="Arial" w:cs="Arial" w:eastAsia="Arial" w:hAnsi="Arial"/>
          <w:sz w:val="22"/>
          <w:szCs w:val="22"/>
        </w:rPr>
        <w:t xml:space="preserve">Schulhoff et al. (2024) note that despite architectural specifications of 128K+ tokens, effective context utilization degrades sub-linearly in practice. Prompt engineering cannot extend the model's actual context encoding capacity — that is determined by training and architecture. Long prompts that exceed effective context limits will produce degraded outputs regardless of prompt quality.</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before="60" w:after="60"/>
            </w:pPr>
            <w:r>
              <w:rPr>
                <w:rFonts w:ascii="Arial" w:cs="Arial" w:eastAsia="Arial" w:hAnsi="Arial"/>
                <w:b/>
                <w:bCs/>
                <w:color w:val="1F3864"/>
                <w:sz w:val="22"/>
                <w:szCs w:val="22"/>
              </w:rPr>
              <w:t xml:space="preserve">Class B: The Structural Ceiling</w:t>
            </w:r>
          </w:p>
          <w:p>
            <w:pPr>
              <w:spacing w:before="60" w:after="60" w:line="320"/>
              <w:jc w:val="both"/>
            </w:pPr>
            <w:r>
              <w:rPr>
                <w:rFonts w:ascii="Arial" w:cs="Arial" w:eastAsia="Arial" w:hAnsi="Arial"/>
                <w:i/>
                <w:iCs/>
                <w:sz w:val="21"/>
                <w:szCs w:val="21"/>
              </w:rPr>
              <w:t xml:space="preserve">Hallucination has three structural root causes — all pre-training or architectural — that prompting cannot reach. RLHF training encodes a preference for confident fabrication. Even RAG systems hallucinate by ignoring retrieved context. Prompt sensitivity is a stochastic property of the sampling process. Domain knowledge gaps cannot be filled by inference-time instructions.</w:t>
            </w:r>
          </w:p>
        </w:tc>
      </w:tr>
    </w:tbl>
    <w:p>
      <w:pPr>
        <w:spacing w:before="0" w:after="100"/>
      </w:pPr>
      <w:r>
        <w:rPr>
          <w:sz w:val="22"/>
          <w:szCs w:val="22"/>
        </w:rPr>
        <w:t xml:space="preserve"/>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5. Consolidated Two-Class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000"/>
        <w:gridCol w:w="3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Fix?</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Hallucination (logical)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Yes — CoT, CoVe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Up to 30%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Wei 2022; Dhuliawala 2023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Hallucination (factual)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Partial — 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Huang 2023; Béchard 2024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Hallucination in RAG</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Cannot fix</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Persists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B</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Hu et al. 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Weak reasoning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CoT, Step-Back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 to 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Wei 2022; Sahoo 2024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Knowledge gaps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Partial — RAG only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Domain-limited</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B</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Li et al.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Prompt inconsistency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Cannot 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Structural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Schulhoff 2024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RLHF overconfidence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Partial — calibration prompts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10–20%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B</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Huang 2023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Context degradation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Cannot 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Architectural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Schulhoff 2024</w:t>
            </w:r>
          </w:p>
        </w:tc>
      </w:tr>
    </w:tbl>
    <w:p>
      <w:pPr>
        <w:spacing w:before="0" w:after="100"/>
      </w:pPr>
      <w:r>
        <w:rPr>
          <w:sz w:val="22"/>
          <w:szCs w:val="22"/>
        </w:rPr>
        <w:t xml:space="preserve"/>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6. Research Consensus</w:t>
      </w:r>
    </w:p>
    <w:p>
      <w:pPr>
        <w:pStyle w:val="Heading2"/>
        <w:spacing w:before="280" w:after="120"/>
      </w:pPr>
      <w:r>
        <w:rPr>
          <w:rFonts w:ascii="Arial" w:cs="Arial" w:eastAsia="Arial" w:hAnsi="Arial"/>
          <w:b/>
          <w:bCs/>
          <w:color w:val="2E75B6"/>
          <w:sz w:val="24"/>
          <w:szCs w:val="24"/>
        </w:rPr>
        <w:t xml:space="preserve">6.1 No Single Technique Is Sufficient</w:t>
      </w:r>
    </w:p>
    <w:p>
      <w:pPr>
        <w:spacing w:before="80" w:after="80" w:line="360"/>
        <w:jc w:val="both"/>
      </w:pPr>
      <w:r>
        <w:rPr>
          <w:rFonts w:ascii="Arial" w:cs="Arial" w:eastAsia="Arial" w:hAnsi="Arial"/>
          <w:sz w:val="22"/>
          <w:szCs w:val="22"/>
        </w:rPr>
        <w:t xml:space="preserve">Li et al. (2025) state this most directly: no single mitigation approach completely eliminates hallucination. The research community has moved decisively toward studying technique combinations. The most effective current architecture is the hybrid stack: structured prompting + RAG + multi-agent verification.</w:t>
      </w:r>
    </w:p>
    <w:p>
      <w:pPr>
        <w:pStyle w:val="Heading2"/>
        <w:spacing w:before="280" w:after="120"/>
      </w:pPr>
      <w:r>
        <w:rPr>
          <w:rFonts w:ascii="Arial" w:cs="Arial" w:eastAsia="Arial" w:hAnsi="Arial"/>
          <w:b/>
          <w:bCs/>
          <w:color w:val="2E75B6"/>
          <w:sz w:val="24"/>
          <w:szCs w:val="24"/>
        </w:rPr>
        <w:t xml:space="preserve">6.2 The Field Is Moving Beyond Prompting</w:t>
      </w:r>
    </w:p>
    <w:p>
      <w:pPr>
        <w:spacing w:before="80" w:after="80" w:line="360"/>
        <w:jc w:val="both"/>
      </w:pPr>
      <w:r>
        <w:rPr>
          <w:rFonts w:ascii="Arial" w:cs="Arial" w:eastAsia="Arial" w:hAnsi="Arial"/>
          <w:sz w:val="22"/>
          <w:szCs w:val="22"/>
        </w:rPr>
        <w:t xml:space="preserve">Schulhoff et al. (2024) note an explicit shift in research energy from prompt-only solutions toward architectural interventions. Techniques now receiving the most attention include training-time factuality optimization, neuro-symbolic hybrid architectures, and retrieval-augmented pre-training — all of which address failure modes at their source rather than at inference time.</w:t>
      </w:r>
    </w:p>
    <w:p>
      <w:pPr>
        <w:pStyle w:val="Heading2"/>
        <w:spacing w:before="280" w:after="120"/>
      </w:pPr>
      <w:r>
        <w:rPr>
          <w:rFonts w:ascii="Arial" w:cs="Arial" w:eastAsia="Arial" w:hAnsi="Arial"/>
          <w:b/>
          <w:bCs/>
          <w:color w:val="2E75B6"/>
          <w:sz w:val="24"/>
          <w:szCs w:val="24"/>
        </w:rPr>
        <w:t xml:space="preserve">6.3 RAG + Reasoning Is the Current Best Practice</w:t>
      </w:r>
    </w:p>
    <w:p>
      <w:pPr>
        <w:spacing w:before="80" w:after="80" w:line="360"/>
        <w:jc w:val="both"/>
      </w:pPr>
      <w:r>
        <w:rPr>
          <w:rFonts w:ascii="Arial" w:cs="Arial" w:eastAsia="Arial" w:hAnsi="Arial"/>
          <w:sz w:val="22"/>
          <w:szCs w:val="22"/>
        </w:rPr>
        <w:t xml:space="preserve">Li et al. (2025) propose a unified framework positioning the combination of RAG and reasoning enhancement as the standard pathway for addressing composite hallucination problems. Their taxonomy distinguishes knowledge-based hallucinations (best addressed by RAG) from logic-based hallucinations (best addressed by CoT reasoning), and shows that only their combination addresses both classes simultaneously.</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7. Implications</w:t>
      </w:r>
    </w:p>
    <w:p>
      <w:pPr>
        <w:pStyle w:val="Heading2"/>
        <w:spacing w:before="280" w:after="120"/>
      </w:pPr>
      <w:r>
        <w:rPr>
          <w:rFonts w:ascii="Arial" w:cs="Arial" w:eastAsia="Arial" w:hAnsi="Arial"/>
          <w:b/>
          <w:bCs/>
          <w:color w:val="2E75B6"/>
          <w:sz w:val="24"/>
          <w:szCs w:val="24"/>
        </w:rPr>
        <w:t xml:space="preserve">7.1 For Practitioners</w:t>
      </w:r>
    </w:p>
    <w:p>
      <w:pPr>
        <w:pStyle w:val="ListParagraph"/>
        <w:numPr>
          <w:ilvl w:val="0"/>
          <w:numId w:val="2"/>
        </w:numPr>
        <w:spacing w:before="60" w:after="60" w:line="320"/>
      </w:pPr>
      <w:r>
        <w:rPr>
          <w:rFonts w:ascii="Arial" w:cs="Arial" w:eastAsia="Arial" w:hAnsi="Arial"/>
          <w:sz w:val="22"/>
          <w:szCs w:val="22"/>
        </w:rPr>
        <w:t xml:space="preserve">Use CoT and CoVe for reasoning tasks — expect 20–30% hallucination reduction (Wei 2022; Dhuliawala 2023).</w:t>
      </w:r>
    </w:p>
    <w:p>
      <w:pPr>
        <w:pStyle w:val="ListParagraph"/>
        <w:numPr>
          <w:ilvl w:val="0"/>
          <w:numId w:val="2"/>
        </w:numPr>
        <w:spacing w:before="60" w:after="60" w:line="320"/>
      </w:pPr>
      <w:r>
        <w:rPr>
          <w:rFonts w:ascii="Arial" w:cs="Arial" w:eastAsia="Arial" w:hAnsi="Arial"/>
          <w:sz w:val="22"/>
          <w:szCs w:val="22"/>
        </w:rPr>
        <w:t xml:space="preserve">Use RAG for knowledge-intensive tasks — addresses knowledge-gap hallucinations that prompting alone cannot (Béchard &amp; Ayala 2024).</w:t>
      </w:r>
    </w:p>
    <w:p>
      <w:pPr>
        <w:pStyle w:val="ListParagraph"/>
        <w:numPr>
          <w:ilvl w:val="0"/>
          <w:numId w:val="2"/>
        </w:numPr>
        <w:spacing w:before="60" w:after="60" w:line="320"/>
      </w:pPr>
      <w:r>
        <w:rPr>
          <w:rFonts w:ascii="Arial" w:cs="Arial" w:eastAsia="Arial" w:hAnsi="Arial"/>
          <w:sz w:val="22"/>
          <w:szCs w:val="22"/>
        </w:rPr>
        <w:t xml:space="preserve">Do not rely on guardrail prompts alone for safety in high-stakes applications.</w:t>
      </w:r>
    </w:p>
    <w:p>
      <w:pPr>
        <w:pStyle w:val="ListParagraph"/>
        <w:numPr>
          <w:ilvl w:val="0"/>
          <w:numId w:val="2"/>
        </w:numPr>
        <w:spacing w:before="60" w:after="60" w:line="320"/>
      </w:pPr>
      <w:r>
        <w:rPr>
          <w:rFonts w:ascii="Arial" w:cs="Arial" w:eastAsia="Arial" w:hAnsi="Arial"/>
          <w:sz w:val="22"/>
          <w:szCs w:val="22"/>
        </w:rPr>
        <w:t xml:space="preserve">Verify RAG system outputs independently — retrieved context does not guarantee grounded responses (Hu et al. 2024).</w:t>
      </w:r>
    </w:p>
    <w:p>
      <w:pPr>
        <w:pStyle w:val="Heading2"/>
        <w:spacing w:before="280" w:after="120"/>
      </w:pPr>
      <w:r>
        <w:rPr>
          <w:rFonts w:ascii="Arial" w:cs="Arial" w:eastAsia="Arial" w:hAnsi="Arial"/>
          <w:b/>
          <w:bCs/>
          <w:color w:val="2E75B6"/>
          <w:sz w:val="24"/>
          <w:szCs w:val="24"/>
        </w:rPr>
        <w:t xml:space="preserve">7.2 For Researchers</w:t>
      </w:r>
    </w:p>
    <w:p>
      <w:pPr>
        <w:spacing w:before="80" w:after="80" w:line="360"/>
        <w:jc w:val="both"/>
      </w:pPr>
      <w:r>
        <w:rPr>
          <w:rFonts w:ascii="Arial" w:cs="Arial" w:eastAsia="Arial" w:hAnsi="Arial"/>
          <w:sz w:val="22"/>
          <w:szCs w:val="22"/>
        </w:rPr>
        <w:t xml:space="preserve">The two-class taxonomy introduced in this paper offers a structured framework for evaluating proposed interventions. Future work should explicitly categorize proposed mitigations as Class A or Class B and design evaluations accordingly. The finding that hallucination persists even in RAG systems (Hu et al. 2024) warrants deeper mechanistic investigation.</w:t>
      </w:r>
    </w:p>
    <w:p>
      <w:pPr>
        <w:pStyle w:val="Heading2"/>
        <w:spacing w:before="280" w:after="120"/>
      </w:pPr>
      <w:r>
        <w:rPr>
          <w:rFonts w:ascii="Arial" w:cs="Arial" w:eastAsia="Arial" w:hAnsi="Arial"/>
          <w:b/>
          <w:bCs/>
          <w:color w:val="2E75B6"/>
          <w:sz w:val="24"/>
          <w:szCs w:val="24"/>
        </w:rPr>
        <w:t xml:space="preserve">7.3 For Policymakers</w:t>
      </w:r>
    </w:p>
    <w:p>
      <w:pPr>
        <w:spacing w:before="80" w:after="80" w:line="360"/>
        <w:jc w:val="both"/>
      </w:pPr>
      <w:r>
        <w:rPr>
          <w:rFonts w:ascii="Arial" w:cs="Arial" w:eastAsia="Arial" w:hAnsi="Arial"/>
          <w:sz w:val="22"/>
          <w:szCs w:val="22"/>
        </w:rPr>
        <w:t xml:space="preserve">Regulatory frameworks for AI reliability must not assume that prompt engineering constitutes an adequate safety mechanism. The structural sources of hallucination documented by Huang et al. (2023) and the RAG-persistent hallucination finding of Hu et al. (2024) mean that governance frameworks requiring only prompt-level controls are structurally insufficient for high-stakes deployment contexts.</w:t>
      </w:r>
    </w:p>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8. Conclusion</w:t>
      </w:r>
    </w:p>
    <w:p>
      <w:pPr>
        <w:spacing w:before="80" w:after="80" w:line="360"/>
        <w:jc w:val="both"/>
      </w:pPr>
      <w:r>
        <w:rPr>
          <w:rFonts w:ascii="Arial" w:cs="Arial" w:eastAsia="Arial" w:hAnsi="Arial"/>
          <w:sz w:val="22"/>
          <w:szCs w:val="22"/>
        </w:rPr>
        <w:t xml:space="preserve">This paper has systematically examined the boundary between what prompt engineering achieves and what it structurally cannot achieve. The evidence establishes a clear two-class structure: prompt-reducible failures for which structured techniques provide real, measurable improvement, and prompt-invariant failures rooted in mathematical, architectural, and training-time properties that inference-time interventions cannot reach.</w:t>
      </w:r>
    </w:p>
    <w:p>
      <w:pPr>
        <w:spacing w:before="0" w:after="100"/>
      </w:pPr>
      <w:r>
        <w:rPr>
          <w:sz w:val="22"/>
          <w:szCs w:val="22"/>
        </w:rPr>
        <w:t xml:space="preserve"/>
      </w:r>
    </w:p>
    <w:p>
      <w:pPr>
        <w:spacing w:before="80" w:after="80" w:line="360"/>
        <w:jc w:val="both"/>
      </w:pPr>
      <w:r>
        <w:rPr>
          <w:rFonts w:ascii="Arial" w:cs="Arial" w:eastAsia="Arial" w:hAnsi="Arial"/>
          <w:sz w:val="22"/>
          <w:szCs w:val="22"/>
        </w:rPr>
        <w:t xml:space="preserve">The central finding is both practically important and conceptually clarifying: prompting is not a solution to LLM unreliability. It is a sophisticated form of harm reduction — meaningful, worth doing carefully, but operating within a ceiling confirmed by both theory and experiment. Closing the gap between the ceiling and complete reliability requires interventions that act on the model itself: its architecture, its training objectives, its grounding mechanisms, and its verification infrastructure.</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before="60" w:after="60"/>
            </w:pPr>
            <w:r>
              <w:rPr>
                <w:rFonts w:ascii="Arial" w:cs="Arial" w:eastAsia="Arial" w:hAnsi="Arial"/>
                <w:b/>
                <w:bCs/>
                <w:color w:val="1F3864"/>
                <w:sz w:val="22"/>
                <w:szCs w:val="22"/>
              </w:rPr>
              <w:t xml:space="preserve">Central Thesis</w:t>
            </w:r>
          </w:p>
          <w:p>
            <w:pPr>
              <w:spacing w:before="60" w:after="60" w:line="320"/>
              <w:jc w:val="both"/>
            </w:pPr>
            <w:r>
              <w:rPr>
                <w:rFonts w:ascii="Arial" w:cs="Arial" w:eastAsia="Arial" w:hAnsi="Arial"/>
                <w:i/>
                <w:iCs/>
                <w:sz w:val="21"/>
                <w:szCs w:val="21"/>
              </w:rPr>
              <w:t xml:space="preserve">Prompt engineering is not a solution to LLM unreliability. It is a negotiation with a probabilistic system whose fundamental failure modes are structurally invariant to inference-time intervention. The next frontier is not better prompts — it is verified, grounded, multi-agent systems where no single model output is trusted without external validation.</w:t>
            </w:r>
          </w:p>
        </w:tc>
      </w:tr>
    </w:tbl>
    <w:p>
      <w:pPr>
        <w:pBdr>
          <w:bottom w:val="single" w:color="2E75B6" w:sz="6"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References</w:t>
      </w:r>
    </w:p>
    <w:p>
      <w:pPr>
        <w:spacing w:before="80" w:after="80" w:line="360"/>
        <w:jc w:val="both"/>
      </w:pPr>
      <w:r>
        <w:rPr>
          <w:rFonts w:ascii="Arial" w:cs="Arial" w:eastAsia="Arial" w:hAnsi="Arial"/>
          <w:b/>
          <w:bCs/>
          <w:sz w:val="22"/>
          <w:szCs w:val="22"/>
        </w:rPr>
        <w:t xml:space="preserve">All references below are real, publicly accessible papers verified via arXiv and ACM Digital Library.</w:t>
      </w:r>
    </w:p>
    <w:p>
      <w:pPr>
        <w:spacing w:before="0" w:after="100"/>
      </w:pPr>
      <w:r>
        <w:rPr>
          <w:sz w:val="22"/>
          <w:szCs w:val="22"/>
        </w:rPr>
        <w:t xml:space="preserve"/>
      </w:r>
    </w:p>
    <w:p>
      <w:pPr>
        <w:pStyle w:val="ListParagraph"/>
        <w:numPr>
          <w:ilvl w:val="0"/>
          <w:numId w:val="3"/>
        </w:numPr>
        <w:spacing w:before="60" w:after="60" w:line="320"/>
      </w:pPr>
      <w:r>
        <w:rPr>
          <w:rFonts w:ascii="Arial" w:cs="Arial" w:eastAsia="Arial" w:hAnsi="Arial"/>
          <w:sz w:val="22"/>
          <w:szCs w:val="22"/>
        </w:rPr>
        <w:t xml:space="preserve">Wei, J., Wang, X., Schuurmans, D., Bosma, M., Ichter, B., Xia, F., Chi, E., Le, Q., &amp; Zhou, D. (2022). Chain-of-Thought Prompting Elicits Reasoning in Large Language Models. Advances in Neural Information Processing Systems (NeurIPS 2022). arXiv:2201.11903. https://arxiv.org/abs/2201.11903</w:t>
      </w:r>
    </w:p>
    <w:p>
      <w:pPr>
        <w:pStyle w:val="ListParagraph"/>
        <w:numPr>
          <w:ilvl w:val="0"/>
          <w:numId w:val="3"/>
        </w:numPr>
        <w:spacing w:before="60" w:after="60" w:line="320"/>
      </w:pPr>
      <w:r>
        <w:rPr>
          <w:rFonts w:ascii="Arial" w:cs="Arial" w:eastAsia="Arial" w:hAnsi="Arial"/>
          <w:sz w:val="22"/>
          <w:szCs w:val="22"/>
        </w:rPr>
        <w:t xml:space="preserve">Huang, L., Yu, W., Ma, W., Zhong, W., Feng, Z., Wang, H., Chen, Q., Peng, W., Feng, X., Qin, B., &amp; Liu, T. (2023). A Survey on Hallucination in Large Language Models: Principles, Taxonomy, Challenges, and Open Questions. ACM Transactions on Information Systems, 43(2), 1–55. arXiv:2311.05232. https://arxiv.org/abs/2311.05232</w:t>
      </w:r>
    </w:p>
    <w:p>
      <w:pPr>
        <w:pStyle w:val="ListParagraph"/>
        <w:numPr>
          <w:ilvl w:val="0"/>
          <w:numId w:val="3"/>
        </w:numPr>
        <w:spacing w:before="60" w:after="60" w:line="320"/>
      </w:pPr>
      <w:r>
        <w:rPr>
          <w:rFonts w:ascii="Arial" w:cs="Arial" w:eastAsia="Arial" w:hAnsi="Arial"/>
          <w:sz w:val="22"/>
          <w:szCs w:val="22"/>
        </w:rPr>
        <w:t xml:space="preserve">Dhuliawala, S., Komeili, M., Xu, J., Raileanu, R., Li, X., Celikyilmaz, A., &amp; Weston, J. (2023). Chain-of-Verification Reduces Hallucination in Large Language Models. arXiv:2309.11495. https://arxiv.org/abs/2309.11495</w:t>
      </w:r>
    </w:p>
    <w:p>
      <w:pPr>
        <w:pStyle w:val="ListParagraph"/>
        <w:numPr>
          <w:ilvl w:val="0"/>
          <w:numId w:val="3"/>
        </w:numPr>
        <w:spacing w:before="60" w:after="60" w:line="320"/>
      </w:pPr>
      <w:r>
        <w:rPr>
          <w:rFonts w:ascii="Arial" w:cs="Arial" w:eastAsia="Arial" w:hAnsi="Arial"/>
          <w:sz w:val="22"/>
          <w:szCs w:val="22"/>
        </w:rPr>
        <w:t xml:space="preserve">Sahoo, P., Singh, A. K., Saha, S., Jain, V., Mondal, S., &amp; Chadha, A. (2024). A Systematic Survey of Prompt Engineering in Large Language Models: Techniques and Applications. arXiv:2402.07927. https://arxiv.org/abs/2402.07927</w:t>
      </w:r>
    </w:p>
    <w:p>
      <w:pPr>
        <w:pStyle w:val="ListParagraph"/>
        <w:numPr>
          <w:ilvl w:val="0"/>
          <w:numId w:val="3"/>
        </w:numPr>
        <w:spacing w:before="60" w:after="60" w:line="320"/>
      </w:pPr>
      <w:r>
        <w:rPr>
          <w:rFonts w:ascii="Arial" w:cs="Arial" w:eastAsia="Arial" w:hAnsi="Arial"/>
          <w:sz w:val="22"/>
          <w:szCs w:val="22"/>
        </w:rPr>
        <w:t xml:space="preserve">Béchard, P., &amp; Ayala, O. M. (2024). Reducing Hallucination in Structured Outputs via Retrieval-Augmented Generation. arXiv:2404.08189. https://arxiv.org/abs/2404.08189</w:t>
      </w:r>
    </w:p>
    <w:p>
      <w:pPr>
        <w:pStyle w:val="ListParagraph"/>
        <w:numPr>
          <w:ilvl w:val="0"/>
          <w:numId w:val="3"/>
        </w:numPr>
        <w:spacing w:before="60" w:after="60" w:line="320"/>
      </w:pPr>
      <w:r>
        <w:rPr>
          <w:rFonts w:ascii="Arial" w:cs="Arial" w:eastAsia="Arial" w:hAnsi="Arial"/>
          <w:sz w:val="22"/>
          <w:szCs w:val="22"/>
        </w:rPr>
        <w:t xml:space="preserve">Schulhoff, S., Ilie, M., Balepur, N., Kahadze, K., Liu, A., Si, C., Li, Y., Gupta, A., Han, H., Schulhoff, S., Dulepet, P. S., Vidyadhara, S., Ki, P., Agrawal, S., Pham, C., Kronn, G., Lidor, A., Mehta, S., Bhatt, N., ... Reid, I. (2024). The Prompt Report: A Systematic Survey of Prompt Engineering Techniques. arXiv:2406.06608. https://arxiv.org/abs/2406.06608</w:t>
      </w:r>
    </w:p>
    <w:p>
      <w:pPr>
        <w:pStyle w:val="ListParagraph"/>
        <w:numPr>
          <w:ilvl w:val="0"/>
          <w:numId w:val="3"/>
        </w:numPr>
        <w:spacing w:before="60" w:after="60" w:line="320"/>
      </w:pPr>
      <w:r>
        <w:rPr>
          <w:rFonts w:ascii="Arial" w:cs="Arial" w:eastAsia="Arial" w:hAnsi="Arial"/>
          <w:sz w:val="22"/>
          <w:szCs w:val="22"/>
        </w:rPr>
        <w:t xml:space="preserve">Hu, H., He, C., Xie, X., &amp; Zhang, Q. (2024). LRP4RAG: Detecting Hallucinations in Retrieval-Augmented Generation via Layer-wise Relevance Propagation. arXiv:2408.15533. https://arxiv.org/abs/2408.15533</w:t>
      </w:r>
    </w:p>
    <w:p>
      <w:pPr>
        <w:pStyle w:val="ListParagraph"/>
        <w:numPr>
          <w:ilvl w:val="0"/>
          <w:numId w:val="3"/>
        </w:numPr>
        <w:spacing w:before="60" w:after="60" w:line="320"/>
      </w:pPr>
      <w:r>
        <w:rPr>
          <w:rFonts w:ascii="Arial" w:cs="Arial" w:eastAsia="Arial" w:hAnsi="Arial"/>
          <w:sz w:val="22"/>
          <w:szCs w:val="22"/>
        </w:rPr>
        <w:t xml:space="preserve">Li, Y., et al. (2025). Mitigating Hallucination in Large Language Models (LLMs): An Application-Oriented Survey on RAG, Reasoning, and Agentic Systems. arXiv:2510.24476. https://arxiv.org/abs/2510.24476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after="0"/>
    </w:pPr>
    <w:r>
      <w:rPr>
        <w:rFonts w:ascii="Arial" w:cs="Arial" w:eastAsia="Arial" w:hAnsi="Arial"/>
        <w:color w:val="888888"/>
        <w:sz w:val="18"/>
        <w:szCs w:val="18"/>
      </w:rPr>
      <w:t xml:space="preserve">© 2026 | Independent Research Portfolio</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888888"/>
        <w:sz w:val="18"/>
        <w:szCs w:val="18"/>
      </w:rPr>
      <w:t xml:space="preserve">RESEARCH PAPER  |  Prompt Engineering: Achievements &amp; Provable Limits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2026-03-20T14:21:08.284Z</dcterms:created>
  <dcterms:modified xsi:type="dcterms:W3CDTF">2026-03-20T14:21:08.285Z</dcterms:modified>
</cp:coreProperties>
</file>

<file path=docProps/custom.xml><?xml version="1.0" encoding="utf-8"?>
<Properties xmlns="http://schemas.openxmlformats.org/officeDocument/2006/custom-properties" xmlns:vt="http://schemas.openxmlformats.org/officeDocument/2006/docPropsVTypes"/>
</file>