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Calibri" w:cs="Calibri" w:eastAsia="Calibri" w:hAnsi="Calibri"/>
          <w:b/>
          <w:bCs/>
          <w:color w:val="1B3A5B"/>
          <w:sz w:val="56"/>
          <w:szCs w:val="56"/>
        </w:rPr>
        <w:t xml:space="preserve">SHIELD by Kentro</w:t>
      </w:r>
    </w:p>
    <w:p>
      <w:pPr>
        <w:spacing w:after="120"/>
        <w:jc w:val="center"/>
      </w:pPr>
      <w:r>
        <w:rPr>
          <w:rFonts w:ascii="Calibri" w:cs="Calibri" w:eastAsia="Calibri" w:hAnsi="Calibri"/>
          <w:b/>
          <w:bCs/>
          <w:sz w:val="32"/>
          <w:szCs w:val="32"/>
        </w:rPr>
        <w:t xml:space="preserve">Version 2.0 - Fresh-Start Design Package</w:t>
      </w:r>
    </w:p>
    <w:p>
      <w:pPr>
        <w:spacing w:after="720"/>
        <w:jc w:val="center"/>
      </w:pPr>
      <w:r>
        <w:rPr>
          <w:rFonts w:ascii="Calibri" w:cs="Calibri" w:eastAsia="Calibri" w:hAnsi="Calibri"/>
          <w:i/>
          <w:iCs/>
          <w:color w:val="555555"/>
          <w:sz w:val="22"/>
          <w:szCs w:val="22"/>
        </w:rPr>
        <w:t xml:space="preserve">Read this first. It tells you what's in this folder and where to start.</w:t>
      </w:r>
    </w:p>
    <w:p>
      <w:pPr>
        <w:pStyle w:val="Heading1"/>
        <w:spacing w:after="160" w:before="280"/>
      </w:pPr>
      <w:r>
        <w:rPr>
          <w:rFonts w:ascii="Calibri" w:cs="Calibri" w:eastAsia="Calibri" w:hAnsi="Calibri"/>
          <w:b/>
          <w:bCs/>
          <w:color w:val="1B3A5B"/>
          <w:sz w:val="36"/>
          <w:szCs w:val="36"/>
        </w:rPr>
        <w:t xml:space="preserve">What this package is</w:t>
      </w:r>
    </w:p>
    <w:p>
      <w:pPr>
        <w:spacing w:after="120"/>
      </w:pPr>
      <w:r>
        <w:rPr>
          <w:rFonts w:ascii="Calibri" w:cs="Calibri" w:eastAsia="Calibri" w:hAnsi="Calibri"/>
          <w:sz w:val="22"/>
          <w:szCs w:val="22"/>
        </w:rPr>
        <w:t xml:space="preserve">This is a complete fresh-start specification for SHIELD v2.0. The current v1 codebase is not being reused; v2.0 is being built from scratch on a modern technology stack with the lessons from v1 testing baked in.</w:t>
      </w:r>
    </w:p>
    <w:p>
      <w:pPr>
        <w:spacing w:after="120"/>
      </w:pPr>
      <w:r>
        <w:rPr>
          <w:rFonts w:ascii="Calibri" w:cs="Calibri" w:eastAsia="Calibri" w:hAnsi="Calibri"/>
          <w:sz w:val="22"/>
          <w:szCs w:val="22"/>
        </w:rPr>
        <w:t xml:space="preserve">The package was prepared in response to your request to: review the SHIELDv2 reference materials, factor in the v1 panel reviews, and produce extremely clear developer instructions plus a layout/design preview you can give feedback on.</w:t>
      </w:r>
    </w:p>
    <w:p>
      <w:pPr>
        <w:pStyle w:val="Heading1"/>
        <w:spacing w:after="160" w:before="280"/>
      </w:pPr>
      <w:r>
        <w:rPr>
          <w:rFonts w:ascii="Calibri" w:cs="Calibri" w:eastAsia="Calibri" w:hAnsi="Calibri"/>
          <w:b/>
          <w:bCs/>
          <w:color w:val="1B3A5B"/>
          <w:sz w:val="36"/>
          <w:szCs w:val="36"/>
        </w:rPr>
        <w:t xml:space="preserve">Files in this folder (in reading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File</w:t>
            </w:r>
          </w:p>
        </w:tc>
        <w:tc>
          <w:tcPr>
            <w:tcW w:type="dxa" w:w="65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What it is and how to use it</w:t>
            </w:r>
          </w:p>
        </w:tc>
      </w:tr>
      <w:tr>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rFonts w:ascii="Calibri" w:cs="Calibri" w:eastAsia="Calibri" w:hAnsi="Calibri"/>
                <w:b/>
                <w:bCs/>
                <w:sz w:val="22"/>
                <w:szCs w:val="22"/>
              </w:rPr>
              <w:t xml:space="preserve">00 - This document</w:t>
            </w:r>
          </w:p>
        </w:tc>
        <w:tc>
          <w:tcPr>
            <w:tcW w:type="dxa" w:w="6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rFonts w:ascii="Calibri" w:cs="Calibri" w:eastAsia="Calibri" w:hAnsi="Calibri"/>
                <w:sz w:val="22"/>
                <w:szCs w:val="22"/>
              </w:rPr>
              <w:t xml:space="preserve">Start here. It tells you what each file is for and what decisions are locked vs. open.</w:t>
            </w:r>
          </w:p>
        </w:tc>
      </w:tr>
      <w:tr>
        <w:tc>
          <w:tcPr>
            <w:tcW w:type="dxa" w:w="2800"/>
            <w:tcBorders>
              <w:top w:val="single" w:color="BFBFBF" w:sz="1"/>
              <w:left w:val="single" w:color="BFBFBF" w:sz="1"/>
              <w:bottom w:val="single" w:color="BFBFBF" w:sz="1"/>
              <w:right w:val="single" w:color="BFBFBF" w:sz="1"/>
            </w:tcBorders>
            <w:shd w:fill="F4F6F8" w:val="clear"/>
            <w:tcMar>
              <w:top w:type="dxa" w:w="100"/>
              <w:left w:type="dxa" w:w="140"/>
              <w:bottom w:type="dxa" w:w="100"/>
              <w:right w:type="dxa" w:w="140"/>
            </w:tcMar>
          </w:tcPr>
          <w:p>
            <w:pPr>
              <w:spacing w:after="0"/>
            </w:pPr>
            <w:r>
              <w:rPr>
                <w:rFonts w:ascii="Calibri" w:cs="Calibri" w:eastAsia="Calibri" w:hAnsi="Calibri"/>
                <w:b/>
                <w:bCs/>
                <w:sz w:val="22"/>
                <w:szCs w:val="22"/>
              </w:rPr>
              <w:t xml:space="preserve">SHIELDv2_Master_Spec.txt</w:t>
            </w:r>
          </w:p>
        </w:tc>
        <w:tc>
          <w:tcPr>
            <w:tcW w:type="dxa" w:w="6560"/>
            <w:tcBorders>
              <w:top w:val="single" w:color="BFBFBF" w:sz="1"/>
              <w:left w:val="single" w:color="BFBFBF" w:sz="1"/>
              <w:bottom w:val="single" w:color="BFBFBF" w:sz="1"/>
              <w:right w:val="single" w:color="BFBFBF" w:sz="1"/>
            </w:tcBorders>
            <w:shd w:fill="F4F6F8" w:val="clear"/>
            <w:tcMar>
              <w:top w:type="dxa" w:w="100"/>
              <w:left w:type="dxa" w:w="140"/>
              <w:bottom w:type="dxa" w:w="100"/>
              <w:right w:type="dxa" w:w="140"/>
            </w:tcMar>
          </w:tcPr>
          <w:p>
            <w:pPr>
              <w:spacing w:after="0"/>
            </w:pPr>
            <w:r>
              <w:rPr>
                <w:rFonts w:ascii="Calibri" w:cs="Calibri" w:eastAsia="Calibri" w:hAnsi="Calibri"/>
                <w:sz w:val="22"/>
                <w:szCs w:val="22"/>
              </w:rPr>
              <w:t xml:space="preserve">The single source of truth for the developer. Plain-text spec covering architecture, page hierarchy per role, process flow, CSF methodology, data model, AI usage with PII redaction, design system, deliverable filename convention, build phases, and acceptance criteria. Read top-to-bottom before writing any code.</w:t>
            </w:r>
          </w:p>
        </w:tc>
      </w:tr>
      <w:tr>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rFonts w:ascii="Calibri" w:cs="Calibri" w:eastAsia="Calibri" w:hAnsi="Calibri"/>
                <w:b/>
                <w:bCs/>
                <w:sz w:val="22"/>
                <w:szCs w:val="22"/>
              </w:rPr>
              <w:t xml:space="preserve">SHIELDv2_Design_Mockup.html</w:t>
            </w:r>
          </w:p>
        </w:tc>
        <w:tc>
          <w:tcPr>
            <w:tcW w:type="dxa" w:w="6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rFonts w:ascii="Calibri" w:cs="Calibri" w:eastAsia="Calibri" w:hAnsi="Calibri"/>
                <w:sz w:val="22"/>
                <w:szCs w:val="22"/>
              </w:rPr>
              <w:t xml:space="preserve">Self-contained HTML mockup of key screens: login, signup, intake wizard (now including the 'I'm not sure' option), client home dashboard, service detail, questionnaire, admin queue, admin CSF workspace, executive findings dashboard. Open in any browser.</w:t>
            </w:r>
          </w:p>
        </w:tc>
      </w:tr>
      <w:tr>
        <w:tc>
          <w:tcPr>
            <w:tcW w:type="dxa" w:w="2800"/>
            <w:tcBorders>
              <w:top w:val="single" w:color="BFBFBF" w:sz="1"/>
              <w:left w:val="single" w:color="BFBFBF" w:sz="1"/>
              <w:bottom w:val="single" w:color="BFBFBF" w:sz="1"/>
              <w:right w:val="single" w:color="BFBFBF" w:sz="1"/>
            </w:tcBorders>
            <w:shd w:fill="F4F6F8" w:val="clear"/>
            <w:tcMar>
              <w:top w:type="dxa" w:w="100"/>
              <w:left w:type="dxa" w:w="140"/>
              <w:bottom w:type="dxa" w:w="100"/>
              <w:right w:type="dxa" w:w="140"/>
            </w:tcMar>
          </w:tcPr>
          <w:p>
            <w:pPr>
              <w:spacing w:after="0"/>
            </w:pPr>
            <w:r>
              <w:rPr>
                <w:rFonts w:ascii="Calibri" w:cs="Calibri" w:eastAsia="Calibri" w:hAnsi="Calibri"/>
                <w:b/>
                <w:bCs/>
                <w:sz w:val="22"/>
                <w:szCs w:val="22"/>
              </w:rPr>
              <w:t xml:space="preserve">SHIELDv2_CISA_ZT_Questionnaire.docx</w:t>
            </w:r>
          </w:p>
        </w:tc>
        <w:tc>
          <w:tcPr>
            <w:tcW w:type="dxa" w:w="6560"/>
            <w:tcBorders>
              <w:top w:val="single" w:color="BFBFBF" w:sz="1"/>
              <w:left w:val="single" w:color="BFBFBF" w:sz="1"/>
              <w:bottom w:val="single" w:color="BFBFBF" w:sz="1"/>
              <w:right w:val="single" w:color="BFBFBF" w:sz="1"/>
            </w:tcBorders>
            <w:shd w:fill="F4F6F8" w:val="clear"/>
            <w:tcMar>
              <w:top w:type="dxa" w:w="100"/>
              <w:left w:type="dxa" w:w="140"/>
              <w:bottom w:type="dxa" w:w="100"/>
              <w:right w:type="dxa" w:w="140"/>
            </w:tcMar>
          </w:tcPr>
          <w:p>
            <w:pPr>
              <w:spacing w:after="0"/>
            </w:pPr>
            <w:r>
              <w:rPr>
                <w:rFonts w:ascii="Calibri" w:cs="Calibri" w:eastAsia="Calibri" w:hAnsi="Calibri"/>
                <w:sz w:val="22"/>
                <w:szCs w:val="22"/>
              </w:rPr>
              <w:t xml:space="preserve">Pre-interview questionnaire for the CISA Zero Trust Maturity Model 2.0. 12 questions across 5 pillars + 3 cross-cutting capabilities. Mirrors the CSF Step 1.x style.</w:t>
            </w:r>
          </w:p>
        </w:tc>
      </w:tr>
      <w:tr>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rFonts w:ascii="Calibri" w:cs="Calibri" w:eastAsia="Calibri" w:hAnsi="Calibri"/>
                <w:b/>
                <w:bCs/>
                <w:sz w:val="22"/>
                <w:szCs w:val="22"/>
              </w:rPr>
              <w:t xml:space="preserve">SHIELDv2_DoD_ZT_Questionnaire.docx</w:t>
            </w:r>
          </w:p>
        </w:tc>
        <w:tc>
          <w:tcPr>
            <w:tcW w:type="dxa" w:w="6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rFonts w:ascii="Calibri" w:cs="Calibri" w:eastAsia="Calibri" w:hAnsi="Calibri"/>
                <w:sz w:val="22"/>
                <w:szCs w:val="22"/>
              </w:rPr>
              <w:t xml:space="preserve">Pre-interview questionnaire for the DoD Zero Trust Reference Architecture. 12 questions across 7 pillars with CAC/PIV, mission partner, and classified/CUI context.</w:t>
            </w:r>
          </w:p>
        </w:tc>
      </w:tr>
      <w:tr>
        <w:tc>
          <w:tcPr>
            <w:tcW w:type="dxa" w:w="2800"/>
            <w:tcBorders>
              <w:top w:val="single" w:color="BFBFBF" w:sz="1"/>
              <w:left w:val="single" w:color="BFBFBF" w:sz="1"/>
              <w:bottom w:val="single" w:color="BFBFBF" w:sz="1"/>
              <w:right w:val="single" w:color="BFBFBF" w:sz="1"/>
            </w:tcBorders>
            <w:shd w:fill="F4F6F8" w:val="clear"/>
            <w:tcMar>
              <w:top w:type="dxa" w:w="100"/>
              <w:left w:type="dxa" w:w="140"/>
              <w:bottom w:type="dxa" w:w="100"/>
              <w:right w:type="dxa" w:w="140"/>
            </w:tcMar>
          </w:tcPr>
          <w:p>
            <w:pPr>
              <w:spacing w:after="0"/>
            </w:pPr>
            <w:r>
              <w:rPr>
                <w:rFonts w:ascii="Calibri" w:cs="Calibri" w:eastAsia="Calibri" w:hAnsi="Calibri"/>
                <w:b/>
                <w:bCs/>
                <w:sz w:val="22"/>
                <w:szCs w:val="22"/>
              </w:rPr>
              <w:t xml:space="preserve">Existing CSF toolkit (your files)</w:t>
            </w:r>
          </w:p>
        </w:tc>
        <w:tc>
          <w:tcPr>
            <w:tcW w:type="dxa" w:w="6560"/>
            <w:tcBorders>
              <w:top w:val="single" w:color="BFBFBF" w:sz="1"/>
              <w:left w:val="single" w:color="BFBFBF" w:sz="1"/>
              <w:bottom w:val="single" w:color="BFBFBF" w:sz="1"/>
              <w:right w:val="single" w:color="BFBFBF" w:sz="1"/>
            </w:tcBorders>
            <w:shd w:fill="F4F6F8" w:val="clear"/>
            <w:tcMar>
              <w:top w:type="dxa" w:w="100"/>
              <w:left w:type="dxa" w:w="140"/>
              <w:bottom w:type="dxa" w:w="100"/>
              <w:right w:type="dxa" w:w="140"/>
            </w:tcMar>
          </w:tcPr>
          <w:p>
            <w:pPr>
              <w:spacing w:after="0"/>
            </w:pPr>
            <w:r>
              <w:rPr>
                <w:rFonts w:ascii="Calibri" w:cs="Calibri" w:eastAsia="Calibri" w:hAnsi="Calibri"/>
                <w:sz w:val="22"/>
                <w:szCs w:val="22"/>
              </w:rPr>
              <w:t xml:space="preserve">The CSF 2.0 Implementation Playbook, Step 1.1/1.2/1.3 questionnaires, Step 2.1/2.2/2.3 working profiles, Step 3.1 gap analysis, Step 3.2.1 Enterprise Profile, and Ongoing CSF2 Artifact Tracker. The v2 platform automates these end-to-end.</w:t>
            </w:r>
          </w:p>
        </w:tc>
      </w:tr>
    </w:tbl>
    <w:p>
      <w:pPr>
        <w:pStyle w:val="Heading1"/>
        <w:spacing w:after="160" w:before="280"/>
      </w:pPr>
      <w:r>
        <w:rPr>
          <w:rFonts w:ascii="Calibri" w:cs="Calibri" w:eastAsia="Calibri" w:hAnsi="Calibri"/>
          <w:b/>
          <w:bCs/>
          <w:color w:val="1B3A5B"/>
          <w:sz w:val="36"/>
          <w:szCs w:val="36"/>
        </w:rPr>
        <w:t xml:space="preserve">Locked decisions (your answers)</w:t>
      </w:r>
    </w:p>
    <w:p>
      <w:pPr>
        <w:spacing w:after="120"/>
      </w:pPr>
      <w:r>
        <w:rPr>
          <w:rFonts w:ascii="Calibri" w:cs="Calibri" w:eastAsia="Calibri" w:hAnsi="Calibri"/>
          <w:sz w:val="22"/>
          <w:szCs w:val="22"/>
        </w:rPr>
        <w:t xml:space="preserve">These decisions are baked into the spec. If any need to change, talk to the developer before they start coding.</w:t>
      </w:r>
    </w:p>
    <w:p>
      <w:pPr>
        <w:pStyle w:val="ListParagraph"/>
        <w:numPr>
          <w:ilvl w:val="0"/>
          <w:numId w:val="2"/>
        </w:numPr>
        <w:spacing w:after="60"/>
      </w:pPr>
      <w:r>
        <w:rPr>
          <w:rFonts w:ascii="Calibri" w:cs="Calibri" w:eastAsia="Calibri" w:hAnsi="Calibri"/>
          <w:b/>
          <w:bCs/>
          <w:sz w:val="22"/>
          <w:szCs w:val="22"/>
        </w:rPr>
        <w:t xml:space="preserve">Tech stack: </w:t>
      </w:r>
      <w:r>
        <w:rPr>
          <w:rFonts w:ascii="Calibri" w:cs="Calibri" w:eastAsia="Calibri" w:hAnsi="Calibri"/>
          <w:sz w:val="22"/>
          <w:szCs w:val="22"/>
        </w:rPr>
        <w:t xml:space="preserve">Modern SPA - Next.js 14+ + React + TypeScript + Tailwind + shadcn/ui. Backend FastAPI in Python.</w:t>
      </w:r>
    </w:p>
    <w:p>
      <w:pPr>
        <w:pStyle w:val="ListParagraph"/>
        <w:numPr>
          <w:ilvl w:val="0"/>
          <w:numId w:val="2"/>
        </w:numPr>
        <w:spacing w:after="60"/>
      </w:pPr>
      <w:r>
        <w:rPr>
          <w:rFonts w:ascii="Calibri" w:cs="Calibri" w:eastAsia="Calibri" w:hAnsi="Calibri"/>
          <w:b/>
          <w:bCs/>
          <w:sz w:val="22"/>
          <w:szCs w:val="22"/>
        </w:rPr>
        <w:t xml:space="preserve">Hosting: </w:t>
      </w:r>
      <w:r>
        <w:rPr>
          <w:rFonts w:ascii="Calibri" w:cs="Calibri" w:eastAsia="Calibri" w:hAnsi="Calibri"/>
          <w:sz w:val="22"/>
          <w:szCs w:val="22"/>
        </w:rPr>
        <w:t xml:space="preserve">FedRAMP Moderate or High target. AWS GovCloud or Azure Government. No third-party CDNs - everything self-hosted.</w:t>
      </w:r>
    </w:p>
    <w:p>
      <w:pPr>
        <w:pStyle w:val="ListParagraph"/>
        <w:numPr>
          <w:ilvl w:val="0"/>
          <w:numId w:val="2"/>
        </w:numPr>
        <w:spacing w:after="60"/>
      </w:pPr>
      <w:r>
        <w:rPr>
          <w:rFonts w:ascii="Calibri" w:cs="Calibri" w:eastAsia="Calibri" w:hAnsi="Calibri"/>
          <w:b/>
          <w:bCs/>
          <w:sz w:val="22"/>
          <w:szCs w:val="22"/>
        </w:rPr>
        <w:t xml:space="preserve">AI provider for v1: </w:t>
      </w:r>
      <w:r>
        <w:rPr>
          <w:rFonts w:ascii="Calibri" w:cs="Calibri" w:eastAsia="Calibri" w:hAnsi="Calibri"/>
          <w:sz w:val="22"/>
          <w:szCs w:val="22"/>
        </w:rPr>
        <w:t xml:space="preserve">Developer's choice. Risk of non-FedRAMP egress explicitly accepted. PII redaction is the primary control. Provider is environment-configurable. Recommended starting point: commercial Anthropic Claude API.</w:t>
      </w:r>
    </w:p>
    <w:p>
      <w:pPr>
        <w:pStyle w:val="ListParagraph"/>
        <w:numPr>
          <w:ilvl w:val="0"/>
          <w:numId w:val="2"/>
        </w:numPr>
        <w:spacing w:after="60"/>
      </w:pPr>
      <w:r>
        <w:rPr>
          <w:rFonts w:ascii="Calibri" w:cs="Calibri" w:eastAsia="Calibri" w:hAnsi="Calibri"/>
          <w:b/>
          <w:bCs/>
          <w:sz w:val="22"/>
          <w:szCs w:val="22"/>
        </w:rPr>
        <w:t xml:space="preserve">Authentication for v1: </w:t>
      </w:r>
      <w:r>
        <w:rPr>
          <w:rFonts w:ascii="Calibri" w:cs="Calibri" w:eastAsia="Calibri" w:hAnsi="Calibri"/>
          <w:sz w:val="22"/>
          <w:szCs w:val="22"/>
        </w:rPr>
        <w:t xml:space="preserve">Email + password only. MFA and email verification are DEFERRED and commented out as feature-flag-gated steps. Both can re-enable in a future release with a flag flip, no code change. (See Risk Acceptance below.)</w:t>
      </w:r>
    </w:p>
    <w:p>
      <w:pPr>
        <w:pStyle w:val="ListParagraph"/>
        <w:numPr>
          <w:ilvl w:val="0"/>
          <w:numId w:val="2"/>
        </w:numPr>
        <w:spacing w:after="60"/>
      </w:pPr>
      <w:r>
        <w:rPr>
          <w:rFonts w:ascii="Calibri" w:cs="Calibri" w:eastAsia="Calibri" w:hAnsi="Calibri"/>
          <w:b/>
          <w:bCs/>
          <w:sz w:val="22"/>
          <w:szCs w:val="22"/>
        </w:rPr>
        <w:t xml:space="preserve">CSF methodology: </w:t>
      </w:r>
      <w:r>
        <w:rPr>
          <w:rFonts w:ascii="Calibri" w:cs="Calibri" w:eastAsia="Calibri" w:hAnsi="Calibri"/>
          <w:sz w:val="22"/>
          <w:szCs w:val="22"/>
        </w:rPr>
        <w:t xml:space="preserve">Full 10-step Playbook - tiered working profiles (HIGH/MOD/LOW), 5-dimension scoring, weighted-floor roll-up, IG metric alignment, gap analysis with P1/P2/P3, action plan.</w:t>
      </w:r>
    </w:p>
    <w:p>
      <w:pPr>
        <w:pStyle w:val="ListParagraph"/>
        <w:numPr>
          <w:ilvl w:val="0"/>
          <w:numId w:val="2"/>
        </w:numPr>
        <w:spacing w:after="60"/>
      </w:pPr>
      <w:r>
        <w:rPr>
          <w:rFonts w:ascii="Calibri" w:cs="Calibri" w:eastAsia="Calibri" w:hAnsi="Calibri"/>
          <w:b/>
          <w:bCs/>
          <w:sz w:val="22"/>
          <w:szCs w:val="22"/>
        </w:rPr>
        <w:t xml:space="preserve">Branding: </w:t>
      </w:r>
      <w:r>
        <w:rPr>
          <w:rFonts w:ascii="Calibri" w:cs="Calibri" w:eastAsia="Calibri" w:hAnsi="Calibri"/>
          <w:sz w:val="22"/>
          <w:szCs w:val="22"/>
        </w:rPr>
        <w:t xml:space="preserve">SHIELD by Kentro. Wordmark "SHIELD" with a small "by Kentro" subline.</w:t>
      </w:r>
    </w:p>
    <w:p>
      <w:pPr>
        <w:pStyle w:val="ListParagraph"/>
        <w:numPr>
          <w:ilvl w:val="0"/>
          <w:numId w:val="2"/>
        </w:numPr>
        <w:spacing w:after="60"/>
      </w:pPr>
      <w:r>
        <w:rPr>
          <w:rFonts w:ascii="Calibri" w:cs="Calibri" w:eastAsia="Calibri" w:hAnsi="Calibri"/>
          <w:b/>
          <w:bCs/>
          <w:sz w:val="22"/>
          <w:szCs w:val="22"/>
        </w:rPr>
        <w:t xml:space="preserve">Roles: </w:t>
      </w:r>
      <w:r>
        <w:rPr>
          <w:rFonts w:ascii="Calibri" w:cs="Calibri" w:eastAsia="Calibri" w:hAnsi="Calibri"/>
          <w:sz w:val="22"/>
          <w:szCs w:val="22"/>
        </w:rPr>
        <w:t xml:space="preserve">Three roles - Admin (Kentro consultant), Reviewer (read-only auditor), Client. Client experience leads with executive operational views, not technical drill-downs. Technical detail is reachable but progressive.</w:t>
      </w:r>
    </w:p>
    <w:p>
      <w:pPr>
        <w:pStyle w:val="ListParagraph"/>
        <w:numPr>
          <w:ilvl w:val="0"/>
          <w:numId w:val="2"/>
        </w:numPr>
        <w:spacing w:after="60"/>
      </w:pPr>
      <w:r>
        <w:rPr>
          <w:rFonts w:ascii="Calibri" w:cs="Calibri" w:eastAsia="Calibri" w:hAnsi="Calibri"/>
          <w:b/>
          <w:bCs/>
          <w:sz w:val="22"/>
          <w:szCs w:val="22"/>
        </w:rPr>
        <w:t xml:space="preserve">Tenancy: </w:t>
      </w:r>
      <w:r>
        <w:rPr>
          <w:rFonts w:ascii="Calibri" w:cs="Calibri" w:eastAsia="Calibri" w:hAnsi="Calibri"/>
          <w:sz w:val="22"/>
          <w:szCs w:val="22"/>
        </w:rPr>
        <w:t xml:space="preserve">Single-tenant - one SHIELD deployment per client organization. Each deployment is its own FedRAMP boundary.</w:t>
      </w:r>
    </w:p>
    <w:p>
      <w:pPr>
        <w:pStyle w:val="ListParagraph"/>
        <w:numPr>
          <w:ilvl w:val="0"/>
          <w:numId w:val="2"/>
        </w:numPr>
        <w:spacing w:after="60"/>
      </w:pPr>
      <w:r>
        <w:rPr>
          <w:rFonts w:ascii="Calibri" w:cs="Calibri" w:eastAsia="Calibri" w:hAnsi="Calibri"/>
          <w:b/>
          <w:bCs/>
          <w:sz w:val="22"/>
          <w:szCs w:val="22"/>
        </w:rPr>
        <w:t xml:space="preserve">Intake "I'm not sure" path: </w:t>
      </w:r>
      <w:r>
        <w:rPr>
          <w:rFonts w:ascii="Calibri" w:cs="Calibri" w:eastAsia="Calibri" w:hAnsi="Calibri"/>
          <w:sz w:val="22"/>
          <w:szCs w:val="22"/>
        </w:rPr>
        <w:t xml:space="preserve">The service-selection step adds a fifth option - 'I'm not sure, request a call.' Picking it short-circuits the wizard to a short consultation-request form and creates an admin queue item.</w:t>
      </w:r>
    </w:p>
    <w:p>
      <w:pPr>
        <w:pStyle w:val="ListParagraph"/>
        <w:numPr>
          <w:ilvl w:val="0"/>
          <w:numId w:val="2"/>
        </w:numPr>
        <w:spacing w:after="60"/>
      </w:pPr>
      <w:r>
        <w:rPr>
          <w:rFonts w:ascii="Calibri" w:cs="Calibri" w:eastAsia="Calibri" w:hAnsi="Calibri"/>
          <w:b/>
          <w:bCs/>
          <w:sz w:val="22"/>
          <w:szCs w:val="22"/>
        </w:rPr>
        <w:t xml:space="preserve">Deliverable filename convention: </w:t>
      </w:r>
      <w:r>
        <w:rPr>
          <w:rFonts w:ascii="Calibri" w:cs="Calibri" w:eastAsia="Calibri" w:hAnsi="Calibri"/>
          <w:sz w:val="22"/>
          <w:szCs w:val="22"/>
        </w:rPr>
        <w:t xml:space="preserve">Every download uses Company_Name_Service_Name{MMDDYY}.{ext} (e.g., Nexus_Federal_Solutions_Inc_Tech_Debt_Review051826.pdf). Slugification rules and edge cases documented in Master Spec section 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8"/>
              <w:left w:val="single" w:color="C62828" w:sz="24"/>
              <w:bottom w:val="single" w:color="C62828" w:sz="8"/>
              <w:right w:val="single" w:color="C62828" w:sz="8"/>
            </w:tcBorders>
            <w:shd w:fill="EEF2F6" w:val="clear"/>
            <w:tcMar>
              <w:top w:type="dxa" w:w="200"/>
              <w:left w:type="dxa" w:w="240"/>
              <w:bottom w:type="dxa" w:w="200"/>
              <w:right w:type="dxa" w:w="240"/>
            </w:tcMar>
          </w:tcPr>
          <w:p>
            <w:pPr>
              <w:spacing w:after="100"/>
            </w:pPr>
            <w:r>
              <w:rPr>
                <w:rFonts w:ascii="Calibri" w:cs="Calibri" w:eastAsia="Calibri" w:hAnsi="Calibri"/>
                <w:b/>
                <w:bCs/>
                <w:color w:val="C62828"/>
                <w:sz w:val="24"/>
                <w:szCs w:val="24"/>
              </w:rPr>
              <w:t xml:space="preserve">Risk acceptance log - v1</w:t>
            </w:r>
          </w:p>
          <w:p>
            <w:pPr>
              <w:spacing w:after="80"/>
            </w:pPr>
            <w:r>
              <w:rPr>
                <w:rFonts w:ascii="Calibri" w:cs="Calibri" w:eastAsia="Calibri" w:hAnsi="Calibri"/>
                <w:sz w:val="22"/>
                <w:szCs w:val="22"/>
              </w:rPr>
              <w:t xml:space="preserve">Eugene has explicitly accepted the following risks for the v1 release:</w:t>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1. AI provider may be a commercial non-FedRAMP-authorized service (Anthropic, OpenAI, etc.). Redacted analytic payloads may egress the FedRAMP boundary. PII redaction is mandatory and treated as the primary control. Provider is environment-configurable so the deployment can flip to FedRAMP-authorized in a later release without application changes.</w:t>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2. Authentication is email + password only. No MFA, no email verification. Compensating controls: short JWT lifetimes (15 min), idle session timeout (30 min), forced daily re-auth, password strength enforcement, account lockout after 10 failed attempts in 15 minutes, audit log entries on every authentication event. The MFA and email-verify code paths are wired but feature-flag-gated to OFF for v1. Flipping SHIELD_AUTH_REQUIRE_MFA and SHIELD_AUTH_REQUIRE_EMAIL_VERIFY to true in a future release re-enables both with no code change.</w:t>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Both risk acceptances are documented in Master Spec sections 1, 4.4, 4.5, 6.1, 12, and 17.</w:t>
            </w:r>
          </w:p>
        </w:tc>
      </w:tr>
    </w:tbl>
    <w:p>
      <w:pPr>
        <w:pStyle w:val="Heading1"/>
        <w:spacing w:after="160" w:before="280"/>
      </w:pPr>
      <w:r>
        <w:rPr>
          <w:rFonts w:ascii="Calibri" w:cs="Calibri" w:eastAsia="Calibri" w:hAnsi="Calibri"/>
          <w:b/>
          <w:bCs/>
          <w:color w:val="1B3A5B"/>
          <w:sz w:val="36"/>
          <w:szCs w:val="36"/>
        </w:rPr>
        <w:t xml:space="preserve">What's preserved from v1</w:t>
      </w:r>
    </w:p>
    <w:p>
      <w:pPr>
        <w:pStyle w:val="ListParagraph"/>
        <w:numPr>
          <w:ilvl w:val="0"/>
          <w:numId w:val="2"/>
        </w:numPr>
        <w:spacing w:after="60"/>
      </w:pPr>
      <w:r>
        <w:rPr>
          <w:rFonts w:ascii="Calibri" w:cs="Calibri" w:eastAsia="Calibri" w:hAnsi="Calibri"/>
          <w:sz w:val="22"/>
          <w:szCs w:val="22"/>
        </w:rPr>
        <w:t xml:space="preserve">The login screen visual language - improved (full-border fields, password strength meter, accessible focus states) but recognizable.</w:t>
      </w:r>
    </w:p>
    <w:p>
      <w:pPr>
        <w:pStyle w:val="ListParagraph"/>
        <w:numPr>
          <w:ilvl w:val="0"/>
          <w:numId w:val="2"/>
        </w:numPr>
        <w:spacing w:after="60"/>
      </w:pPr>
      <w:r>
        <w:rPr>
          <w:rFonts w:ascii="Calibri" w:cs="Calibri" w:eastAsia="Calibri" w:hAnsi="Calibri"/>
          <w:sz w:val="22"/>
          <w:szCs w:val="22"/>
        </w:rPr>
        <w:t xml:space="preserve">The signup/create-user flow - simplified for v1 (single screen, just email + password) but the data model retains the columns needed to re-enable MFA and email verification later.</w:t>
      </w:r>
    </w:p>
    <w:p>
      <w:pPr>
        <w:pStyle w:val="ListParagraph"/>
        <w:numPr>
          <w:ilvl w:val="0"/>
          <w:numId w:val="2"/>
        </w:numPr>
        <w:spacing w:after="60"/>
      </w:pPr>
      <w:r>
        <w:rPr>
          <w:rFonts w:ascii="Calibri" w:cs="Calibri" w:eastAsia="Calibri" w:hAnsi="Calibri"/>
          <w:sz w:val="22"/>
          <w:szCs w:val="22"/>
        </w:rPr>
        <w:t xml:space="preserve">The conversational tone of the copy on intake screens.</w:t>
      </w:r>
    </w:p>
    <w:p>
      <w:pPr>
        <w:pStyle w:val="ListParagraph"/>
        <w:numPr>
          <w:ilvl w:val="0"/>
          <w:numId w:val="2"/>
        </w:numPr>
        <w:spacing w:after="60"/>
      </w:pPr>
      <w:r>
        <w:rPr>
          <w:rFonts w:ascii="Calibri" w:cs="Calibri" w:eastAsia="Calibri" w:hAnsi="Calibri"/>
          <w:sz w:val="22"/>
          <w:szCs w:val="22"/>
        </w:rPr>
        <w:t xml:space="preserve">The auto-save-on-blur behavior on long forms.</w:t>
      </w:r>
    </w:p>
    <w:p>
      <w:pPr>
        <w:pStyle w:val="ListParagraph"/>
        <w:numPr>
          <w:ilvl w:val="0"/>
          <w:numId w:val="2"/>
        </w:numPr>
        <w:spacing w:after="60"/>
      </w:pPr>
      <w:r>
        <w:rPr>
          <w:rFonts w:ascii="Calibri" w:cs="Calibri" w:eastAsia="Calibri" w:hAnsi="Calibri"/>
          <w:sz w:val="22"/>
          <w:szCs w:val="22"/>
        </w:rPr>
        <w:t xml:space="preserve">The three-bucket admin queue concept (New leads / Waiting on us / Active) - with timestamps added per the v1 panel review.</w:t>
      </w:r>
    </w:p>
    <w:p>
      <w:pPr>
        <w:pStyle w:val="ListParagraph"/>
        <w:numPr>
          <w:ilvl w:val="0"/>
          <w:numId w:val="2"/>
        </w:numPr>
        <w:spacing w:after="60"/>
      </w:pPr>
      <w:r>
        <w:rPr>
          <w:rFonts w:ascii="Calibri" w:cs="Calibri" w:eastAsia="Calibri" w:hAnsi="Calibri"/>
          <w:sz w:val="22"/>
          <w:szCs w:val="22"/>
        </w:rPr>
        <w:t xml:space="preserve">The reviewer audit-walk concept for the Zero Trust questionnaire - now generalized to all four services.</w:t>
      </w:r>
    </w:p>
    <w:p>
      <w:pPr>
        <w:pStyle w:val="ListParagraph"/>
        <w:numPr>
          <w:ilvl w:val="0"/>
          <w:numId w:val="2"/>
        </w:numPr>
        <w:spacing w:after="60"/>
      </w:pPr>
      <w:r>
        <w:rPr>
          <w:rFonts w:ascii="Calibri" w:cs="Calibri" w:eastAsia="Calibri" w:hAnsi="Calibri"/>
          <w:sz w:val="22"/>
          <w:szCs w:val="22"/>
        </w:rPr>
        <w:t xml:space="preserve">The append-only audit log.</w:t>
      </w:r>
    </w:p>
    <w:p>
      <w:pPr>
        <w:pStyle w:val="Heading1"/>
        <w:spacing w:after="160" w:before="280"/>
      </w:pPr>
      <w:r>
        <w:rPr>
          <w:rFonts w:ascii="Calibri" w:cs="Calibri" w:eastAsia="Calibri" w:hAnsi="Calibri"/>
          <w:b/>
          <w:bCs/>
          <w:color w:val="1B3A5B"/>
          <w:sz w:val="36"/>
          <w:szCs w:val="36"/>
        </w:rPr>
        <w:t xml:space="preserve">What's deliberately changed from v1</w:t>
      </w:r>
    </w:p>
    <w:p>
      <w:pPr>
        <w:pStyle w:val="ListParagraph"/>
        <w:numPr>
          <w:ilvl w:val="0"/>
          <w:numId w:val="2"/>
        </w:numPr>
        <w:spacing w:after="60"/>
      </w:pPr>
      <w:r>
        <w:rPr>
          <w:rFonts w:ascii="Calibri" w:cs="Calibri" w:eastAsia="Calibri" w:hAnsi="Calibri"/>
          <w:sz w:val="22"/>
          <w:szCs w:val="22"/>
        </w:rPr>
        <w:t xml:space="preserve">No raw JSON or stack traces ever appear in the UI. Period.</w:t>
      </w:r>
    </w:p>
    <w:p>
      <w:pPr>
        <w:pStyle w:val="ListParagraph"/>
        <w:numPr>
          <w:ilvl w:val="0"/>
          <w:numId w:val="2"/>
        </w:numPr>
        <w:spacing w:after="60"/>
      </w:pPr>
      <w:r>
        <w:rPr>
          <w:rFonts w:ascii="Calibri" w:cs="Calibri" w:eastAsia="Calibri" w:hAnsi="Calibri"/>
          <w:sz w:val="22"/>
          <w:szCs w:val="22"/>
        </w:rPr>
        <w:t xml:space="preserve">No internal enum slugs render to users. Every label is mapped to plain English.</w:t>
      </w:r>
    </w:p>
    <w:p>
      <w:pPr>
        <w:pStyle w:val="ListParagraph"/>
        <w:numPr>
          <w:ilvl w:val="0"/>
          <w:numId w:val="2"/>
        </w:numPr>
        <w:spacing w:after="60"/>
      </w:pPr>
      <w:r>
        <w:rPr>
          <w:rFonts w:ascii="Calibri" w:cs="Calibri" w:eastAsia="Calibri" w:hAnsi="Calibri"/>
          <w:sz w:val="22"/>
          <w:szCs w:val="22"/>
        </w:rPr>
        <w:t xml:space="preserve">No "Acme Co everywhere" data-binding bugs. Every save handler validates field assignments by form key.</w:t>
      </w:r>
    </w:p>
    <w:p>
      <w:pPr>
        <w:pStyle w:val="ListParagraph"/>
        <w:numPr>
          <w:ilvl w:val="0"/>
          <w:numId w:val="2"/>
        </w:numPr>
        <w:spacing w:after="60"/>
      </w:pPr>
      <w:r>
        <w:rPr>
          <w:rFonts w:ascii="Calibri" w:cs="Calibri" w:eastAsia="Calibri" w:hAnsi="Calibri"/>
          <w:sz w:val="22"/>
          <w:szCs w:val="22"/>
        </w:rPr>
        <w:t xml:space="preserve">Selecting multiple services at intake creates project records for ALL of them, not just the first.</w:t>
      </w:r>
    </w:p>
    <w:p>
      <w:pPr>
        <w:pStyle w:val="ListParagraph"/>
        <w:numPr>
          <w:ilvl w:val="0"/>
          <w:numId w:val="2"/>
        </w:numPr>
        <w:spacing w:after="60"/>
      </w:pPr>
      <w:r>
        <w:rPr>
          <w:rFonts w:ascii="Calibri" w:cs="Calibri" w:eastAsia="Calibri" w:hAnsi="Calibri"/>
          <w:sz w:val="22"/>
          <w:szCs w:val="22"/>
        </w:rPr>
        <w:t xml:space="preserve">Admin notifications fire reliably for new client signup, new messages, failed jobs.</w:t>
      </w:r>
    </w:p>
    <w:p>
      <w:pPr>
        <w:pStyle w:val="ListParagraph"/>
        <w:numPr>
          <w:ilvl w:val="0"/>
          <w:numId w:val="2"/>
        </w:numPr>
        <w:spacing w:after="60"/>
      </w:pPr>
      <w:r>
        <w:rPr>
          <w:rFonts w:ascii="Calibri" w:cs="Calibri" w:eastAsia="Calibri" w:hAnsi="Calibri"/>
          <w:sz w:val="22"/>
          <w:szCs w:val="22"/>
        </w:rPr>
        <w:t xml:space="preserve">Questionnaires are section-tabbed with progress bars, never massive scrolls.</w:t>
      </w:r>
    </w:p>
    <w:p>
      <w:pPr>
        <w:pStyle w:val="ListParagraph"/>
        <w:numPr>
          <w:ilvl w:val="0"/>
          <w:numId w:val="2"/>
        </w:numPr>
        <w:spacing w:after="60"/>
      </w:pPr>
      <w:r>
        <w:rPr>
          <w:rFonts w:ascii="Calibri" w:cs="Calibri" w:eastAsia="Calibri" w:hAnsi="Calibri"/>
          <w:sz w:val="22"/>
          <w:szCs w:val="22"/>
        </w:rPr>
        <w:t xml:space="preserve">Document upload is drag-and-drop with proper visual feedback.</w:t>
      </w:r>
    </w:p>
    <w:p>
      <w:pPr>
        <w:pStyle w:val="ListParagraph"/>
        <w:numPr>
          <w:ilvl w:val="0"/>
          <w:numId w:val="2"/>
        </w:numPr>
        <w:spacing w:after="60"/>
      </w:pPr>
      <w:r>
        <w:rPr>
          <w:rFonts w:ascii="Calibri" w:cs="Calibri" w:eastAsia="Calibri" w:hAnsi="Calibri"/>
          <w:sz w:val="22"/>
          <w:szCs w:val="22"/>
        </w:rPr>
        <w:t xml:space="preserve">Title, phone, and other user profile data live on User, not duplicated on intake records.</w:t>
      </w:r>
    </w:p>
    <w:p>
      <w:pPr>
        <w:pStyle w:val="ListParagraph"/>
        <w:numPr>
          <w:ilvl w:val="0"/>
          <w:numId w:val="2"/>
        </w:numPr>
        <w:spacing w:after="60"/>
      </w:pPr>
      <w:r>
        <w:rPr>
          <w:rFonts w:ascii="Calibri" w:cs="Calibri" w:eastAsia="Calibri" w:hAnsi="Calibri"/>
          <w:sz w:val="22"/>
          <w:szCs w:val="22"/>
        </w:rPr>
        <w:t xml:space="preserve">All timestamps display in the viewer's local time (UTC stored, local rendered).</w:t>
      </w:r>
    </w:p>
    <w:p>
      <w:pPr>
        <w:pStyle w:val="ListParagraph"/>
        <w:numPr>
          <w:ilvl w:val="0"/>
          <w:numId w:val="2"/>
        </w:numPr>
        <w:spacing w:after="60"/>
      </w:pPr>
      <w:r>
        <w:rPr>
          <w:rFonts w:ascii="Calibri" w:cs="Calibri" w:eastAsia="Calibri" w:hAnsi="Calibri"/>
          <w:sz w:val="22"/>
          <w:szCs w:val="22"/>
        </w:rPr>
        <w:t xml:space="preserve">The dashboard is operationally useful from day one - never an empty page asking what to click.</w:t>
      </w:r>
    </w:p>
    <w:p>
      <w:pPr>
        <w:pStyle w:val="ListParagraph"/>
        <w:numPr>
          <w:ilvl w:val="0"/>
          <w:numId w:val="2"/>
        </w:numPr>
        <w:spacing w:after="60"/>
      </w:pPr>
      <w:r>
        <w:rPr>
          <w:rFonts w:ascii="Calibri" w:cs="Calibri" w:eastAsia="Calibri" w:hAnsi="Calibri"/>
          <w:sz w:val="22"/>
          <w:szCs w:val="22"/>
        </w:rPr>
        <w:t xml:space="preserve">New intake option: "I'm not sure - request a call" routes to a short consultation form instead of forcing a service pick.</w:t>
      </w:r>
    </w:p>
    <w:p>
      <w:pPr>
        <w:pStyle w:val="ListParagraph"/>
        <w:numPr>
          <w:ilvl w:val="0"/>
          <w:numId w:val="2"/>
        </w:numPr>
        <w:spacing w:after="60"/>
      </w:pPr>
      <w:r>
        <w:rPr>
          <w:rFonts w:ascii="Calibri" w:cs="Calibri" w:eastAsia="Calibri" w:hAnsi="Calibri"/>
          <w:sz w:val="22"/>
          <w:szCs w:val="22"/>
        </w:rPr>
        <w:t xml:space="preserve">Every download follows a consistent Company_Name_Service_Name{MMDDYY}.{ext} filename convention.</w:t>
      </w:r>
    </w:p>
    <w:p>
      <w:pPr>
        <w:pStyle w:val="Heading1"/>
        <w:spacing w:after="160" w:before="280"/>
      </w:pPr>
      <w:r>
        <w:rPr>
          <w:rFonts w:ascii="Calibri" w:cs="Calibri" w:eastAsia="Calibri" w:hAnsi="Calibri"/>
          <w:b/>
          <w:bCs/>
          <w:color w:val="1B3A5B"/>
          <w:sz w:val="36"/>
          <w:szCs w:val="36"/>
        </w:rPr>
        <w:t xml:space="preserve">How to use this package</w:t>
      </w:r>
    </w:p>
    <w:p>
      <w:pPr>
        <w:pStyle w:val="Heading2"/>
        <w:spacing w:after="100" w:before="220"/>
      </w:pPr>
      <w:r>
        <w:rPr>
          <w:rFonts w:ascii="Calibri" w:cs="Calibri" w:eastAsia="Calibri" w:hAnsi="Calibri"/>
          <w:b/>
          <w:bCs/>
          <w:color w:val="222222"/>
          <w:sz w:val="28"/>
          <w:szCs w:val="28"/>
        </w:rPr>
        <w:t xml:space="preserve">If you're Eugene reviewing the package</w:t>
      </w:r>
    </w:p>
    <w:p>
      <w:pPr>
        <w:pStyle w:val="ListParagraph"/>
        <w:numPr>
          <w:ilvl w:val="0"/>
          <w:numId w:val="2"/>
        </w:numPr>
        <w:spacing w:after="60"/>
      </w:pPr>
      <w:r>
        <w:rPr>
          <w:rFonts w:ascii="Calibri" w:cs="Calibri" w:eastAsia="Calibri" w:hAnsi="Calibri"/>
          <w:sz w:val="22"/>
          <w:szCs w:val="22"/>
        </w:rPr>
        <w:t xml:space="preserve">Open the HTML mockup first. Click through the nine sections (top nav). Note the updated signup screen (now one step) and the updated service-selection screen with the 'I'm not sure' option.</w:t>
      </w:r>
    </w:p>
    <w:p>
      <w:pPr>
        <w:pStyle w:val="ListParagraph"/>
        <w:numPr>
          <w:ilvl w:val="0"/>
          <w:numId w:val="2"/>
        </w:numPr>
        <w:spacing w:after="60"/>
      </w:pPr>
      <w:r>
        <w:rPr>
          <w:rFonts w:ascii="Calibri" w:cs="Calibri" w:eastAsia="Calibri" w:hAnsi="Calibri"/>
          <w:sz w:val="22"/>
          <w:szCs w:val="22"/>
        </w:rPr>
        <w:t xml:space="preserve">Then skim the Master Spec - especially section 5 (page hierarchy), section 6 (client process flow), section 13 (design system), and section 15.5 (deliverable filename convention).</w:t>
      </w:r>
    </w:p>
    <w:p>
      <w:pPr>
        <w:pStyle w:val="ListParagraph"/>
        <w:numPr>
          <w:ilvl w:val="0"/>
          <w:numId w:val="2"/>
        </w:numPr>
        <w:spacing w:after="60"/>
      </w:pPr>
      <w:r>
        <w:rPr>
          <w:rFonts w:ascii="Calibri" w:cs="Calibri" w:eastAsia="Calibri" w:hAnsi="Calibri"/>
          <w:sz w:val="22"/>
          <w:szCs w:val="22"/>
        </w:rPr>
        <w:t xml:space="preserve">Then open the CISA and DoD questionnaires to validate the question style.</w:t>
      </w:r>
    </w:p>
    <w:p>
      <w:pPr>
        <w:pStyle w:val="ListParagraph"/>
        <w:numPr>
          <w:ilvl w:val="0"/>
          <w:numId w:val="2"/>
        </w:numPr>
        <w:spacing w:after="60"/>
      </w:pPr>
      <w:r>
        <w:rPr>
          <w:rFonts w:ascii="Calibri" w:cs="Calibri" w:eastAsia="Calibri" w:hAnsi="Calibri"/>
          <w:sz w:val="22"/>
          <w:szCs w:val="22"/>
        </w:rPr>
        <w:t xml:space="preserve">Send specific feedback on: design language (HTML), page hierarchy (Master Spec §5), questionnaire content (Word docs), filename convention (Master Spec §15.5).</w:t>
      </w:r>
    </w:p>
    <w:p>
      <w:pPr>
        <w:pStyle w:val="Heading2"/>
        <w:spacing w:after="100" w:before="220"/>
      </w:pPr>
      <w:r>
        <w:rPr>
          <w:rFonts w:ascii="Calibri" w:cs="Calibri" w:eastAsia="Calibri" w:hAnsi="Calibri"/>
          <w:b/>
          <w:bCs/>
          <w:color w:val="222222"/>
          <w:sz w:val="28"/>
          <w:szCs w:val="28"/>
        </w:rPr>
        <w:t xml:space="preserve">If you're the developer about to build this</w:t>
      </w:r>
    </w:p>
    <w:p>
      <w:pPr>
        <w:pStyle w:val="ListParagraph"/>
        <w:numPr>
          <w:ilvl w:val="0"/>
          <w:numId w:val="2"/>
        </w:numPr>
        <w:spacing w:after="60"/>
      </w:pPr>
      <w:r>
        <w:rPr>
          <w:rFonts w:ascii="Calibri" w:cs="Calibri" w:eastAsia="Calibri" w:hAnsi="Calibri"/>
          <w:sz w:val="22"/>
          <w:szCs w:val="22"/>
        </w:rPr>
        <w:t xml:space="preserve">Read the Master Spec end-to-end. Twice.</w:t>
      </w:r>
    </w:p>
    <w:p>
      <w:pPr>
        <w:pStyle w:val="ListParagraph"/>
        <w:numPr>
          <w:ilvl w:val="0"/>
          <w:numId w:val="2"/>
        </w:numPr>
        <w:spacing w:after="60"/>
      </w:pPr>
      <w:r>
        <w:rPr>
          <w:rFonts w:ascii="Calibri" w:cs="Calibri" w:eastAsia="Calibri" w:hAnsi="Calibri"/>
          <w:sz w:val="22"/>
          <w:szCs w:val="22"/>
        </w:rPr>
        <w:t xml:space="preserve">Section 15 (Build Phases) is your 17-week roadmap. Six phases, each independently shippable.</w:t>
      </w:r>
    </w:p>
    <w:p>
      <w:pPr>
        <w:pStyle w:val="ListParagraph"/>
        <w:numPr>
          <w:ilvl w:val="0"/>
          <w:numId w:val="2"/>
        </w:numPr>
        <w:spacing w:after="60"/>
      </w:pPr>
      <w:r>
        <w:rPr>
          <w:rFonts w:ascii="Calibri" w:cs="Calibri" w:eastAsia="Calibri" w:hAnsi="Calibri"/>
          <w:sz w:val="22"/>
          <w:szCs w:val="22"/>
        </w:rPr>
        <w:t xml:space="preserve">Section 11 (Data Model) defines every table you need. Use this as your Alembic starting point. The User table includes mfa_enrolled and email_verified_at columns even though v1 doesn't enforce them - this is intentional, for future re-enablement.</w:t>
      </w:r>
    </w:p>
    <w:p>
      <w:pPr>
        <w:pStyle w:val="ListParagraph"/>
        <w:numPr>
          <w:ilvl w:val="0"/>
          <w:numId w:val="2"/>
        </w:numPr>
        <w:spacing w:after="60"/>
      </w:pPr>
      <w:r>
        <w:rPr>
          <w:rFonts w:ascii="Calibri" w:cs="Calibri" w:eastAsia="Calibri" w:hAnsi="Calibri"/>
          <w:sz w:val="22"/>
          <w:szCs w:val="22"/>
        </w:rPr>
        <w:t xml:space="preserve">Section 14 (What NOT to Repeat from v1) is your defensive checklist.</w:t>
      </w:r>
    </w:p>
    <w:p>
      <w:pPr>
        <w:pStyle w:val="ListParagraph"/>
        <w:numPr>
          <w:ilvl w:val="0"/>
          <w:numId w:val="2"/>
        </w:numPr>
        <w:spacing w:after="60"/>
      </w:pPr>
      <w:r>
        <w:rPr>
          <w:rFonts w:ascii="Calibri" w:cs="Calibri" w:eastAsia="Calibri" w:hAnsi="Calibri"/>
          <w:sz w:val="22"/>
          <w:szCs w:val="22"/>
        </w:rPr>
        <w:t xml:space="preserve">Section 4.4 + Section 12 - AI provider is YOUR choice for v1; PII redaction is mandatory regardless.</w:t>
      </w:r>
    </w:p>
    <w:p>
      <w:pPr>
        <w:pStyle w:val="ListParagraph"/>
        <w:numPr>
          <w:ilvl w:val="0"/>
          <w:numId w:val="2"/>
        </w:numPr>
        <w:spacing w:after="60"/>
      </w:pPr>
      <w:r>
        <w:rPr>
          <w:rFonts w:ascii="Calibri" w:cs="Calibri" w:eastAsia="Calibri" w:hAnsi="Calibri"/>
          <w:sz w:val="22"/>
          <w:szCs w:val="22"/>
        </w:rPr>
        <w:t xml:space="preserve">Section 4.5 + Section 6.1 - MFA and email verification are commented out as feature-flag-gated steps. Build the auth code paths so flipping SHIELD_AUTH_REQUIRE_MFA and SHIELD_AUTH_REQUIRE_EMAIL_VERIFY to true re-enables both with no code change.</w:t>
      </w:r>
    </w:p>
    <w:p>
      <w:pPr>
        <w:pStyle w:val="ListParagraph"/>
        <w:numPr>
          <w:ilvl w:val="0"/>
          <w:numId w:val="2"/>
        </w:numPr>
        <w:spacing w:after="60"/>
      </w:pPr>
      <w:r>
        <w:rPr>
          <w:rFonts w:ascii="Calibri" w:cs="Calibri" w:eastAsia="Calibri" w:hAnsi="Calibri"/>
          <w:sz w:val="22"/>
          <w:szCs w:val="22"/>
        </w:rPr>
        <w:t xml:space="preserve">Section 15.5 - centralize the filename-build function in one module (services/filename.py). Every download route calls this single function.</w:t>
      </w:r>
    </w:p>
    <w:p>
      <w:pPr>
        <w:pStyle w:val="Heading1"/>
        <w:spacing w:after="160" w:before="280"/>
      </w:pPr>
      <w:r>
        <w:rPr>
          <w:rFonts w:ascii="Calibri" w:cs="Calibri" w:eastAsia="Calibri" w:hAnsi="Calibri"/>
          <w:b/>
          <w:bCs/>
          <w:color w:val="1B3A5B"/>
          <w:sz w:val="36"/>
          <w:szCs w:val="36"/>
        </w:rPr>
        <w:t xml:space="preserve">Open questions (from Master Spec §17)</w:t>
      </w:r>
    </w:p>
    <w:p>
      <w:pPr>
        <w:spacing w:after="120"/>
      </w:pPr>
      <w:r>
        <w:rPr>
          <w:rFonts w:ascii="Calibri" w:cs="Calibri" w:eastAsia="Calibri" w:hAnsi="Calibri"/>
          <w:sz w:val="22"/>
          <w:szCs w:val="22"/>
        </w:rPr>
        <w:t xml:space="preserve">These are second-tier decisions where the recommended option is listed first in the spec. If any need to flip, raise them before coding begins.</w:t>
      </w:r>
    </w:p>
    <w:p>
      <w:pPr>
        <w:pStyle w:val="ListParagraph"/>
        <w:numPr>
          <w:ilvl w:val="0"/>
          <w:numId w:val="2"/>
        </w:numPr>
        <w:spacing w:after="60"/>
      </w:pPr>
      <w:r>
        <w:rPr>
          <w:rFonts w:ascii="Calibri" w:cs="Calibri" w:eastAsia="Calibri" w:hAnsi="Calibri"/>
          <w:sz w:val="22"/>
          <w:szCs w:val="22"/>
        </w:rPr>
        <w:t xml:space="preserve">Q1 - Marketing landing page at / vs. redirect to /sign-in</w:t>
      </w:r>
    </w:p>
    <w:p>
      <w:pPr>
        <w:pStyle w:val="ListParagraph"/>
        <w:numPr>
          <w:ilvl w:val="0"/>
          <w:numId w:val="2"/>
        </w:numPr>
        <w:spacing w:after="60"/>
      </w:pPr>
      <w:r>
        <w:rPr>
          <w:rFonts w:ascii="Calibri" w:cs="Calibri" w:eastAsia="Calibri" w:hAnsi="Calibri"/>
          <w:sz w:val="22"/>
          <w:szCs w:val="22"/>
        </w:rPr>
        <w:t xml:space="preserve">Q2 - Self-registration vs. invite-only (recommendation preserves v1 self-register)</w:t>
      </w:r>
    </w:p>
    <w:p>
      <w:pPr>
        <w:pStyle w:val="ListParagraph"/>
        <w:numPr>
          <w:ilvl w:val="0"/>
          <w:numId w:val="2"/>
        </w:numPr>
        <w:spacing w:after="60"/>
      </w:pPr>
      <w:r>
        <w:rPr>
          <w:rFonts w:ascii="Calibri" w:cs="Calibri" w:eastAsia="Calibri" w:hAnsi="Calibri"/>
          <w:sz w:val="22"/>
          <w:szCs w:val="22"/>
        </w:rPr>
        <w:t xml:space="preserve">Q3 - Reviewer assignment model</w:t>
      </w:r>
    </w:p>
    <w:p>
      <w:pPr>
        <w:pStyle w:val="ListParagraph"/>
        <w:numPr>
          <w:ilvl w:val="0"/>
          <w:numId w:val="2"/>
        </w:numPr>
        <w:spacing w:after="60"/>
      </w:pPr>
      <w:r>
        <w:rPr>
          <w:rFonts w:ascii="Calibri" w:cs="Calibri" w:eastAsia="Calibri" w:hAnsi="Calibri"/>
          <w:sz w:val="22"/>
          <w:szCs w:val="22"/>
        </w:rPr>
        <w:t xml:space="preserve">Q4 - Deliverable approval flow</w:t>
      </w:r>
    </w:p>
    <w:p>
      <w:pPr>
        <w:pStyle w:val="ListParagraph"/>
        <w:numPr>
          <w:ilvl w:val="0"/>
          <w:numId w:val="2"/>
        </w:numPr>
        <w:spacing w:after="60"/>
      </w:pPr>
      <w:r>
        <w:rPr>
          <w:rFonts w:ascii="Calibri" w:cs="Calibri" w:eastAsia="Calibri" w:hAnsi="Calibri"/>
          <w:sz w:val="22"/>
          <w:szCs w:val="22"/>
        </w:rPr>
        <w:t xml:space="preserve">Q5 - ATT&amp;CK technique scope</w:t>
      </w:r>
    </w:p>
    <w:p>
      <w:pPr>
        <w:pStyle w:val="ListParagraph"/>
        <w:numPr>
          <w:ilvl w:val="0"/>
          <w:numId w:val="2"/>
        </w:numPr>
        <w:spacing w:after="60"/>
      </w:pPr>
      <w:r>
        <w:rPr>
          <w:rFonts w:ascii="Calibri" w:cs="Calibri" w:eastAsia="Calibri" w:hAnsi="Calibri"/>
          <w:b/>
          <w:bCs/>
          <w:sz w:val="22"/>
          <w:szCs w:val="22"/>
        </w:rPr>
        <w:t xml:space="preserve">Q6 - AI provider for v1: </w:t>
      </w:r>
      <w:r>
        <w:rPr>
          <w:rFonts w:ascii="Calibri" w:cs="Calibri" w:eastAsia="Calibri" w:hAnsi="Calibri"/>
          <w:sz w:val="22"/>
          <w:szCs w:val="22"/>
        </w:rPr>
        <w:t xml:space="preserve">RESOLVED - developer's choice; risk accepted.</w:t>
      </w:r>
    </w:p>
    <w:p>
      <w:pPr>
        <w:pStyle w:val="ListParagraph"/>
        <w:numPr>
          <w:ilvl w:val="0"/>
          <w:numId w:val="2"/>
        </w:numPr>
        <w:spacing w:after="60"/>
      </w:pPr>
      <w:r>
        <w:rPr>
          <w:rFonts w:ascii="Calibri" w:cs="Calibri" w:eastAsia="Calibri" w:hAnsi="Calibri"/>
          <w:sz w:val="22"/>
          <w:szCs w:val="22"/>
        </w:rPr>
        <w:t xml:space="preserve">Q7 - Languages (English-only v1)</w:t>
      </w:r>
    </w:p>
    <w:p>
      <w:pPr>
        <w:pStyle w:val="Heading1"/>
        <w:spacing w:after="160" w:before="280"/>
      </w:pPr>
      <w:r>
        <w:rPr>
          <w:rFonts w:ascii="Calibri" w:cs="Calibri" w:eastAsia="Calibri" w:hAnsi="Calibri"/>
          <w:b/>
          <w:bCs/>
          <w:color w:val="1B3A5B"/>
          <w:sz w:val="36"/>
          <w:szCs w:val="36"/>
        </w:rPr>
        <w:t xml:space="preserve">Timeline</w:t>
      </w:r>
    </w:p>
    <w:p>
      <w:pPr>
        <w:spacing w:after="120"/>
      </w:pPr>
      <w:r>
        <w:rPr>
          <w:rFonts w:ascii="Calibri" w:cs="Calibri" w:eastAsia="Calibri" w:hAnsi="Calibri"/>
          <w:sz w:val="22"/>
          <w:szCs w:val="22"/>
        </w:rPr>
        <w:t xml:space="preserve">The Master Spec assumes 17 weeks of focused development by a single senior full-stack engineer plus design support, broken into six phases. Phases 1-3 deliver a demoable MVP at week 7. Phases 4-5 deliver feature completeness at week 15. Phase 6 closes out at week 17.</w:t>
      </w:r>
    </w:p>
    <w:p>
      <w:pPr>
        <w:spacing w:after="120"/>
      </w:pPr>
      <w:r>
        <w:rPr>
          <w:rFonts w:ascii="Calibri" w:cs="Calibri" w:eastAsia="Calibri" w:hAnsi="Calibri"/>
          <w:sz w:val="22"/>
          <w:szCs w:val="22"/>
        </w:rPr>
        <w:t xml:space="preserve">Phase 1 (foundation) is now slightly shorter because MFA and email verification are deferred - the auth code paths still need to exist as feature-flag-gated stubs, but they don't need integration testing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B" w:sz="8"/>
              <w:left w:val="single" w:color="1B3A5B" w:sz="24"/>
              <w:bottom w:val="single" w:color="1B3A5B" w:sz="8"/>
              <w:right w:val="single" w:color="1B3A5B" w:sz="8"/>
            </w:tcBorders>
            <w:shd w:fill="EEF2F6" w:val="clear"/>
            <w:tcMar>
              <w:top w:type="dxa" w:w="200"/>
              <w:left w:type="dxa" w:w="240"/>
              <w:bottom w:type="dxa" w:w="200"/>
              <w:right w:type="dxa" w:w="240"/>
            </w:tcMar>
          </w:tcPr>
          <w:p>
            <w:pPr>
              <w:spacing w:after="100"/>
            </w:pPr>
            <w:r>
              <w:rPr>
                <w:rFonts w:ascii="Calibri" w:cs="Calibri" w:eastAsia="Calibri" w:hAnsi="Calibri"/>
                <w:b/>
                <w:bCs/>
                <w:color w:val="1B3A5B"/>
                <w:sz w:val="24"/>
                <w:szCs w:val="24"/>
              </w:rPr>
              <w:t xml:space="preserve">The single most important thing</w:t>
            </w:r>
          </w:p>
          <w:p>
            <w:pPr>
              <w:spacing w:after="80"/>
            </w:pPr>
            <w:r>
              <w:rPr>
                <w:rFonts w:ascii="Calibri" w:cs="Calibri" w:eastAsia="Calibri" w:hAnsi="Calibri"/>
                <w:sz w:val="22"/>
                <w:szCs w:val="22"/>
              </w:rPr>
              <w:t xml:space="preserve">If the developer takes one sentence away from this package, it should be this:</w:t>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"Every page the client sees should answer the question 'where do I stand right now?' without making the user click into a subpage, without exposing methodology internals, without raw JSON or enum slugs, and without a single moment of confusion about what to do next."</w:t>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That principle alone will prevent 80% of the v1 mistakes.</w:t>
            </w:r>
          </w:p>
        </w:tc>
      </w:tr>
    </w:tbl>
    <w:p>
      <w:pPr>
        <w:pStyle w:val="Heading1"/>
        <w:spacing w:after="160" w:before="280"/>
      </w:pPr>
      <w:r>
        <w:rPr>
          <w:rFonts w:ascii="Calibri" w:cs="Calibri" w:eastAsia="Calibri" w:hAnsi="Calibri"/>
          <w:b/>
          <w:bCs/>
          <w:color w:val="1B3A5B"/>
          <w:sz w:val="36"/>
          <w:szCs w:val="36"/>
        </w:rPr>
        <w:t xml:space="preserve">Questions about anything?</w:t>
      </w:r>
    </w:p>
    <w:p>
      <w:pPr>
        <w:spacing w:after="120"/>
      </w:pPr>
      <w:r>
        <w:rPr>
          <w:rFonts w:ascii="Calibri" w:cs="Calibri" w:eastAsia="Calibri" w:hAnsi="Calibri"/>
          <w:sz w:val="22"/>
          <w:szCs w:val="22"/>
        </w:rPr>
        <w:t xml:space="preserve">Send feedback to Eugene with specific references to the file and section. The Master Spec uses numbered sections; the HTML mockup is divided into nine numbered sections in its top nav; the questionnaires are numbered by section and question (Z-Q1, D-Q1, etc.).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Prepared May 18, 2026 - revised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SHIELD by Kentro v2.0 - Fresh-Start Design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SHIELD v2.0 Fresh-Start Design Package - README</dc:title>
  <dc:creator>SHIELD by Kentro</dc:creator>
  <cp:lastModifiedBy>Un-named</cp:lastModifiedBy>
  <cp:revision>1</cp:revision>
  <dcterms:created xsi:type="dcterms:W3CDTF">2026-05-18T14:41:44.880Z</dcterms:created>
  <dcterms:modified xsi:type="dcterms:W3CDTF">2026-05-18T14:41:44.885Z</dcterms:modified>
</cp:coreProperties>
</file>

<file path=docProps/custom.xml><?xml version="1.0" encoding="utf-8"?>
<Properties xmlns="http://schemas.openxmlformats.org/officeDocument/2006/custom-properties" xmlns:vt="http://schemas.openxmlformats.org/officeDocument/2006/docPropsVTypes"/>
</file>