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db07a8808ee2d5b45ae704b38aca963837bc87"/>
    <w:p>
      <w:pPr>
        <w:pStyle w:val="Heading1"/>
      </w:pPr>
      <w:r>
        <w:t xml:space="preserve">Zero Trust Maturity Assessment — User Guide</w:t>
      </w:r>
    </w:p>
    <w:p>
      <w:pPr>
        <w:pStyle w:val="FirstParagraph"/>
      </w:pPr>
      <w:r>
        <w:rPr>
          <w:b/>
          <w:bCs/>
        </w:rPr>
        <w:t xml:space="preserve">For: Customer / Assessment Participants</w:t>
      </w:r>
      <w:r>
        <w:t xml:space="preserve"> </w:t>
      </w:r>
      <w:r>
        <w:rPr>
          <w:b/>
          <w:bCs/>
        </w:rPr>
        <w:t xml:space="preserve">Version: 1.0 — April 2026</w:t>
      </w:r>
    </w:p>
    <w:p>
      <w:r>
        <w:pict>
          <v:rect style="width:0;height:1.5pt" o:hralign="center" o:hrstd="t" o:hr="t"/>
        </w:pict>
      </w:r>
    </w:p>
    <w:bookmarkStart w:id="20" w:name="overview"/>
    <w:p>
      <w:pPr>
        <w:pStyle w:val="Heading2"/>
      </w:pPr>
      <w:r>
        <w:t xml:space="preserve">Overview</w:t>
      </w:r>
    </w:p>
    <w:p>
      <w:pPr>
        <w:pStyle w:val="FirstParagraph"/>
      </w:pPr>
      <w:r>
        <w:t xml:space="preserve">This guide walks you through completing your Zero Trust Maturity Assessment from first login to final report download. The process takes most organisations two to four hours spread across multiple sessions — you can save your progress at any point and return later.</w:t>
      </w:r>
    </w:p>
    <w:p>
      <w:pPr>
        <w:pStyle w:val="BodyText"/>
      </w:pPr>
      <w:r>
        <w:t xml:space="preserve">The assessment measures where your organisation currently sits across the Zero Trust framework and where you want to be. Your consultant uses these responses to generate prioritised, AI-assisted remediation guidance.</w:t>
      </w:r>
    </w:p>
    <w:p>
      <w:r>
        <w:pict>
          <v:rect style="width:0;height:1.5pt" o:hralign="center" o:hrstd="t" o:hr="t"/>
        </w:pict>
      </w:r>
    </w:p>
    <w:bookmarkEnd w:id="20"/>
    <w:bookmarkStart w:id="21" w:name="logging-in"/>
    <w:p>
      <w:pPr>
        <w:pStyle w:val="Heading2"/>
      </w:pPr>
      <w:r>
        <w:t xml:space="preserve">1. Logging In</w:t>
      </w:r>
    </w:p>
    <w:p>
      <w:pPr>
        <w:pStyle w:val="Compact"/>
        <w:numPr>
          <w:ilvl w:val="0"/>
          <w:numId w:val="1001"/>
        </w:numPr>
      </w:pPr>
      <w:r>
        <w:t xml:space="preserve">Open the URL provided by your consultant in any modern web browser (Chrome, Edge, Firefox, or Safari).</w:t>
      </w:r>
    </w:p>
    <w:p>
      <w:pPr>
        <w:pStyle w:val="Compact"/>
        <w:numPr>
          <w:ilvl w:val="0"/>
          <w:numId w:val="1001"/>
        </w:numPr>
      </w:pPr>
      <w:r>
        <w:t xml:space="preserve">Enter the</w:t>
      </w:r>
      <w:r>
        <w:t xml:space="preserve"> </w:t>
      </w:r>
      <w:r>
        <w:rPr>
          <w:b/>
          <w:bCs/>
        </w:rPr>
        <w:t xml:space="preserve">username</w:t>
      </w:r>
      <w:r>
        <w:t xml:space="preserve"> </w:t>
      </w:r>
      <w:r>
        <w:t xml:space="preserve">and</w:t>
      </w:r>
      <w:r>
        <w:t xml:space="preserve"> </w:t>
      </w:r>
      <w:r>
        <w:rPr>
          <w:b/>
          <w:bCs/>
        </w:rPr>
        <w:t xml:space="preserve">password</w:t>
      </w:r>
      <w:r>
        <w:t xml:space="preserve"> </w:t>
      </w:r>
      <w:r>
        <w:t xml:space="preserve">supplied in your onboarding email.</w:t>
      </w:r>
    </w:p>
    <w:p>
      <w:pPr>
        <w:pStyle w:val="Compact"/>
        <w:numPr>
          <w:ilvl w:val="0"/>
          <w:numId w:val="1001"/>
        </w:numPr>
      </w:pPr>
      <w:r>
        <w:t xml:space="preserve">You will land on the</w:t>
      </w:r>
      <w:r>
        <w:t xml:space="preserve"> </w:t>
      </w:r>
      <w:r>
        <w:rPr>
          <w:b/>
          <w:bCs/>
        </w:rPr>
        <w:t xml:space="preserve">Assessment Dashboard</w:t>
      </w:r>
      <w:r>
        <w:t xml:space="preserve"> </w:t>
      </w:r>
      <w:r>
        <w:t xml:space="preserve">showing your active assessment.</w:t>
      </w:r>
    </w:p>
    <w:p>
      <w:pPr>
        <w:pStyle w:val="BlockText"/>
      </w:pPr>
      <w:r>
        <w:rPr>
          <w:b/>
          <w:bCs/>
        </w:rPr>
        <w:t xml:space="preserve">Forgotten password?</w:t>
      </w:r>
      <w:r>
        <w:t xml:space="preserve"> </w:t>
      </w:r>
      <w:r>
        <w:t xml:space="preserve">Contact your consultant — passwords are managed by the platform administrator.</w:t>
      </w:r>
    </w:p>
    <w:p>
      <w:r>
        <w:pict>
          <v:rect style="width:0;height:1.5pt" o:hralign="center" o:hrstd="t" o:hr="t"/>
        </w:pict>
      </w:r>
    </w:p>
    <w:bookmarkEnd w:id="21"/>
    <w:bookmarkStart w:id="23" w:name="the-assessment-workspace"/>
    <w:p>
      <w:pPr>
        <w:pStyle w:val="Heading2"/>
      </w:pPr>
      <w:r>
        <w:t xml:space="preserve">2. The Assessment Workspace</w:t>
      </w:r>
    </w:p>
    <w:p>
      <w:pPr>
        <w:pStyle w:val="FirstParagraph"/>
      </w:pPr>
      <w:r>
        <w:t xml:space="preserve">After logging in, click your assessment to open the</w:t>
      </w:r>
      <w:r>
        <w:t xml:space="preserve"> </w:t>
      </w:r>
      <w:r>
        <w:rPr>
          <w:b/>
          <w:bCs/>
        </w:rPr>
        <w:t xml:space="preserve">Workspace</w:t>
      </w:r>
      <w:r>
        <w:t xml:space="preserve">. The left-hand sidebar shows your navigation: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Sidebar item</w:t>
            </w:r>
          </w:p>
        </w:tc>
        <w:tc>
          <w:tcPr/>
          <w:p>
            <w:pPr>
              <w:pStyle w:val="Compact"/>
              <w:jc w:val="left"/>
            </w:pPr>
            <w:r>
              <w:t xml:space="preserve">What it is</w:t>
            </w:r>
          </w:p>
        </w:tc>
      </w:tr>
      <w:tr>
        <w:tc>
          <w:tcPr/>
          <w:p>
            <w:pPr>
              <w:pStyle w:val="Compact"/>
              <w:jc w:val="left"/>
            </w:pPr>
            <w:r>
              <w:rPr>
                <w:b/>
                <w:bCs/>
              </w:rPr>
              <w:t xml:space="preserve">Tool Inventory</w:t>
            </w:r>
          </w:p>
        </w:tc>
        <w:tc>
          <w:tcPr/>
          <w:p>
            <w:pPr>
              <w:pStyle w:val="Compact"/>
              <w:jc w:val="left"/>
            </w:pPr>
            <w:r>
              <w:t xml:space="preserve">List the security tools your organisation has deployed</w:t>
            </w:r>
          </w:p>
        </w:tc>
      </w:tr>
      <w:tr>
        <w:tc>
          <w:tcPr/>
          <w:p>
            <w:pPr>
              <w:pStyle w:val="Compact"/>
              <w:jc w:val="left"/>
            </w:pPr>
            <w:r>
              <w:rPr>
                <w:b/>
                <w:bCs/>
              </w:rPr>
              <w:t xml:space="preserve">[Pillar names]</w:t>
            </w:r>
          </w:p>
        </w:tc>
        <w:tc>
          <w:tcPr/>
          <w:p>
            <w:pPr>
              <w:pStyle w:val="Compact"/>
              <w:jc w:val="left"/>
            </w:pPr>
            <w:r>
              <w:t xml:space="preserve">One entry per framework pillar (e.g. User, Device, Network)</w:t>
            </w:r>
          </w:p>
        </w:tc>
      </w:tr>
      <w:tr>
        <w:tc>
          <w:tcPr/>
          <w:p>
            <w:pPr>
              <w:pStyle w:val="Compact"/>
              <w:jc w:val="left"/>
            </w:pPr>
            <w:r>
              <w:rPr>
                <w:b/>
                <w:bCs/>
              </w:rPr>
              <w:t xml:space="preserve">Submit for Review</w:t>
            </w:r>
          </w:p>
        </w:tc>
        <w:tc>
          <w:tcPr/>
          <w:p>
            <w:pPr>
              <w:pStyle w:val="Compact"/>
              <w:jc w:val="left"/>
            </w:pPr>
            <w:r>
              <w:t xml:space="preserve">Send the completed assessment to your consultant</w:t>
            </w:r>
          </w:p>
        </w:tc>
      </w:tr>
      <w:tr>
        <w:tc>
          <w:tcPr/>
          <w:p>
            <w:pPr>
              <w:pStyle w:val="Compact"/>
              <w:jc w:val="left"/>
            </w:pPr>
            <w:r>
              <w:rPr>
                <w:b/>
                <w:bCs/>
              </w:rPr>
              <w:t xml:space="preserve">Final Report (Download)</w:t>
            </w:r>
          </w:p>
        </w:tc>
        <w:tc>
          <w:tcPr/>
          <w:p>
            <w:pPr>
              <w:pStyle w:val="Compact"/>
              <w:jc w:val="left"/>
            </w:pPr>
            <w:r>
              <w:t xml:space="preserve">Appears only after your consultant has finalised the assessment</w:t>
            </w:r>
          </w:p>
        </w:tc>
      </w:tr>
    </w:tbl>
    <w:p>
      <w:pPr>
        <w:pStyle w:val="BodyText"/>
      </w:pPr>
      <w:r>
        <w:t xml:space="preserve">The overview page shows a progress table — how many activities you have answered in each pillar.</w:t>
      </w:r>
    </w:p>
    <w:bookmarkStart w:id="22" w:name="resuming-where-you-left-off"/>
    <w:p>
      <w:pPr>
        <w:pStyle w:val="Heading3"/>
      </w:pPr>
      <w:r>
        <w:t xml:space="preserve">Resuming Where You Left Off</w:t>
      </w:r>
    </w:p>
    <w:p>
      <w:pPr>
        <w:pStyle w:val="FirstParagraph"/>
      </w:pPr>
      <w:r>
        <w:t xml:space="preserve">When you revisit the workspace, it automatically opens the last pillar you were working on. To go back to the overview page instead, click</w:t>
      </w:r>
      <w:r>
        <w:t xml:space="preserve"> </w:t>
      </w:r>
      <w:r>
        <w:rPr>
          <w:b/>
          <w:bCs/>
        </w:rPr>
        <w:t xml:space="preserve">Back to Overview</w:t>
      </w:r>
      <w:r>
        <w:t xml:space="preserve"> </w:t>
      </w:r>
      <w:r>
        <w:t xml:space="preserve">on any pillar page, or add</w:t>
      </w:r>
      <w:r>
        <w:t xml:space="preserve"> </w:t>
      </w:r>
      <w:r>
        <w:rPr>
          <w:rStyle w:val="VerbatimChar"/>
        </w:rPr>
        <w:t xml:space="preserve">?overview=1</w:t>
      </w:r>
      <w:r>
        <w:t xml:space="preserve"> </w:t>
      </w:r>
      <w:r>
        <w:t xml:space="preserve">to the URL.</w:t>
      </w:r>
    </w:p>
    <w:p>
      <w:r>
        <w:pict>
          <v:rect style="width:0;height:1.5pt" o:hralign="center" o:hrstd="t" o:hr="t"/>
        </w:pict>
      </w:r>
    </w:p>
    <w:bookmarkEnd w:id="22"/>
    <w:bookmarkEnd w:id="23"/>
    <w:bookmarkStart w:id="24" w:name="tool-inventory"/>
    <w:p>
      <w:pPr>
        <w:pStyle w:val="Heading2"/>
      </w:pPr>
      <w:r>
        <w:t xml:space="preserve">3. Tool Inventory</w:t>
      </w:r>
    </w:p>
    <w:p>
      <w:pPr>
        <w:pStyle w:val="FirstParagraph"/>
      </w:pPr>
      <w:r>
        <w:t xml:space="preserve">Before filling in the pillars, list every security tool your organisation currently has deployed. This helps your consultant understand your existing coverage and produce more accurate recommendations.</w:t>
      </w:r>
    </w:p>
    <w:p>
      <w:pPr>
        <w:pStyle w:val="BodyText"/>
      </w:pPr>
      <w:r>
        <w:rPr>
          <w:b/>
          <w:bCs/>
        </w:rPr>
        <w:t xml:space="preserve">To add a tool:</w:t>
      </w:r>
    </w:p>
    <w:p>
      <w:pPr>
        <w:pStyle w:val="Compact"/>
        <w:numPr>
          <w:ilvl w:val="0"/>
          <w:numId w:val="1002"/>
        </w:numPr>
      </w:pPr>
      <w:r>
        <w:t xml:space="preserve">Click</w:t>
      </w:r>
      <w:r>
        <w:t xml:space="preserve"> </w:t>
      </w:r>
      <w:r>
        <w:rPr>
          <w:b/>
          <w:bCs/>
        </w:rPr>
        <w:t xml:space="preserve">Tool Inventory</w:t>
      </w:r>
      <w:r>
        <w:t xml:space="preserve"> </w:t>
      </w:r>
      <w:r>
        <w:t xml:space="preserve">in the sidebar.</w:t>
      </w:r>
    </w:p>
    <w:p>
      <w:pPr>
        <w:pStyle w:val="Compact"/>
        <w:numPr>
          <w:ilvl w:val="0"/>
          <w:numId w:val="1002"/>
        </w:numPr>
      </w:pPr>
      <w:r>
        <w:t xml:space="preserve">Fill in the form at the top of the page:</w:t>
      </w:r>
    </w:p>
    <w:p>
      <w:pPr>
        <w:pStyle w:val="Compact"/>
        <w:numPr>
          <w:ilvl w:val="1"/>
          <w:numId w:val="1003"/>
        </w:numPr>
      </w:pPr>
      <w:r>
        <w:rPr>
          <w:b/>
          <w:bCs/>
        </w:rPr>
        <w:t xml:space="preserve">Tool Name</w:t>
      </w:r>
      <w:r>
        <w:t xml:space="preserve"> </w:t>
      </w:r>
      <w:r>
        <w:rPr>
          <w:i/>
          <w:iCs/>
        </w:rPr>
        <w:t xml:space="preserve">(required)</w:t>
      </w:r>
      <w:r>
        <w:t xml:space="preserve"> </w:t>
      </w:r>
      <w:r>
        <w:t xml:space="preserve">— e.g. </w:t>
      </w:r>
      <w:r>
        <w:rPr>
          <w:rStyle w:val="VerbatimChar"/>
        </w:rPr>
        <w:t xml:space="preserve">Microsoft Defender for Endpoint</w:t>
      </w:r>
    </w:p>
    <w:p>
      <w:pPr>
        <w:pStyle w:val="Compact"/>
        <w:numPr>
          <w:ilvl w:val="1"/>
          <w:numId w:val="1003"/>
        </w:numPr>
      </w:pPr>
      <w:r>
        <w:rPr>
          <w:b/>
          <w:bCs/>
        </w:rPr>
        <w:t xml:space="preserve">Vendor</w:t>
      </w:r>
      <w:r>
        <w:t xml:space="preserve"> </w:t>
      </w:r>
      <w:r>
        <w:t xml:space="preserve">— e.g. </w:t>
      </w:r>
      <w:r>
        <w:rPr>
          <w:rStyle w:val="VerbatimChar"/>
        </w:rPr>
        <w:t xml:space="preserve">Microsoft</w:t>
      </w:r>
    </w:p>
    <w:p>
      <w:pPr>
        <w:pStyle w:val="Compact"/>
        <w:numPr>
          <w:ilvl w:val="1"/>
          <w:numId w:val="1003"/>
        </w:numPr>
      </w:pPr>
      <w:r>
        <w:rPr>
          <w:b/>
          <w:bCs/>
        </w:rPr>
        <w:t xml:space="preserve">Category</w:t>
      </w:r>
      <w:r>
        <w:t xml:space="preserve"> </w:t>
      </w:r>
      <w:r>
        <w:t xml:space="preserve">— e.g. </w:t>
      </w:r>
      <w:r>
        <w:rPr>
          <w:rStyle w:val="VerbatimChar"/>
        </w:rPr>
        <w:t xml:space="preserve">EDR</w:t>
      </w:r>
      <w:r>
        <w:t xml:space="preserve">,</w:t>
      </w:r>
      <w:r>
        <w:t xml:space="preserve"> </w:t>
      </w:r>
      <w:r>
        <w:rPr>
          <w:rStyle w:val="VerbatimChar"/>
        </w:rPr>
        <w:t xml:space="preserve">SIEM</w:t>
      </w:r>
      <w:r>
        <w:t xml:space="preserve">,</w:t>
      </w:r>
      <w:r>
        <w:t xml:space="preserve"> </w:t>
      </w:r>
      <w:r>
        <w:rPr>
          <w:rStyle w:val="VerbatimChar"/>
        </w:rPr>
        <w:t xml:space="preserve">PAM</w:t>
      </w:r>
      <w:r>
        <w:t xml:space="preserve">,</w:t>
      </w:r>
      <w:r>
        <w:t xml:space="preserve"> </w:t>
      </w:r>
      <w:r>
        <w:rPr>
          <w:rStyle w:val="VerbatimChar"/>
        </w:rPr>
        <w:t xml:space="preserve">Firewall</w:t>
      </w:r>
    </w:p>
    <w:p>
      <w:pPr>
        <w:pStyle w:val="Compact"/>
        <w:numPr>
          <w:ilvl w:val="1"/>
          <w:numId w:val="1003"/>
        </w:numPr>
      </w:pPr>
      <w:r>
        <w:rPr>
          <w:b/>
          <w:bCs/>
        </w:rPr>
        <w:t xml:space="preserve">Notes</w:t>
      </w:r>
      <w:r>
        <w:t xml:space="preserve"> </w:t>
      </w:r>
      <w:r>
        <w:t xml:space="preserve">— deployment scope, version, or any relevant context</w:t>
      </w:r>
    </w:p>
    <w:p>
      <w:pPr>
        <w:pStyle w:val="Compact"/>
        <w:numPr>
          <w:ilvl w:val="0"/>
          <w:numId w:val="1002"/>
        </w:numPr>
      </w:pPr>
      <w:r>
        <w:t xml:space="preserve">Click</w:t>
      </w:r>
      <w:r>
        <w:t xml:space="preserve"> </w:t>
      </w:r>
      <w:r>
        <w:rPr>
          <w:b/>
          <w:bCs/>
        </w:rPr>
        <w:t xml:space="preserve">Add Tool</w:t>
      </w:r>
      <w:r>
        <w:t xml:space="preserve">.</w:t>
      </w:r>
    </w:p>
    <w:p>
      <w:pPr>
        <w:pStyle w:val="FirstParagraph"/>
      </w:pPr>
      <w:r>
        <w:t xml:space="preserve">Repeat for each tool. You can remove a tool by clicking</w:t>
      </w:r>
      <w:r>
        <w:t xml:space="preserve"> </w:t>
      </w:r>
      <w:r>
        <w:rPr>
          <w:b/>
          <w:bCs/>
        </w:rPr>
        <w:t xml:space="preserve">Remove</w:t>
      </w:r>
      <w:r>
        <w:t xml:space="preserve"> </w:t>
      </w:r>
      <w:r>
        <w:t xml:space="preserve">next to it.</w:t>
      </w:r>
    </w:p>
    <w:p>
      <w:pPr>
        <w:pStyle w:val="BlockText"/>
      </w:pPr>
      <w:r>
        <w:rPr>
          <w:b/>
          <w:bCs/>
        </w:rPr>
        <w:t xml:space="preserve">Tip:</w:t>
      </w:r>
      <w:r>
        <w:t xml:space="preserve"> </w:t>
      </w:r>
      <w:r>
        <w:t xml:space="preserve">Include tools even if they are partially deployed or planned — your consultant can note their status during review.</w:t>
      </w:r>
    </w:p>
    <w:p>
      <w:r>
        <w:pict>
          <v:rect style="width:0;height:1.5pt" o:hralign="center" o:hrstd="t" o:hr="t"/>
        </w:pict>
      </w:r>
    </w:p>
    <w:bookmarkEnd w:id="24"/>
    <w:bookmarkStart w:id="25" w:name="completing-the-pillars"/>
    <w:p>
      <w:pPr>
        <w:pStyle w:val="Heading2"/>
      </w:pPr>
      <w:r>
        <w:t xml:space="preserve">4. Completing the Pillars</w:t>
      </w:r>
    </w:p>
    <w:p>
      <w:pPr>
        <w:pStyle w:val="FirstParagraph"/>
      </w:pPr>
      <w:r>
        <w:t xml:space="preserve">Each pillar page lists a set of activities. For each activity you need to select:</w:t>
      </w:r>
    </w:p>
    <w:p>
      <w:pPr>
        <w:pStyle w:val="Compact"/>
        <w:numPr>
          <w:ilvl w:val="0"/>
          <w:numId w:val="1004"/>
        </w:numPr>
      </w:pPr>
      <w:r>
        <w:rPr>
          <w:b/>
          <w:bCs/>
        </w:rPr>
        <w:t xml:space="preserve">Current State</w:t>
      </w:r>
      <w:r>
        <w:t xml:space="preserve"> </w:t>
      </w:r>
      <w:r>
        <w:t xml:space="preserve">— where your organisation is today</w:t>
      </w:r>
    </w:p>
    <w:p>
      <w:pPr>
        <w:pStyle w:val="Compact"/>
        <w:numPr>
          <w:ilvl w:val="0"/>
          <w:numId w:val="1004"/>
        </w:numPr>
      </w:pPr>
      <w:r>
        <w:rPr>
          <w:b/>
          <w:bCs/>
        </w:rPr>
        <w:t xml:space="preserve">Target State</w:t>
      </w:r>
      <w:r>
        <w:t xml:space="preserve"> </w:t>
      </w:r>
      <w:r>
        <w:t xml:space="preserve">— where you want to be</w:t>
      </w:r>
    </w:p>
    <w:p>
      <w:pPr>
        <w:pStyle w:val="Compact"/>
        <w:numPr>
          <w:ilvl w:val="0"/>
          <w:numId w:val="1004"/>
        </w:numPr>
      </w:pPr>
      <w:r>
        <w:rPr>
          <w:b/>
          <w:bCs/>
        </w:rPr>
        <w:t xml:space="preserve">Notes</w:t>
      </w:r>
      <w:r>
        <w:t xml:space="preserve"> </w:t>
      </w:r>
      <w:r>
        <w:rPr>
          <w:i/>
          <w:iCs/>
        </w:rPr>
        <w:t xml:space="preserve">(optional)</w:t>
      </w:r>
      <w:r>
        <w:t xml:space="preserve"> </w:t>
      </w:r>
      <w:r>
        <w:t xml:space="preserve">— any evidence, caveats, or context</w:t>
      </w:r>
    </w:p>
    <w:p>
      <w:pPr>
        <w:pStyle w:val="FirstParagraph"/>
      </w:pPr>
      <w:r>
        <w:t xml:space="preserve">The available states depend on your framework. For the</w:t>
      </w:r>
      <w:r>
        <w:t xml:space="preserve"> </w:t>
      </w:r>
      <w:r>
        <w:rPr>
          <w:b/>
          <w:bCs/>
        </w:rPr>
        <w:t xml:space="preserve">DoD Zero Trust Reference Architecture</w:t>
      </w:r>
      <w:r>
        <w:t xml:space="preserve"> </w:t>
      </w:r>
      <w:r>
        <w:t xml:space="preserve">these are typically:</w:t>
      </w:r>
      <w:r>
        <w:t xml:space="preserve"> </w:t>
      </w:r>
      <w:r>
        <w:rPr>
          <w:rStyle w:val="VerbatimChar"/>
        </w:rPr>
        <w:t xml:space="preserve">Not Met</w:t>
      </w:r>
      <w:r>
        <w:t xml:space="preserve">,</w:t>
      </w:r>
      <w:r>
        <w:t xml:space="preserve"> </w:t>
      </w:r>
      <w:r>
        <w:rPr>
          <w:rStyle w:val="VerbatimChar"/>
        </w:rPr>
        <w:t xml:space="preserve">Partial</w:t>
      </w:r>
      <w:r>
        <w:t xml:space="preserve">,</w:t>
      </w:r>
      <w:r>
        <w:t xml:space="preserve"> </w:t>
      </w:r>
      <w:r>
        <w:rPr>
          <w:rStyle w:val="VerbatimChar"/>
        </w:rPr>
        <w:t xml:space="preserve">Advanced</w:t>
      </w:r>
      <w:r>
        <w:t xml:space="preserve">,</w:t>
      </w:r>
      <w:r>
        <w:t xml:space="preserve"> </w:t>
      </w:r>
      <w:r>
        <w:rPr>
          <w:rStyle w:val="VerbatimChar"/>
        </w:rPr>
        <w:t xml:space="preserve">Optimal</w:t>
      </w:r>
      <w:r>
        <w:t xml:space="preserve">. For</w:t>
      </w:r>
      <w:r>
        <w:t xml:space="preserve"> </w:t>
      </w:r>
      <w:r>
        <w:rPr>
          <w:b/>
          <w:bCs/>
        </w:rPr>
        <w:t xml:space="preserve">CISA Zero Trust Maturity Model</w:t>
      </w:r>
      <w:r>
        <w:t xml:space="preserve"> </w:t>
      </w:r>
      <w:r>
        <w:t xml:space="preserve">they are:</w:t>
      </w:r>
      <w:r>
        <w:t xml:space="preserve"> </w:t>
      </w:r>
      <w:r>
        <w:rPr>
          <w:rStyle w:val="VerbatimChar"/>
        </w:rPr>
        <w:t xml:space="preserve">Traditional</w:t>
      </w:r>
      <w:r>
        <w:t xml:space="preserve">,</w:t>
      </w:r>
      <w:r>
        <w:t xml:space="preserve"> </w:t>
      </w:r>
      <w:r>
        <w:rPr>
          <w:rStyle w:val="VerbatimChar"/>
        </w:rPr>
        <w:t xml:space="preserve">Initial</w:t>
      </w:r>
      <w:r>
        <w:t xml:space="preserve">,</w:t>
      </w:r>
      <w:r>
        <w:t xml:space="preserve"> </w:t>
      </w:r>
      <w:r>
        <w:rPr>
          <w:rStyle w:val="VerbatimChar"/>
        </w:rPr>
        <w:t xml:space="preserve">Advanced</w:t>
      </w:r>
      <w:r>
        <w:t xml:space="preserve">,</w:t>
      </w:r>
      <w:r>
        <w:t xml:space="preserve"> </w:t>
      </w:r>
      <w:r>
        <w:rPr>
          <w:rStyle w:val="VerbatimChar"/>
        </w:rPr>
        <w:t xml:space="preserve">Optimal</w:t>
      </w:r>
      <w:r>
        <w:t xml:space="preserve">.</w:t>
      </w:r>
    </w:p>
    <w:p>
      <w:pPr>
        <w:pStyle w:val="BodyText"/>
      </w:pPr>
      <w:r>
        <w:rPr>
          <w:b/>
          <w:bCs/>
        </w:rPr>
        <w:t xml:space="preserve">To save your progress:</w:t>
      </w:r>
    </w:p>
    <w:p>
      <w:pPr>
        <w:pStyle w:val="Compact"/>
        <w:numPr>
          <w:ilvl w:val="0"/>
          <w:numId w:val="1005"/>
        </w:numPr>
      </w:pPr>
      <w:r>
        <w:t xml:space="preserve">Click</w:t>
      </w:r>
      <w:r>
        <w:t xml:space="preserve"> </w:t>
      </w:r>
      <w:r>
        <w:rPr>
          <w:b/>
          <w:bCs/>
        </w:rPr>
        <w:t xml:space="preserve">Save Responses</w:t>
      </w:r>
      <w:r>
        <w:t xml:space="preserve"> </w:t>
      </w:r>
      <w:r>
        <w:t xml:space="preserve">at the bottom of the pillar page. Your progress is saved immediately.</w:t>
      </w:r>
    </w:p>
    <w:p>
      <w:pPr>
        <w:pStyle w:val="Compact"/>
        <w:numPr>
          <w:ilvl w:val="0"/>
          <w:numId w:val="1005"/>
        </w:numPr>
      </w:pPr>
      <w:r>
        <w:t xml:space="preserve">You can also use the auto-save feature — responses are saved automatically as you move between pillars if your browser supports JavaScript.</w:t>
      </w:r>
    </w:p>
    <w:p>
      <w:pPr>
        <w:pStyle w:val="FirstParagraph"/>
      </w:pPr>
      <w:r>
        <w:t xml:space="preserve">Work through each pillar in the sidebar until all activities are answered.</w:t>
      </w:r>
    </w:p>
    <w:p>
      <w:r>
        <w:pict>
          <v:rect style="width:0;height:1.5pt" o:hralign="center" o:hrstd="t" o:hr="t"/>
        </w:pict>
      </w:r>
    </w:p>
    <w:bookmarkEnd w:id="25"/>
    <w:bookmarkStart w:id="26" w:name="sensitive-terms"/>
    <w:p>
      <w:pPr>
        <w:pStyle w:val="Heading2"/>
      </w:pPr>
      <w:r>
        <w:t xml:space="preserve">5. Sensitive Terms</w:t>
      </w:r>
    </w:p>
    <w:p>
      <w:pPr>
        <w:pStyle w:val="FirstParagraph"/>
      </w:pPr>
      <w:r>
        <w:t xml:space="preserve">If your organisation uses internal codenames, project names, hostnames, or other identifiers that should</w:t>
      </w:r>
      <w:r>
        <w:t xml:space="preserve"> </w:t>
      </w:r>
      <w:r>
        <w:rPr>
          <w:b/>
          <w:bCs/>
        </w:rPr>
        <w:t xml:space="preserve">not</w:t>
      </w:r>
      <w:r>
        <w:t xml:space="preserve"> </w:t>
      </w:r>
      <w:r>
        <w:t xml:space="preserve">appear in AI-generated content, you can register them as sensitive terms. The platform will replace them with neutral placeholders before sending any data to the AI.</w:t>
      </w:r>
    </w:p>
    <w:p>
      <w:pPr>
        <w:pStyle w:val="BodyText"/>
      </w:pPr>
      <w:r>
        <w:rPr>
          <w:b/>
          <w:bCs/>
        </w:rPr>
        <w:t xml:space="preserve">To add sensitive terms:</w:t>
      </w:r>
    </w:p>
    <w:p>
      <w:pPr>
        <w:numPr>
          <w:ilvl w:val="0"/>
          <w:numId w:val="1006"/>
        </w:numPr>
      </w:pPr>
      <w:r>
        <w:t xml:space="preserve">Go to the workspace overview page (click</w:t>
      </w:r>
      <w:r>
        <w:t xml:space="preserve"> </w:t>
      </w:r>
      <w:r>
        <w:rPr>
          <w:b/>
          <w:bCs/>
        </w:rPr>
        <w:t xml:space="preserve">Back to Overview</w:t>
      </w:r>
      <w:r>
        <w:t xml:space="preserve"> </w:t>
      </w:r>
      <w:r>
        <w:t xml:space="preserve">from any pillar).</w:t>
      </w:r>
    </w:p>
    <w:p>
      <w:pPr>
        <w:numPr>
          <w:ilvl w:val="0"/>
          <w:numId w:val="1006"/>
        </w:numPr>
      </w:pPr>
      <w:r>
        <w:t xml:space="preserve">Scroll to the</w:t>
      </w:r>
      <w:r>
        <w:t xml:space="preserve"> </w:t>
      </w:r>
      <w:r>
        <w:rPr>
          <w:b/>
          <w:bCs/>
        </w:rPr>
        <w:t xml:space="preserve">Sensitive Terms</w:t>
      </w:r>
      <w:r>
        <w:t xml:space="preserve"> </w:t>
      </w:r>
      <w:r>
        <w:t xml:space="preserve">section at the bottom.</w:t>
      </w:r>
    </w:p>
    <w:p>
      <w:pPr>
        <w:numPr>
          <w:ilvl w:val="0"/>
          <w:numId w:val="1006"/>
        </w:numPr>
      </w:pPr>
      <w:r>
        <w:t xml:space="preserve">Type one term per line in the text box — for example:</w:t>
      </w:r>
    </w:p>
    <w:p>
      <w:pPr>
        <w:pStyle w:val="SourceCode"/>
        <w:numPr>
          <w:ilvl w:val="0"/>
          <w:numId w:val="1000"/>
        </w:numPr>
      </w:pPr>
      <w:r>
        <w:rPr>
          <w:rStyle w:val="VerbatimChar"/>
        </w:rPr>
        <w:t xml:space="preserve">Project Phoenix</w:t>
      </w:r>
      <w:r>
        <w:br/>
      </w:r>
      <w:r>
        <w:rPr>
          <w:rStyle w:val="VerbatimChar"/>
        </w:rPr>
        <w:t xml:space="preserve">db01.internal</w:t>
      </w:r>
      <w:r>
        <w:br/>
      </w:r>
      <w:r>
        <w:rPr>
          <w:rStyle w:val="VerbatimChar"/>
        </w:rPr>
        <w:t xml:space="preserve">10.0.1.0/24</w:t>
      </w:r>
    </w:p>
    <w:p>
      <w:pPr>
        <w:numPr>
          <w:ilvl w:val="0"/>
          <w:numId w:val="1006"/>
        </w:numPr>
      </w:pPr>
      <w:r>
        <w:t xml:space="preserve">Click</w:t>
      </w:r>
      <w:r>
        <w:t xml:space="preserve"> </w:t>
      </w:r>
      <w:r>
        <w:rPr>
          <w:b/>
          <w:bCs/>
        </w:rPr>
        <w:t xml:space="preserve">Save Terms</w:t>
      </w:r>
      <w:r>
        <w:t xml:space="preserve">.</w:t>
      </w:r>
    </w:p>
    <w:p>
      <w:pPr>
        <w:pStyle w:val="FirstParagraph"/>
      </w:pPr>
      <w:r>
        <w:t xml:space="preserve">Added terms are shown in the list above the input box. Your consultant can also add terms on your behalf from the admin side.</w:t>
      </w:r>
    </w:p>
    <w:p>
      <w:r>
        <w:pict>
          <v:rect style="width:0;height:1.5pt" o:hralign="center" o:hrstd="t" o:hr="t"/>
        </w:pict>
      </w:r>
    </w:p>
    <w:bookmarkEnd w:id="26"/>
    <w:bookmarkStart w:id="27" w:name="submitting-for-review"/>
    <w:p>
      <w:pPr>
        <w:pStyle w:val="Heading2"/>
      </w:pPr>
      <w:r>
        <w:t xml:space="preserve">6. Submitting for Review</w:t>
      </w:r>
    </w:p>
    <w:p>
      <w:pPr>
        <w:pStyle w:val="FirstParagraph"/>
      </w:pPr>
      <w:r>
        <w:t xml:space="preserve">Once you have completed all pillars and added your tools, click</w:t>
      </w:r>
      <w:r>
        <w:t xml:space="preserve"> </w:t>
      </w:r>
      <w:r>
        <w:rPr>
          <w:b/>
          <w:bCs/>
        </w:rPr>
        <w:t xml:space="preserve">Submit for Review</w:t>
      </w:r>
      <w:r>
        <w:t xml:space="preserve"> </w:t>
      </w:r>
      <w:r>
        <w:t xml:space="preserve">in the sidebar.</w:t>
      </w:r>
    </w:p>
    <w:p>
      <w:pPr>
        <w:pStyle w:val="BodyText"/>
      </w:pPr>
      <w:r>
        <w:t xml:space="preserve">The submission page shows a summary of how many activities you have answered. Review this, then click the</w:t>
      </w:r>
      <w:r>
        <w:t xml:space="preserve"> </w:t>
      </w:r>
      <w:r>
        <w:rPr>
          <w:b/>
          <w:bCs/>
        </w:rPr>
        <w:t xml:space="preserve">Submit Assessment</w:t>
      </w:r>
      <w:r>
        <w:t xml:space="preserve"> </w:t>
      </w:r>
      <w:r>
        <w:t xml:space="preserve">button.</w:t>
      </w:r>
    </w:p>
    <w:p>
      <w:pPr>
        <w:pStyle w:val="BodyText"/>
      </w:pPr>
      <w:r>
        <w:t xml:space="preserve">After submission:</w:t>
      </w:r>
      <w:r>
        <w:t xml:space="preserve"> </w:t>
      </w:r>
      <w:r>
        <w:t xml:space="preserve">- The assessment status changes to</w:t>
      </w:r>
      <w:r>
        <w:t xml:space="preserve"> </w:t>
      </w:r>
      <w:r>
        <w:rPr>
          <w:b/>
          <w:bCs/>
        </w:rPr>
        <w:t xml:space="preserve">Awaiting Review</w:t>
      </w:r>
      <w:r>
        <w:t xml:space="preserve">.</w:t>
      </w:r>
      <w:r>
        <w:t xml:space="preserve"> </w:t>
      </w:r>
      <w:r>
        <w:t xml:space="preserve">- You can no longer edit responses unless your consultant reopens the assessment.</w:t>
      </w:r>
      <w:r>
        <w:t xml:space="preserve"> </w:t>
      </w:r>
      <w:r>
        <w:t xml:space="preserve">- Your consultant will review your responses, generate AI findings, and finalise the report.</w:t>
      </w:r>
    </w:p>
    <w:p>
      <w:r>
        <w:pict>
          <v:rect style="width:0;height:1.5pt" o:hralign="center" o:hrstd="t" o:hr="t"/>
        </w:pict>
      </w:r>
    </w:p>
    <w:bookmarkEnd w:id="27"/>
    <w:bookmarkStart w:id="28" w:name="downloading-the-final-report"/>
    <w:p>
      <w:pPr>
        <w:pStyle w:val="Heading2"/>
      </w:pPr>
      <w:r>
        <w:t xml:space="preserve">7. Downloading the Final Report</w:t>
      </w:r>
    </w:p>
    <w:p>
      <w:pPr>
        <w:pStyle w:val="FirstParagraph"/>
      </w:pPr>
      <w:r>
        <w:t xml:space="preserve">Once your consultant has finalised the assessment, a</w:t>
      </w:r>
      <w:r>
        <w:t xml:space="preserve"> </w:t>
      </w:r>
      <w:r>
        <w:rPr>
          <w:b/>
          <w:bCs/>
        </w:rPr>
        <w:t xml:space="preserve">Final Report (Download)</w:t>
      </w:r>
      <w:r>
        <w:t xml:space="preserve"> </w:t>
      </w:r>
      <w:r>
        <w:t xml:space="preserve">link appears at the bottom of the sidebar.</w:t>
      </w:r>
    </w:p>
    <w:p>
      <w:pPr>
        <w:pStyle w:val="BodyText"/>
      </w:pPr>
      <w:r>
        <w:t xml:space="preserve">Click it to download your personalised Excel workbook containing:</w:t>
      </w:r>
    </w:p>
    <w:p>
      <w:pPr>
        <w:pStyle w:val="Compact"/>
        <w:numPr>
          <w:ilvl w:val="0"/>
          <w:numId w:val="1007"/>
        </w:numPr>
      </w:pPr>
      <w:r>
        <w:rPr>
          <w:b/>
          <w:bCs/>
        </w:rPr>
        <w:t xml:space="preserve">Executive Summary</w:t>
      </w:r>
      <w:r>
        <w:t xml:space="preserve"> </w:t>
      </w:r>
      <w:r>
        <w:t xml:space="preserve">— pillar scores, gap overview, and top 5 priority gaps</w:t>
      </w:r>
    </w:p>
    <w:p>
      <w:pPr>
        <w:pStyle w:val="Compact"/>
        <w:numPr>
          <w:ilvl w:val="0"/>
          <w:numId w:val="1007"/>
        </w:numPr>
      </w:pPr>
      <w:r>
        <w:rPr>
          <w:b/>
          <w:bCs/>
        </w:rPr>
        <w:t xml:space="preserve">Gap Register</w:t>
      </w:r>
      <w:r>
        <w:t xml:space="preserve"> </w:t>
      </w:r>
      <w:r>
        <w:t xml:space="preserve">— every identified gap with priority, AI-generated remediation guidance, and related tools</w:t>
      </w:r>
    </w:p>
    <w:p>
      <w:pPr>
        <w:pStyle w:val="Compact"/>
        <w:numPr>
          <w:ilvl w:val="0"/>
          <w:numId w:val="1007"/>
        </w:numPr>
      </w:pPr>
      <w:r>
        <w:rPr>
          <w:b/>
          <w:bCs/>
        </w:rPr>
        <w:t xml:space="preserve">Pillar detail sheets</w:t>
      </w:r>
      <w:r>
        <w:t xml:space="preserve"> </w:t>
      </w:r>
      <w:r>
        <w:t xml:space="preserve">— your responses and scoring for each pillar</w:t>
      </w:r>
    </w:p>
    <w:p>
      <w:pPr>
        <w:pStyle w:val="Compact"/>
        <w:numPr>
          <w:ilvl w:val="0"/>
          <w:numId w:val="1007"/>
        </w:numPr>
      </w:pPr>
      <w:r>
        <w:rPr>
          <w:b/>
          <w:bCs/>
        </w:rPr>
        <w:t xml:space="preserve">Tool Inventory Mapping</w:t>
      </w:r>
      <w:r>
        <w:t xml:space="preserve"> </w:t>
      </w:r>
      <w:r>
        <w:t xml:space="preserve">— how your tools map to framework activities, plus redundancy and underutilisation analysis</w:t>
      </w:r>
    </w:p>
    <w:p>
      <w:pPr>
        <w:pStyle w:val="Compact"/>
        <w:numPr>
          <w:ilvl w:val="0"/>
          <w:numId w:val="1007"/>
        </w:numPr>
      </w:pPr>
      <w:r>
        <w:rPr>
          <w:b/>
          <w:bCs/>
        </w:rPr>
        <w:t xml:space="preserve">Methodology</w:t>
      </w:r>
      <w:r>
        <w:t xml:space="preserve"> </w:t>
      </w:r>
      <w:r>
        <w:t xml:space="preserve">— explanation of the scoring and gap-finding approach</w:t>
      </w:r>
    </w:p>
    <w:p>
      <w:r>
        <w:pict>
          <v:rect style="width:0;height:1.5pt" o:hralign="center" o:hrstd="t" o:hr="t"/>
        </w:pict>
      </w:r>
    </w:p>
    <w:bookmarkEnd w:id="28"/>
    <w:bookmarkStart w:id="29" w:name="frequently-asked-questions"/>
    <w:p>
      <w:pPr>
        <w:pStyle w:val="Heading2"/>
      </w:pPr>
      <w:r>
        <w:t xml:space="preserve">8. Frequently Asked Questions</w:t>
      </w:r>
    </w:p>
    <w:p>
      <w:pPr>
        <w:pStyle w:val="FirstParagraph"/>
      </w:pPr>
      <w:r>
        <w:rPr>
          <w:b/>
          <w:bCs/>
        </w:rPr>
        <w:t xml:space="preserve">Can I edit my responses after submitting?</w:t>
      </w:r>
      <w:r>
        <w:t xml:space="preserve"> </w:t>
      </w:r>
      <w:r>
        <w:t xml:space="preserve">Not directly — contact your consultant and ask them to reopen the assessment.</w:t>
      </w:r>
    </w:p>
    <w:p>
      <w:pPr>
        <w:pStyle w:val="BodyText"/>
      </w:pPr>
      <w:r>
        <w:rPr>
          <w:b/>
          <w:bCs/>
        </w:rPr>
        <w:t xml:space="preserve">Are my responses kept confidential?</w:t>
      </w:r>
      <w:r>
        <w:t xml:space="preserve"> </w:t>
      </w:r>
      <w:r>
        <w:t xml:space="preserve">Yes. Sensitive terms you register are scrubbed from all AI prompts. Your data is stored in your organisation’s dedicated assessment and is not shared with other organisations.</w:t>
      </w:r>
    </w:p>
    <w:p>
      <w:pPr>
        <w:pStyle w:val="BodyText"/>
      </w:pPr>
      <w:r>
        <w:rPr>
          <w:b/>
          <w:bCs/>
        </w:rPr>
        <w:t xml:space="preserve">How long does the assessment stay available?</w:t>
      </w:r>
      <w:r>
        <w:t xml:space="preserve"> </w:t>
      </w:r>
      <w:r>
        <w:t xml:space="preserve">Assessments remain accessible until your consultant archives or deletes them. Download your final report for a permanent copy.</w:t>
      </w:r>
    </w:p>
    <w:p>
      <w:pPr>
        <w:pStyle w:val="BodyText"/>
      </w:pPr>
      <w:r>
        <w:rPr>
          <w:b/>
          <w:bCs/>
        </w:rPr>
        <w:t xml:space="preserve">What browsers are supported?</w:t>
      </w:r>
      <w:r>
        <w:t xml:space="preserve"> </w:t>
      </w:r>
      <w:r>
        <w:t xml:space="preserve">Any modern browser: Chrome 110+, Edge 110+, Firefox 110+, Safari 16+. Internet Explorer is not supported.</w:t>
      </w:r>
    </w:p>
    <w:p>
      <w:r>
        <w:pict>
          <v:rect style="width:0;height:1.5pt" o:hralign="center" o:hrstd="t" o:hr="t"/>
        </w:pict>
      </w:r>
    </w:p>
    <w:p>
      <w:pPr>
        <w:pStyle w:val="FirstParagraph"/>
      </w:pPr>
      <w:r>
        <w:rPr>
          <w:i/>
          <w:iCs/>
        </w:rPr>
        <w:t xml:space="preserve">For technical issues, contact your consultant or the platform administrator.</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2026-04-29T22:37:19Z</dcterms:created>
  <dcterms:modified xsi:type="dcterms:W3CDTF">2026-04-29T22:37:19Z</dcterms:modified>
</cp:coreProperties>
</file>

<file path=docProps/custom.xml><?xml version="1.0" encoding="utf-8"?>
<Properties xmlns="http://schemas.openxmlformats.org/officeDocument/2006/custom-properties" xmlns:vt="http://schemas.openxmlformats.org/officeDocument/2006/docPropsVTypes"/>
</file>