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60" w:after="120"/>
      </w:pPr>
      <w:r>
        <w:rPr>
          <w:rFonts w:ascii="Arial" w:hAnsi="Arial" w:cs="Arial" w:eastAsia="Hiragino Sans GB"/>
          <w:b/>
          <w:color w:val="5E7CE0"/>
          <w:sz w:val="18"/>
        </w:rPr>
        <w:t>PANDOC REFERENCE DOCUMENT</w:t>
      </w:r>
    </w:p>
    <w:p>
      <w:pPr>
        <w:pStyle w:val="Title"/>
      </w:pPr>
      <w:r>
        <w:t>OpenTiny Next 技术手册</w:t>
      </w:r>
    </w:p>
    <w:p>
      <w:pPr>
        <w:pStyle w:val="Subtitle"/>
      </w:pPr>
      <w:r>
        <w:t>中文技术教程 · A4 Word 样式预览</w:t>
      </w:r>
    </w:p>
    <w:p>
      <w:pPr>
        <w:pStyle w:val="BlockText"/>
      </w:pPr>
      <w:r>
        <w:rPr>
          <w:b/>
        </w:rPr>
        <w:t>说明：</w:t>
      </w:r>
      <w:r>
        <w:t>本页用于预览 reference.docx 的样式。Pandoc 转换 Markdown 时只读取样式、页面设置、页眉与页脚，不会复制本页正文。</w:t>
      </w:r>
    </w:p>
    <w:p>
      <w:pPr>
        <w:pStyle w:val="Heading1"/>
      </w:pPr>
      <w:r>
        <w:t>一级标题：清晰组织技术步骤</w:t>
      </w:r>
    </w:p>
    <w:p>
      <w:pPr>
        <w:pStyle w:val="BodyText"/>
      </w:pPr>
      <w:r>
        <w:t>正文适合中文技术手册。段落使用舒适的行距与紧凑的段后距，</w:t>
      </w:r>
      <w:r>
        <w:rPr>
          <w:rStyle w:val="VerbatimChar"/>
        </w:rPr>
        <w:t>document.modelContext.registerTool()</w:t>
      </w:r>
      <w:r>
        <w:t xml:space="preserve"> 等内联代码会以等宽字体和浅色底纹突出显示。</w:t>
      </w:r>
    </w:p>
    <w:p>
      <w:pPr>
        <w:numPr>
          <w:ilvl w:val="0"/>
          <w:numId w:val="1003"/>
        </w:numPr>
        <w:pStyle w:val="BodyText"/>
        <w:spacing w:after="80"/>
      </w:pPr>
      <w:r>
        <w:t>截图、代码和说明保持明确的阅读层次。</w:t>
      </w:r>
    </w:p>
    <w:p>
      <w:pPr>
        <w:numPr>
          <w:ilvl w:val="0"/>
          <w:numId w:val="1003"/>
        </w:numPr>
        <w:pStyle w:val="BodyText"/>
        <w:spacing w:after="80"/>
      </w:pPr>
      <w:r>
        <w:t>列表缩进紧凑，换行后与正文起始位置对齐。</w:t>
      </w:r>
    </w:p>
    <w:p>
      <w:pPr>
        <w:numPr>
          <w:ilvl w:val="0"/>
          <w:numId w:val="1003"/>
        </w:numPr>
        <w:pStyle w:val="BodyText"/>
        <w:spacing w:after="80"/>
      </w:pPr>
      <w:r>
        <w:t>蓝色强调适度，适合产品与开发者文档。</w:t>
      </w:r>
    </w:p>
    <w:p>
      <w:pPr>
        <w:pStyle w:val="Heading2"/>
      </w:pPr>
      <w:r>
        <w:t>二级标题：代码示例</w:t>
      </w:r>
    </w:p>
    <w:p>
      <w:pPr>
        <w:pStyle w:val="SourceCode"/>
        <w:spacing w:before="100"/>
      </w:pPr>
      <w:r>
        <w:t>modelContext.registerTool({</w:t>
      </w:r>
    </w:p>
    <w:p>
      <w:pPr>
        <w:pStyle w:val="SourceCode"/>
      </w:pPr>
      <w:r>
        <w:t xml:space="preserve">  name: 'order_query',</w:t>
      </w:r>
    </w:p>
    <w:p>
      <w:pPr>
        <w:pStyle w:val="SourceCode"/>
      </w:pPr>
      <w:r>
        <w:t xml:space="preserve">  description: '查询订单列表，并同步页面筛选条件。',</w:t>
      </w:r>
    </w:p>
    <w:p>
      <w:pPr>
        <w:pStyle w:val="SourceCode"/>
      </w:pPr>
      <w:r>
        <w:t xml:space="preserve">  execute: async (input) =&gt; queryOrders(input),</w:t>
      </w:r>
    </w:p>
    <w:p>
      <w:pPr>
        <w:pStyle w:val="SourceCode"/>
        <w:spacing w:after="160"/>
      </w:pPr>
      <w:r>
        <w:t>})</w:t>
      </w:r>
    </w:p>
    <w:p>
      <w:pPr>
        <w:pStyle w:val="Heading3"/>
      </w:pPr>
      <w:r>
        <w:t>三级标题：结构化信息</w:t>
      </w:r>
    </w:p>
    <w:tbl>
      <w:tblPr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1F0"/>
          <w:left w:val="single" w:sz="6" w:space="0" w:color="D8E1F0"/>
          <w:bottom w:val="single" w:sz="6" w:space="0" w:color="D8E1F0"/>
          <w:right w:val="single" w:sz="6" w:space="0" w:color="D8E1F0"/>
          <w:insideH w:val="single" w:sz="6" w:space="0" w:color="D8E1F0"/>
          <w:insideV w:val="single" w:sz="6" w:space="0" w:color="D8E1F0"/>
        </w:tblBorders>
      </w:tblPr>
      <w:tblGrid>
        <w:gridCol w:w="2400"/>
        <w:gridCol w:w="2150"/>
        <w:gridCol w:w="4860"/>
      </w:tblGrid>
      <w:tr>
        <w:trPr>
          <w:tblHeader w:val="true"/>
        </w:trPr>
        <w:tc>
          <w:tcPr>
            <w:tcW w:type="dxa" w:w="2400"/>
            <w:shd w:fill="3451B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 w:eastAsia="Hiragino Sans GB"/>
                <w:b/>
                <w:color w:val="FFFFFF"/>
                <w:sz w:val="19"/>
              </w:rPr>
              <w:t>页面目标</w:t>
            </w:r>
          </w:p>
        </w:tc>
        <w:tc>
          <w:tcPr>
            <w:tcW w:type="dxa" w:w="2150"/>
            <w:shd w:fill="3451B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 w:eastAsia="Hiragino Sans GB"/>
                <w:b/>
                <w:color w:val="FFFFFF"/>
                <w:sz w:val="19"/>
              </w:rPr>
              <w:t>允许动作</w:t>
            </w:r>
          </w:p>
        </w:tc>
        <w:tc>
          <w:tcPr>
            <w:tcW w:type="dxa" w:w="4860"/>
            <w:shd w:fill="3451B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 w:eastAsia="Hiragino Sans GB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orders-page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query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查询订单管理页面结构</w:t>
            </w:r>
          </w:p>
        </w:tc>
      </w:tr>
      <w:tr>
        <w:tc>
          <w:tcPr>
            <w:tcW w:type="dxa" w:w="2400"/>
            <w:shd w:fill="F3F6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orders-list</w:t>
            </w:r>
          </w:p>
        </w:tc>
        <w:tc>
          <w:tcPr>
            <w:tcW w:type="dxa" w:w="2150"/>
            <w:shd w:fill="F3F6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navigation</w:t>
            </w:r>
          </w:p>
        </w:tc>
        <w:tc>
          <w:tcPr>
            <w:tcW w:type="dxa" w:w="4860"/>
            <w:shd w:fill="F3F6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滚动定位到订单列表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orders-navigation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navigation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cs="Arial" w:eastAsia="Hiragino Sans GB"/>
                <w:color w:val="233044"/>
                <w:sz w:val="19"/>
              </w:rPr>
              <w:t>进入订单管理页面</w:t>
            </w:r>
          </w:p>
        </w:tc>
      </w:tr>
    </w:tbl>
    <w:p>
      <w:pPr>
        <w:pStyle w:val="TableCaption"/>
        <w:keepNext w:val="0"/>
      </w:pPr>
      <w:r>
        <w:t>表 1：技术手册表格样式示例</w:t>
      </w:r>
    </w:p>
    <w:p>
      <w:pPr>
        <w:pStyle w:val="Heading3"/>
      </w:pPr>
      <w:r>
        <w:t>引用与提示</w:t>
      </w:r>
    </w:p>
    <w:p>
      <w:pPr>
        <w:pStyle w:val="BlockText"/>
      </w:pPr>
      <w:r>
        <w:t>重要：PageTool 只用于已声明的页面查询和导航；涉及提交、删除或支付时，应使用具备权限校验与确认机制的专用工具。</w:t>
      </w:r>
    </w:p>
    <w:p>
      <w:pPr>
        <w:pStyle w:val="Heading3"/>
      </w:pPr>
      <w:r>
        <w:t>有序步骤</w:t>
      </w:r>
    </w:p>
    <w:p>
      <w:pPr>
        <w:numPr>
          <w:ilvl w:val="0"/>
          <w:numId w:val="1004"/>
        </w:numPr>
        <w:pStyle w:val="BodyText"/>
        <w:spacing w:after="80"/>
      </w:pPr>
      <w:r>
        <w:t>准备 Markdown 与本地图片资源。</w:t>
      </w:r>
    </w:p>
    <w:p>
      <w:pPr>
        <w:numPr>
          <w:ilvl w:val="0"/>
          <w:numId w:val="1004"/>
        </w:numPr>
        <w:pStyle w:val="BodyText"/>
        <w:spacing w:after="80"/>
      </w:pPr>
      <w:r>
        <w:t>使用 reference.docx 执行 Pandoc 转换。</w:t>
      </w:r>
    </w:p>
    <w:p>
      <w:pPr>
        <w:numPr>
          <w:ilvl w:val="0"/>
          <w:numId w:val="1004"/>
        </w:numPr>
        <w:pStyle w:val="BodyText"/>
        <w:spacing w:after="80"/>
      </w:pPr>
      <w:r>
        <w:t>在 Word 中检查代码换行、图片大小和表格分页。</w:t>
      </w:r>
    </w:p>
    <w:p>
      <w:pPr>
        <w:pStyle w:val="ImageCaption"/>
      </w:pPr>
      <w:r>
        <w:t>图 1：图片与界面截图建议使用居中的 Caption 样式。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top="1247" w:bottom="1247" w:left="1247" w:right="1247" w:header="709" w:footer="70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rial" w:hAnsi="Arial" w:cs="Arial" w:eastAsia="Hiragino Sans GB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 w:line="240" w:lineRule="auto"/>
      <w:jc w:val="left"/>
      <w:pBdr>
        <w:bottom w:val="single" w:sz="5" w:space="4" w:color="D8E1F0"/>
      </w:pBdr>
    </w:pPr>
    <w:r>
      <w:rPr>
        <w:rFonts w:ascii="Arial" w:hAnsi="Arial" w:cs="Arial" w:eastAsia="Hiragino Sans GB"/>
        <w:b/>
        <w:color w:val="667085"/>
        <w:sz w:val="17"/>
      </w:rPr>
      <w:t>OpenTiny Next · 技术手册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abstractNum w:abstractNumId="99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 w:cs="Arial" w:eastAsia="Hiragino Sans GB"/>
      </w:rPr>
    </w:lvl>
  </w:abstractNum>
  <w:num w:numId="1001">
    <w:abstractNumId w:val="991"/>
  </w:num>
  <w:abstractNum w:abstractNumId="99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02">
    <w:abstractNumId w:val="992"/>
  </w:num>
  <w:abstractNum w:abstractNumId="99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 w:cs="Arial" w:eastAsia="Hiragino Sans GB"/>
      </w:rPr>
    </w:lvl>
  </w:abstractNum>
  <w:num w:numId="1003">
    <w:abstractNumId w:val="993"/>
  </w:num>
  <w:abstractNum w:abstractNumId="99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04">
    <w:abstractNumId w:val="99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keepLines w:val="0"/>
      <w:widowControl/>
      <w:spacing w:before="0" w:after="120" w:line="300" w:lineRule="auto"/>
    </w:pPr>
    <w:rPr>
      <w:rFonts w:ascii="Arial" w:hAnsi="Arial" w:cs="Arial" w:eastAsia="Hiragino Sans GB"/>
      <w:color w:val="233044"/>
      <w:sz w:val="21"/>
    </w:rPr>
  </w:style>
  <w:style w:type="paragraph" w:styleId="BodyText">
    <w:name w:val="Body Text"/>
    <w:basedOn w:val="Normal"/>
    <w:link w:val="BodyTextChar"/>
    <w:qFormat/>
    <w:pPr>
      <w:keepNext w:val="0"/>
      <w:keepLines w:val="0"/>
      <w:widowControl/>
      <w:spacing w:before="0" w:after="120" w:line="300" w:lineRule="auto"/>
    </w:pPr>
    <w:rPr>
      <w:rFonts w:ascii="Arial" w:hAnsi="Arial" w:cs="Arial" w:eastAsia="Hiragino Sans GB"/>
      <w:color w:val="233044"/>
      <w:sz w:val="21"/>
    </w:rPr>
  </w:style>
  <w:style w:type="paragraph" w:customStyle="1" w:styleId="FirstParagraph">
    <w:name w:val="First Paragraph"/>
    <w:basedOn w:val="BodyText"/>
    <w:next w:val="BodyText"/>
    <w:qFormat/>
    <w:pPr>
      <w:keepNext w:val="0"/>
      <w:keepLines w:val="0"/>
      <w:widowControl/>
      <w:spacing w:before="0" w:after="120" w:line="300" w:lineRule="auto"/>
    </w:pPr>
    <w:rPr>
      <w:rFonts w:ascii="Arial" w:hAnsi="Arial" w:cs="Arial" w:eastAsia="Hiragino Sans GB"/>
      <w:color w:val="233044"/>
      <w:sz w:val="21"/>
    </w:rPr>
  </w:style>
  <w:style w:type="paragraph" w:customStyle="1" w:styleId="Compact">
    <w:name w:val="Compact"/>
    <w:basedOn w:val="BodyText"/>
    <w:qFormat/>
    <w:pPr>
      <w:keepNext w:val="0"/>
      <w:keepLines w:val="0"/>
      <w:widowControl/>
      <w:spacing w:before="0" w:after="60" w:line="300" w:lineRule="auto"/>
    </w:pPr>
    <w:rPr>
      <w:rFonts w:ascii="Arial" w:hAnsi="Arial" w:cs="Arial" w:eastAsia="Hiragino Sans GB"/>
      <w:color w:val="233044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keepLines w:val="0"/>
      <w:widowControl/>
      <w:spacing w:after="140" w:line="240" w:lineRule="auto" w:before="0"/>
      <w:contextualSpacing/>
      <w:jc w:val="left"/>
    </w:pPr>
    <w:rPr>
      <w:rFonts w:asciiTheme="majorHAnsi" w:eastAsiaTheme="majorEastAsia" w:hAnsiTheme="majorHAnsi" w:cstheme="majorBidi" w:ascii="Arial" w:hAnsi="Arial" w:cs="Arial" w:eastAsia="Hiragino Sans GB"/>
      <w:b/>
      <w:color w:val="1F3A5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keepLines w:val="0"/>
      <w:widowControl/>
      <w:numPr>
        <w:ilvl w:val="1"/>
      </w:numPr>
      <w:spacing w:before="0" w:after="400" w:line="276" w:lineRule="auto"/>
    </w:pPr>
    <w:rPr>
      <w:rFonts w:eastAsiaTheme="majorEastAsia" w:cstheme="majorBidi" w:ascii="Arial" w:hAnsi="Arial" w:cs="Arial" w:eastAsia="Hiragino Sans GB"/>
      <w:color w:val="667085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keepLines w:val="0"/>
      <w:widowControl/>
      <w:spacing w:before="0" w:after="120" w:line="300" w:lineRule="auto"/>
    </w:pPr>
    <w:rPr>
      <w:rFonts w:ascii="Arial" w:hAnsi="Arial" w:cs="Arial" w:eastAsia="Hiragino Sans GB"/>
      <w:color w:val="23304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360" w:after="200" w:line="264" w:lineRule="auto"/>
      <w:outlineLvl w:val="0"/>
    </w:pPr>
    <w:rPr>
      <w:rFonts w:asciiTheme="majorHAnsi" w:eastAsiaTheme="majorEastAsia" w:hAnsiTheme="majorHAnsi" w:cstheme="majorBidi" w:ascii="Arial" w:hAnsi="Arial" w:cs="Arial" w:eastAsia="Hiragino Sans GB"/>
      <w:b/>
      <w:color w:val="3451B2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80" w:after="140" w:line="264" w:lineRule="auto"/>
      <w:outlineLvl w:val="1"/>
    </w:pPr>
    <w:rPr>
      <w:rFonts w:asciiTheme="majorHAnsi" w:eastAsiaTheme="majorEastAsia" w:hAnsiTheme="majorHAnsi" w:cstheme="majorBidi" w:ascii="Arial" w:hAnsi="Arial" w:cs="Arial" w:eastAsia="Hiragino Sans GB"/>
      <w:b/>
      <w:color w:val="5E7CE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00" w:after="100" w:line="264" w:lineRule="auto"/>
      <w:outlineLvl w:val="2"/>
    </w:pPr>
    <w:rPr>
      <w:rFonts w:eastAsiaTheme="majorEastAsia" w:cstheme="majorBidi" w:ascii="Arial" w:hAnsi="Arial" w:cs="Arial" w:eastAsia="Hiragino Sans GB"/>
      <w:b/>
      <w:color w:val="1F3A5F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before="160" w:after="80" w:line="264" w:lineRule="auto"/>
      <w:outlineLvl w:val="3"/>
    </w:pPr>
    <w:rPr>
      <w:rFonts w:eastAsiaTheme="majorEastAsia" w:cstheme="majorBidi" w:ascii="Arial" w:hAnsi="Arial" w:cs="Arial" w:eastAsia="Hiragino Sans GB"/>
      <w:b/>
      <w:i/>
      <w:iCs/>
      <w:color w:val="1F3A5F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keepLines/>
      <w:widowControl/>
      <w:spacing w:before="120" w:after="160" w:line="300" w:lineRule="auto"/>
      <w:ind w:firstLine="0" w:left="255" w:right="113"/>
      <w:shd w:val="clear" w:color="auto" w:fill="F3F6FC"/>
      <w:pBdr>
        <w:left w:val="single" w:sz="14" w:space="8" w:color="5E7CE0"/>
      </w:pBdr>
    </w:pPr>
    <w:rPr>
      <w:rFonts w:ascii="Arial" w:hAnsi="Arial" w:cs="Arial" w:eastAsia="Hiragino Sans GB"/>
      <w:i w:val="0"/>
      <w:color w:val="475467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cs="Arial" w:eastAsia="Hiragino Sans GB"/>
      <w:color w:val="233044"/>
      <w:sz w:val="19"/>
    </w:rPr>
    <w:tblPr>
      <w:tblInd w:w="0" w:type="dxa"/>
      <w:tblCellMar>
        <w:top w:w="80" w:type="dxa"/>
        <w:left w:w="108" w:type="dxa"/>
        <w:bottom w:w="80" w:type="dxa"/>
        <w:right w:w="108" w:type="dxa"/>
        <w:start w:w="120" w:type="dxa"/>
        <w:end w:w="120" w:type="dxa"/>
      </w:tblCellMar>
      <w:tblBorders>
        <w:top w:val="single" w:sz="6" w:color="D8E1F0"/>
        <w:left w:val="single" w:sz="6" w:color="D8E1F0"/>
        <w:bottom w:val="single" w:sz="6" w:color="D8E1F0"/>
        <w:right w:val="single" w:sz="6" w:color="D8E1F0"/>
        <w:insideH w:val="single" w:sz="6" w:color="D8E1F0"/>
        <w:insideV w:val="single" w:sz="6" w:color="D8E1F0"/>
      </w:tblBorders>
    </w:tblPr>
    <w:tblStylePr w:type="firstRow">
      <w:tcPr>
        <w:shd w:val="clear" w:fill="3451B2"/>
      </w:tcPr>
      <w:rPr>
        <w:b/>
        <w:color w:val="FFFFFF"/>
      </w:rPr>
    </w:tblStylePr>
    <w:tblStylePr w:type="band1Horz">
      <w:tcPr>
        <w:shd w:val="clear" w:fill="F3F6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 w:val="0"/>
      <w:widowControl/>
      <w:spacing w:after="40" w:before="100" w:line="288" w:lineRule="auto"/>
    </w:pPr>
    <w:rPr>
      <w:rFonts w:ascii="Arial" w:hAnsi="Arial" w:cs="Arial" w:eastAsia="Hiragino Sans GB"/>
      <w:b/>
      <w:color w:val="1F3A5F"/>
      <w:sz w:val="21"/>
    </w:rPr>
  </w:style>
  <w:style w:type="paragraph" w:customStyle="1" w:styleId="Definition">
    <w:name w:val="Definition"/>
    <w:basedOn w:val="Normal"/>
    <w:pPr>
      <w:keepNext w:val="0"/>
      <w:keepLines w:val="0"/>
      <w:widowControl/>
      <w:spacing w:before="0" w:after="120" w:line="300" w:lineRule="auto"/>
    </w:pPr>
    <w:rPr>
      <w:rFonts w:ascii="Arial" w:hAnsi="Arial" w:cs="Arial" w:eastAsia="Hiragino Sans GB"/>
      <w:color w:val="233044"/>
      <w:sz w:val="21"/>
    </w:rPr>
  </w:style>
  <w:style w:type="paragraph" w:styleId="Caption">
    <w:name w:val="Caption"/>
    <w:basedOn w:val="Normal"/>
    <w:link w:val="BodyTextChar"/>
    <w:pPr>
      <w:keepNext/>
      <w:keepLines w:val="0"/>
      <w:widowControl/>
      <w:spacing w:before="80" w:after="160" w:line="264" w:lineRule="auto"/>
      <w:jc w:val="center"/>
    </w:pPr>
    <w:rPr>
      <w:rFonts w:ascii="Arial" w:hAnsi="Arial" w:cs="Arial" w:eastAsia="Hiragino Sans GB"/>
      <w:i w:val="0"/>
      <w:color w:val="667085"/>
      <w:sz w:val="18"/>
    </w:rPr>
  </w:style>
  <w:style w:type="paragraph" w:customStyle="1" w:styleId="TableCaption">
    <w:name w:val="Table Caption"/>
    <w:basedOn w:val="Caption"/>
    <w:pPr>
      <w:keepNext/>
      <w:keepLines w:val="0"/>
      <w:widowControl/>
      <w:spacing w:before="80" w:after="160" w:line="264" w:lineRule="auto"/>
      <w:jc w:val="center"/>
    </w:pPr>
    <w:rPr>
      <w:rFonts w:ascii="Arial" w:hAnsi="Arial" w:cs="Arial" w:eastAsia="Hiragino Sans GB"/>
      <w:i w:val="0"/>
      <w:color w:val="667085"/>
      <w:sz w:val="18"/>
    </w:rPr>
  </w:style>
  <w:style w:type="paragraph" w:customStyle="1" w:styleId="ImageCaption">
    <w:name w:val="Image Caption"/>
    <w:basedOn w:val="Caption"/>
    <w:pPr>
      <w:keepNext/>
      <w:keepLines w:val="0"/>
      <w:widowControl/>
      <w:spacing w:before="80" w:after="160" w:line="264" w:lineRule="auto"/>
      <w:jc w:val="center"/>
    </w:pPr>
    <w:rPr>
      <w:rFonts w:ascii="Arial" w:hAnsi="Arial" w:cs="Arial" w:eastAsia="Hiragino Sans GB"/>
      <w:i w:val="0"/>
      <w:color w:val="667085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Hiragino Sans GB"/>
      <w:color w:val="3451B2"/>
      <w:sz w:val="18"/>
      <w:shd w:val="clear" w:fill="EAF0FF"/>
      <w:shd w:val="clear" w:fill="EAF0FF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Arial" w:hAnsi="Arial" w:cs="Arial" w:eastAsia="Hiragino Sans GB"/>
      <w:b w:val="0"/>
      <w:color w:val="5E7CE0"/>
      <w:sz w:val="2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keepNext w:val="0"/>
      <w:keepLines w:val="0"/>
      <w:widowControl/>
      <w:spacing w:before="0" w:after="0" w:line="252" w:lineRule="auto"/>
      <w:ind w:left="181" w:right="181"/>
      <w:shd w:val="clear" w:color="auto" w:fill="F5F7FA"/>
    </w:pPr>
    <w:rPr>
      <w:rFonts w:ascii="Menlo" w:hAnsi="Menlo" w:cs="Menlo" w:eastAsia="Hiragino Sans GB"/>
      <w:color w:val="1D2939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OpenTiny Next 技术手册 Pandoc 参考样式</dc:title>
  <dc:creator>OpenTiny</dc:creator>
  <cp:keywords>Pandoc, OpenTiny, 技术手册, reference.docx</cp:keywords>
  <dcterms:created xsi:type="dcterms:W3CDTF">2017-12-27T05:22:50Z</dcterms:created>
  <dcterms:modified xsi:type="dcterms:W3CDTF">2017-12-27T05:22:50Z</dcterms:modified>
  <dc:subject>Pandoc reference.docx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