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studio-legale-ai-manuale-utente"/>
    <w:p>
      <w:pPr>
        <w:pStyle w:val="Heading1"/>
      </w:pPr>
      <w:r>
        <w:t xml:space="preserve">Studio Legale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2.1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 Maggio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Studio Legale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Avv. Marco della Luna, collaboratori e segretarie dello studio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studio-legale-ai"/>
    <w:p>
      <w:pPr>
        <w:pStyle w:val="Heading3"/>
      </w:pPr>
      <w:r>
        <w:t xml:space="preserve">Cos’è Studio Legale AI</w:t>
      </w:r>
    </w:p>
    <w:p>
      <w:pPr>
        <w:pStyle w:val="FirstParagraph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una piattaforma completa di gestione dello studio legale che unisce strumenti di organizzazione pratiche, generazione automatica di documenti giuridici e ricerca legale avanzata.</w:t>
      </w:r>
    </w:p>
    <w:p>
      <w:pPr>
        <w:pStyle w:val="BodyText"/>
      </w:pPr>
      <w:r>
        <w:t xml:space="preserve">Tutto gira su server locali. Nessun dato dei clienti lascia mai il tuo computer.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Organizzare clienti e pratiche</w:t>
      </w:r>
      <w:r>
        <w:t xml:space="preserve"> </w:t>
      </w:r>
      <w:r>
        <w:t xml:space="preserve">in un unico sistema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Generare documenti giuridici</w:t>
      </w:r>
      <w:r>
        <w:t xml:space="preserve"> </w:t>
      </w:r>
      <w:r>
        <w:t xml:space="preserve">con agenti AI specializzati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Cercare norme, giurisprudenza e dottrina</w:t>
      </w:r>
      <w:r>
        <w:t xml:space="preserve"> </w:t>
      </w:r>
      <w:r>
        <w:t xml:space="preserve">con ricercatori AI dedicati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Tracciare scadenze, udienze e termini</w:t>
      </w:r>
      <w:r>
        <w:t xml:space="preserve"> </w:t>
      </w:r>
      <w:r>
        <w:t xml:space="preserve">con promemoria automatici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Esportare e inviare documenti</w:t>
      </w:r>
      <w:r>
        <w:t xml:space="preserve"> </w:t>
      </w:r>
      <w:r>
        <w:t xml:space="preserve">in PDF, DOCX o via email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Verificare citazioni</w:t>
      </w:r>
      <w:r>
        <w:t xml:space="preserve"> </w:t>
      </w:r>
      <w:r>
        <w:t xml:space="preserve">della Cassazione con un clic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citazione si genera in 2–3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Protocollo automatico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documenti si numerano da soli (es. 2026/001)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 citazioni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L’AI controlla che le sentenze della Cassazione esistano davvero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http://localhost:8506</w:t>
      </w:r>
    </w:p>
    <w:p>
      <w:pPr>
        <w:pStyle w:val="FirstParagraph"/>
      </w:pPr>
      <w:r>
        <w:t xml:space="preserve">Se usi il tunnel Cloudflare:</w:t>
      </w:r>
    </w:p>
    <w:p>
      <w:pPr>
        <w:pStyle w:val="SourceCode"/>
      </w:pPr>
      <w:r>
        <w:rPr>
          <w:rStyle w:val="VerbatimChar"/>
        </w:rPr>
        <w:t xml:space="preserve">https://studio-legale.tuo-dominio.workers.dev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"/>
    <w:p>
      <w:pPr>
        <w:pStyle w:val="Heading2"/>
      </w:pPr>
      <w:r>
        <w:t xml:space="preserve">2. Dashboard</w:t>
      </w:r>
    </w:p>
    <w:bookmarkStart w:id="25" w:name="panoramica-della-home-page"/>
    <w:p>
      <w:pPr>
        <w:pStyle w:val="Heading3"/>
      </w:pPr>
      <w:r>
        <w:t xml:space="preserve">Panoramica della home page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è la prima pagina che vedi dopo l’accesso. Ti dà un quadro immediato della situazione dello studio ed è anche il punto di contatto con l’</w:t>
      </w:r>
      <w:r>
        <w:rPr>
          <w:bCs/>
          <w:b/>
        </w:rPr>
        <w:t xml:space="preserve">Avvocato Generico</w:t>
      </w:r>
      <w:r>
        <w:t xml:space="preserve">, l’agente AI per domande rapide.</w:t>
      </w:r>
    </w:p>
    <w:bookmarkEnd w:id="25"/>
    <w:bookmarkStart w:id="26" w:name="cosa-mostra"/>
    <w:p>
      <w:pPr>
        <w:pStyle w:val="Heading3"/>
      </w:pPr>
      <w:r>
        <w:t xml:space="preserve">Cosa mostra</w:t>
      </w:r>
    </w:p>
    <w:p>
      <w:pPr>
        <w:pStyle w:val="FirstParagraph"/>
      </w:pPr>
      <w:r>
        <w:t xml:space="preserve">In alto trovi una riga di</w:t>
      </w:r>
      <w:r>
        <w:t xml:space="preserve"> </w:t>
      </w:r>
      <w:r>
        <w:rPr>
          <w:bCs/>
          <w:b/>
        </w:rPr>
        <w:t xml:space="preserve">contatori colorati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Clienti totali</w:t>
      </w:r>
      <w:r>
        <w:t xml:space="preserve"> </w:t>
      </w:r>
      <w:r>
        <w:t xml:space="preserve">— Quanti clienti hai in anagrafica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aperte</w:t>
      </w:r>
      <w:r>
        <w:t xml:space="preserve"> </w:t>
      </w:r>
      <w:r>
        <w:t xml:space="preserve">— Casi attualmente in corso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in scadenza</w:t>
      </w:r>
      <w:r>
        <w:t xml:space="preserve"> </w:t>
      </w:r>
      <w:r>
        <w:t xml:space="preserve">— Casi con data chiusura imminente (entro 30 giorni)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chiuse</w:t>
      </w:r>
      <w:r>
        <w:t xml:space="preserve"> </w:t>
      </w:r>
      <w:r>
        <w:t xml:space="preserve">— Casi archiviati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Documenti prodotti</w:t>
      </w:r>
      <w:r>
        <w:t xml:space="preserve"> </w:t>
      </w:r>
      <w:r>
        <w:t xml:space="preserve">— Totale documenti generati finora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Scadenze imminenti</w:t>
      </w:r>
      <w:r>
        <w:t xml:space="preserve"> </w:t>
      </w:r>
      <w:r>
        <w:t xml:space="preserve">— Prossime udienze, termini e appuntamenti</w:t>
      </w:r>
    </w:p>
    <w:bookmarkEnd w:id="26"/>
    <w:bookmarkStart w:id="27" w:name="menu-di-navigazione"/>
    <w:p>
      <w:pPr>
        <w:pStyle w:val="Heading3"/>
      </w:pPr>
      <w:r>
        <w:t xml:space="preserve">Menu di navigazione</w:t>
      </w:r>
    </w:p>
    <w:p>
      <w:pPr>
        <w:pStyle w:val="FirstParagraph"/>
      </w:pPr>
      <w:r>
        <w:t xml:space="preserve">Sulla sinistra (o in alto, a seconda dello schermo) trovi il menu principale: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Panoramica + chat con l’Avvocato Generico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Clienti</w:t>
      </w:r>
      <w:r>
        <w:t xml:space="preserve"> </w:t>
      </w:r>
      <w:r>
        <w:t xml:space="preserve">— Anagrafica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Gestione casi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Generazione con Documentalista e Segretaria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</w:t>
      </w:r>
      <w:r>
        <w:t xml:space="preserve"> </w:t>
      </w:r>
      <w:r>
        <w:t xml:space="preserve">— Ricerca con Ricercatore Giuridico e Cassazione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— Scadenze e promemoria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Impostazioni</w:t>
      </w:r>
      <w:r>
        <w:t xml:space="preserve"> </w:t>
      </w:r>
      <w:r>
        <w:t xml:space="preserve">—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Clicca sempre su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quando vuoi tornare alla home.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estione-clienti"/>
    <w:p>
      <w:pPr>
        <w:pStyle w:val="Heading2"/>
      </w:pPr>
      <w:r>
        <w:t xml:space="preserve">3. Gestione Clienti</w:t>
      </w:r>
    </w:p>
    <w:bookmarkStart w:id="29" w:name="creare-un-nuovo-cliente"/>
    <w:p>
      <w:pPr>
        <w:pStyle w:val="Heading3"/>
      </w:pPr>
      <w:r>
        <w:t xml:space="preserve">Creare un nuovo cliente</w:t>
      </w:r>
    </w:p>
    <w:p>
      <w:pPr>
        <w:numPr>
          <w:ilvl w:val="0"/>
          <w:numId w:val="100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Clienti</w:t>
      </w:r>
      <w:r>
        <w:t xml:space="preserve"> </w:t>
      </w:r>
      <w:r>
        <w:t xml:space="preserve">nel menu</w:t>
      </w:r>
    </w:p>
    <w:p>
      <w:pPr>
        <w:numPr>
          <w:ilvl w:val="0"/>
          <w:numId w:val="1004"/>
        </w:numPr>
        <w:pStyle w:val="Compact"/>
      </w:pPr>
      <w:r>
        <w:t xml:space="preserve">Clicca sul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Compila il modulo che appare: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info@mariorossi.it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Roma 1,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P.IVA /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12345678901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(default: Privato)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Avvertenze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dilazionato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acquisito da referenza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Il cliente apparirà subito nella lista.</w:t>
      </w:r>
    </w:p>
    <w:bookmarkEnd w:id="29"/>
    <w:bookmarkStart w:id="30" w:name="esempio-concreto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inserire una nuova azienda cliente.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Nome: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info@mariorossi.it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Telefono:</w:t>
      </w:r>
      <w:r>
        <w:t xml:space="preserve"> </w:t>
      </w:r>
      <w:r>
        <w:t xml:space="preserve">02 12345678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cliente:</w:t>
      </w:r>
      <w:r>
        <w:t xml:space="preserve"> </w:t>
      </w:r>
      <w:r>
        <w:t xml:space="preserve">Azienda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Avvertenze:</w:t>
      </w:r>
      <w:r>
        <w:t xml:space="preserve"> </w:t>
      </w:r>
      <w:r>
        <w:t xml:space="preserve">“</w:t>
      </w:r>
      <w:r>
        <w:t xml:space="preserve">Fattura mensile, pagamento a 60 giorni</w:t>
      </w:r>
      <w:r>
        <w:t xml:space="preserve">”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Il cliente è pronto per essere collegato a una pratica.</w:t>
      </w:r>
    </w:p>
    <w:bookmarkEnd w:id="30"/>
    <w:bookmarkStart w:id="31" w:name="modificare-i-dati-di-un-cliente"/>
    <w:p>
      <w:pPr>
        <w:pStyle w:val="Heading3"/>
      </w:pPr>
      <w:r>
        <w:t xml:space="preserve">Modificare i dati di un cliente</w:t>
      </w:r>
    </w:p>
    <w:p>
      <w:pPr>
        <w:numPr>
          <w:ilvl w:val="0"/>
          <w:numId w:val="1006"/>
        </w:numPr>
        <w:pStyle w:val="Compact"/>
      </w:pPr>
      <w:r>
        <w:t xml:space="preserve">Nella lista clienti,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cliente</w:t>
      </w:r>
    </w:p>
    <w:p>
      <w:pPr>
        <w:numPr>
          <w:ilvl w:val="0"/>
          <w:numId w:val="1006"/>
        </w:numPr>
        <w:pStyle w:val="Compact"/>
      </w:pPr>
      <w:r>
        <w:t xml:space="preserve">Modifica i campi desiderati</w:t>
      </w:r>
    </w:p>
    <w:p>
      <w:pPr>
        <w:numPr>
          <w:ilvl w:val="0"/>
          <w:numId w:val="100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1"/>
    <w:bookmarkStart w:id="32" w:name="aggiungere-avvertenze"/>
    <w:p>
      <w:pPr>
        <w:pStyle w:val="Heading3"/>
      </w:pPr>
      <w:r>
        <w:t xml:space="preserve">Aggiungere avvertenze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avvertenze</w:t>
      </w:r>
      <w:r>
        <w:t xml:space="preserve"> </w:t>
      </w:r>
      <w:r>
        <w:t xml:space="preserve">sono note speciali visibili in prima pagina quando apri il cliente.</w:t>
      </w:r>
    </w:p>
    <w:p>
      <w:pPr>
        <w:pStyle w:val="BodyText"/>
      </w:pPr>
      <w:r>
        <w:t xml:space="preserve">Esempi utili: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Cliente allergico alle formalità — usare tono informale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Pagamento sempre in ritardo — richiedere acconto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Preferisce contatti telefonici, non email</w:t>
      </w:r>
      <w:r>
        <w:t xml:space="preserve">”</w:t>
      </w:r>
    </w:p>
    <w:bookmarkEnd w:id="32"/>
    <w:bookmarkStart w:id="33" w:name="X07333b28c2531d2a028cd5a06deae06382fbb0b"/>
    <w:p>
      <w:pPr>
        <w:pStyle w:val="Heading3"/>
      </w:pPr>
      <w:r>
        <w:t xml:space="preserve">Visualizzare pratiche e documenti associati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nome del cliente. Vedrai: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Lista dei casi collegati a quel cliente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Tutti i documenti generati per lui, con numero di protocollo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 un cliente ha molte pratiche, usa la barra di ricerca in alto per filtrare per nome.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gestione-casi-pratiche"/>
    <w:p>
      <w:pPr>
        <w:pStyle w:val="Heading2"/>
      </w:pPr>
      <w:r>
        <w:t xml:space="preserve">4. Gestione Casi / Pratiche</w:t>
      </w:r>
    </w:p>
    <w:bookmarkStart w:id="35" w:name="creare-una-nuova-pratica"/>
    <w:p>
      <w:pPr>
        <w:pStyle w:val="Heading3"/>
      </w:pPr>
      <w:r>
        <w:t xml:space="preserve">Creare una nuova pratica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Pratiche</w:t>
      </w:r>
      <w:r>
        <w:t xml:space="preserve"> </w:t>
      </w:r>
      <w:r>
        <w:t xml:space="preserve">nel menu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Pratica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Compila il modulo: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giuridica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Diritto 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chiusura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Avvocato assegnato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Avv. Marco della 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Fornitura non pagata, fattura n. 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5"/>
    <w:bookmarkStart w:id="36" w:name="se-il-cliente-non-esiste-ancora"/>
    <w:p>
      <w:pPr>
        <w:pStyle w:val="Heading3"/>
      </w:pPr>
      <w:r>
        <w:t xml:space="preserve">Se il cliente non esiste ancora</w:t>
      </w:r>
    </w:p>
    <w:p>
      <w:pPr>
        <w:pStyle w:val="FirstParagraph"/>
      </w:pPr>
      <w:r>
        <w:t xml:space="preserve">Se il cliente non è in anagrafica:</w:t>
      </w:r>
    </w:p>
    <w:p>
      <w:pPr>
        <w:numPr>
          <w:ilvl w:val="0"/>
          <w:numId w:val="1010"/>
        </w:numPr>
        <w:pStyle w:val="Compact"/>
      </w:pPr>
      <w:r>
        <w:t xml:space="preserve">Nel campo</w:t>
      </w:r>
      <w:r>
        <w:t xml:space="preserve"> </w:t>
      </w:r>
      <w:r>
        <w:rPr>
          <w:bCs/>
          <w:b/>
        </w:rPr>
        <w:t xml:space="preserve">Cliente</w:t>
      </w:r>
      <w:r>
        <w:t xml:space="preserve">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Crea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Si apre una finestra popup</w:t>
      </w:r>
    </w:p>
    <w:p>
      <w:pPr>
        <w:numPr>
          <w:ilvl w:val="0"/>
          <w:numId w:val="1010"/>
        </w:numPr>
        <w:pStyle w:val="Compact"/>
      </w:pPr>
      <w:r>
        <w:t xml:space="preserve">Compila i dati del nuovo cliente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 e seleziona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cliente viene creato e subito selezionato nella pratica</w:t>
      </w:r>
    </w:p>
    <w:bookmarkEnd w:id="36"/>
    <w:bookmarkStart w:id="37" w:name="esempio-concreto-1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Nuova pratica per Mario Rossi Srl.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Titolo:</w:t>
      </w:r>
      <w:r>
        <w:t xml:space="preserve"> </w:t>
      </w:r>
      <w:r>
        <w:t xml:space="preserve">Recupero crediti fornitura non pagata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Numero pratica:</w:t>
      </w:r>
      <w:r>
        <w:t xml:space="preserve"> </w:t>
      </w:r>
      <w:r>
        <w:t xml:space="preserve">2025/042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pratica:</w:t>
      </w:r>
      <w:r>
        <w:t xml:space="preserve"> </w:t>
      </w:r>
      <w:r>
        <w:t xml:space="preserve">Commerciale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apertura:</w:t>
      </w:r>
      <w:r>
        <w:t xml:space="preserve"> </w:t>
      </w:r>
      <w:r>
        <w:t xml:space="preserve">15/01/2025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chiusura prevista:</w:t>
      </w:r>
      <w:r>
        <w:t xml:space="preserve"> </w:t>
      </w:r>
      <w:r>
        <w:t xml:space="preserve">30/06/2025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Controversia per fornitura software non pagata, fattura n. 123 del 10/12/2024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La pratica è aperta.</w:t>
      </w:r>
    </w:p>
    <w:bookmarkEnd w:id="37"/>
    <w:bookmarkStart w:id="38" w:name="cambiare-lo-stato-di-una-pratica"/>
    <w:p>
      <w:pPr>
        <w:pStyle w:val="Heading3"/>
      </w:pPr>
      <w:r>
        <w:t xml:space="preserve">Cambiare lo stato di una pratica</w:t>
      </w:r>
    </w:p>
    <w:p>
      <w:pPr>
        <w:pStyle w:val="FirstParagraph"/>
      </w:pPr>
      <w:r>
        <w:t xml:space="preserve">Ogni pratica ha uno stato: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in corso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attesa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attesa di documenti o decisioni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imminente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conclusa</w:t>
            </w:r>
          </w:p>
        </w:tc>
      </w:tr>
    </w:tbl>
    <w:p>
      <w:pPr>
        <w:pStyle w:val="BodyText"/>
      </w:pPr>
      <w:r>
        <w:t xml:space="preserve">Per cambiare stato:</w:t>
      </w:r>
      <w:r>
        <w:t xml:space="preserve"> </w:t>
      </w:r>
      <w:r>
        <w:t xml:space="preserve">1. Nella lista pratiche,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2. Seleziona il nuovo stato dal menu a tendina</w:t>
      </w:r>
      <w:r>
        <w:t xml:space="preserve"> </w:t>
      </w:r>
      <w:r>
        <w:t xml:space="preserve">3.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8"/>
    <w:bookmarkStart w:id="39" w:name="visualizzare-scadenze-e-documenti"/>
    <w:p>
      <w:pPr>
        <w:pStyle w:val="Heading3"/>
      </w:pPr>
      <w:r>
        <w:t xml:space="preserve">Visualizzare scadenze e documenti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alla pratica. Vedrai: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Scadenze collegate</w:t>
      </w:r>
      <w:r>
        <w:t xml:space="preserve"> </w:t>
      </w:r>
      <w:r>
        <w:t xml:space="preserve">— Udienze, termini, appuntamenti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Documenti collegati</w:t>
      </w:r>
      <w:r>
        <w:t xml:space="preserve"> </w:t>
      </w:r>
      <w:r>
        <w:t xml:space="preserve">— Atti, memorie, lettere generate</w:t>
      </w:r>
    </w:p>
    <w:bookmarkEnd w:id="39"/>
    <w:bookmarkStart w:id="40" w:name="filtrare-le-pratiche"/>
    <w:p>
      <w:pPr>
        <w:pStyle w:val="Heading3"/>
      </w:pPr>
      <w:r>
        <w:t xml:space="preserve">Filtrare le pratiche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aperte, chiuse,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</w:t>
      </w:r>
      <w:r>
        <w:t xml:space="preserve"> </w:t>
      </w:r>
      <w:r>
        <w:t xml:space="preserve">— Civile, Penale, Amministrativo,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giuridica</w:t>
      </w:r>
      <w:r>
        <w:t xml:space="preserve"> </w:t>
      </w:r>
      <w:r>
        <w:t xml:space="preserve">— Filtra per specializzazione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</w:t>
      </w:r>
      <w:r>
        <w:t xml:space="preserve"> </w:t>
      </w:r>
      <w:r>
        <w:t xml:space="preserve">— Se ci sono più professionisti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generazione-documenti"/>
    <w:p>
      <w:pPr>
        <w:pStyle w:val="Heading2"/>
      </w:pPr>
      <w:r>
        <w:t xml:space="preserve">5. Generazione Documenti</w:t>
      </w:r>
    </w:p>
    <w:bookmarkStart w:id="42" w:name="gli-agenti-del-modulo-documenti"/>
    <w:p>
      <w:pPr>
        <w:pStyle w:val="Heading3"/>
      </w:pPr>
      <w:r>
        <w:t xml:space="preserve">Gli agenti del modulo Documenti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atti giuridici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Memorie, contratti, ricorsi, pareri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Segretaria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 amministrativi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di trasmissione, promemoria, solleciti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tipo di documento.</w:t>
      </w:r>
    </w:p>
    <w:p>
      <w:r>
        <w:pict>
          <v:rect style="width:0;height:1.5pt" o:hralign="center" o:hrstd="t" o:hr="t"/>
        </w:pict>
      </w:r>
    </w:p>
    <w:bookmarkEnd w:id="42"/>
    <w:bookmarkStart w:id="43" w:name="i-11-tipi-di-documento-disponibili"/>
    <w:p>
      <w:pPr>
        <w:pStyle w:val="Heading3"/>
      </w:pPr>
      <w:r>
        <w:t xml:space="preserve">I 11 tipi di documento disponibili</w:t>
      </w:r>
    </w:p>
    <w:p>
      <w:pPr>
        <w:pStyle w:val="FirstParagraph"/>
      </w:pPr>
      <w:r>
        <w:t xml:space="preserve">Studio Legale AI può generare i seguenti documenti giuridici: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formale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Comunicazioni ufficiali a clienti o avversari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citazione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Avvio giudizio civile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di messa in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Diffida ad adempiere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Offerta economica per prestazioni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spettanze professionali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Ricorso amministrativo o tributario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di assistenza legale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Memoria difensiva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Atto difensivo in giudizio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scritto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giuridica motivata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 di trasmissione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Accompagnamento 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 su tema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 approfondito con fonti</w:t>
            </w:r>
          </w:p>
        </w:tc>
      </w:tr>
    </w:tbl>
    <w:bookmarkEnd w:id="43"/>
    <w:bookmarkStart w:id="44" w:name="come-generare-un-documento"/>
    <w:p>
      <w:pPr>
        <w:pStyle w:val="Heading3"/>
      </w:pPr>
      <w:r>
        <w:t xml:space="preserve">Come generare un documento</w:t>
      </w:r>
    </w:p>
    <w:p>
      <w:pPr>
        <w:numPr>
          <w:ilvl w:val="0"/>
          <w:numId w:val="101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11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dal menu a tendina</w:t>
      </w:r>
    </w:p>
    <w:p>
      <w:pPr>
        <w:numPr>
          <w:ilvl w:val="0"/>
          <w:numId w:val="1011"/>
        </w:numPr>
        <w:pStyle w:val="Compact"/>
      </w:pPr>
      <w:r>
        <w:t xml:space="preserve">Compila i campi richiesti (variano in base al tipo)</w:t>
      </w:r>
    </w:p>
    <w:p>
      <w:pPr>
        <w:numPr>
          <w:ilvl w:val="0"/>
          <w:numId w:val="1011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(facoltativo ma consigliato)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</w:t>
      </w:r>
      <w:r>
        <w:t xml:space="preserve"> </w:t>
      </w:r>
      <w:r>
        <w:rPr>
          <w:bCs/>
          <w:b/>
        </w:rPr>
        <w:t xml:space="preserve">seleziona automaticamente l’agente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Se scegli</w:t>
      </w:r>
      <w:r>
        <w:t xml:space="preserve"> </w:t>
      </w:r>
      <w:r>
        <w:t xml:space="preserve">“</w:t>
      </w:r>
      <w:r>
        <w:t xml:space="preserve">Nota di trasmissione</w:t>
      </w:r>
      <w:r>
        <w:t xml:space="preserve">”</w:t>
      </w:r>
      <w:r>
        <w:t xml:space="preserve"> </w:t>
      </w:r>
      <w:r>
        <w:t xml:space="preserve">→ interviene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(veloce, ~10s)</w:t>
      </w:r>
    </w:p>
    <w:p>
      <w:pPr>
        <w:numPr>
          <w:ilvl w:val="1"/>
          <w:numId w:val="1012"/>
        </w:numPr>
        <w:pStyle w:val="Compact"/>
      </w:pPr>
      <w:r>
        <w:t xml:space="preserve">Se scegli qualsiasi altro atto → interviene il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(~30-60s)</w:t>
      </w:r>
    </w:p>
    <w:p>
      <w:pPr>
        <w:numPr>
          <w:ilvl w:val="0"/>
          <w:numId w:val="1011"/>
        </w:numPr>
        <w:pStyle w:val="Compact"/>
      </w:pPr>
      <w:r>
        <w:t xml:space="preserve">Il documento apparirà nell’editor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 sul formato:</w:t>
      </w:r>
      <w:r>
        <w:t xml:space="preserve"> </w:t>
      </w:r>
      <w:r>
        <w:t xml:space="preserve">dal 2 Maggio 2026, intestazione, procura ad litem e firma sono</w:t>
      </w:r>
      <w:r>
        <w:t xml:space="preserve"> </w:t>
      </w:r>
      <w:r>
        <w:rPr>
          <w:bCs/>
          <w:b/>
        </w:rPr>
        <w:t xml:space="preserve">pre-compilate dal sistema</w:t>
      </w:r>
      <w:r>
        <w:t xml:space="preserve"> </w:t>
      </w:r>
      <w:r>
        <w:t xml:space="preserve">in modo deterministico. L’AI genera</w:t>
      </w:r>
      <w:r>
        <w:t xml:space="preserve"> </w:t>
      </w:r>
      <w:r>
        <w:rPr>
          <w:bCs/>
          <w:b/>
        </w:rPr>
        <w:t xml:space="preserve">solo il corpo giuridico</w:t>
      </w:r>
      <w:r>
        <w:t xml:space="preserve"> </w:t>
      </w:r>
      <w:r>
        <w:t xml:space="preserve">del documento, garantendo coerenza formale e eliminando invenzioni su header/footer.</w:t>
      </w:r>
    </w:p>
    <w:bookmarkEnd w:id="44"/>
    <w:bookmarkStart w:id="45" w:name="Xea63a4efdc4c860d668223fca89ecf03200b039"/>
    <w:p>
      <w:pPr>
        <w:pStyle w:val="Heading3"/>
      </w:pPr>
      <w:r>
        <w:t xml:space="preserve">🔍 Ricerca giuridica preliminare (opzionale ma consigliata)</w:t>
      </w:r>
    </w:p>
    <w:p>
      <w:pPr>
        <w:pStyle w:val="FirstParagraph"/>
      </w:pPr>
      <w:r>
        <w:t xml:space="preserve">Per documenti che richiedono citazioni giurisprudenziali o dottrinali (Memoria difensiva, Parere scritto, Atto di citazione, Ricorso, Appello, Controricorso), è disponibile una</w:t>
      </w:r>
      <w:r>
        <w:t xml:space="preserve"> </w:t>
      </w:r>
      <w:r>
        <w:rPr>
          <w:bCs/>
          <w:b/>
        </w:rPr>
        <w:t xml:space="preserve">ricerca preliminare automatica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tra quelle indicate sopra</w:t>
      </w:r>
    </w:p>
    <w:p>
      <w:pPr>
        <w:numPr>
          <w:ilvl w:val="0"/>
          <w:numId w:val="1013"/>
        </w:numPr>
        <w:pStyle w:val="Compact"/>
      </w:pPr>
      <w:r>
        <w:t xml:space="preserve">Apparirà la checkbox:</w:t>
      </w:r>
      <w:r>
        <w:t xml:space="preserve"> </w:t>
      </w:r>
      <w:r>
        <w:rPr>
          <w:bCs/>
          <w:b/>
        </w:rPr>
        <w:t xml:space="preserve">🔍 Esegui ricerca giuridica preliminare</w:t>
      </w:r>
    </w:p>
    <w:p>
      <w:pPr>
        <w:numPr>
          <w:ilvl w:val="0"/>
          <w:numId w:val="1013"/>
        </w:numPr>
        <w:pStyle w:val="Compact"/>
      </w:pPr>
      <w:r>
        <w:t xml:space="preserve">Attivala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cliccare</w:t>
      </w:r>
      <w:r>
        <w:t xml:space="preserve"> </w:t>
      </w:r>
      <w:r>
        <w:t xml:space="preserve">“</w:t>
      </w:r>
      <w:r>
        <w:t xml:space="preserve">Genera Documento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sistema:</w:t>
      </w:r>
    </w:p>
    <w:p>
      <w:pPr>
        <w:numPr>
          <w:ilvl w:val="1"/>
          <w:numId w:val="1014"/>
        </w:numPr>
        <w:pStyle w:val="Compact"/>
      </w:pPr>
      <w:r>
        <w:t xml:space="preserve">Cerca su web le fonti più rilevanti sul tema</w:t>
      </w:r>
    </w:p>
    <w:p>
      <w:pPr>
        <w:numPr>
          <w:ilvl w:val="1"/>
          <w:numId w:val="1014"/>
        </w:numPr>
        <w:pStyle w:val="Compact"/>
      </w:pPr>
      <w:r>
        <w:t xml:space="preserve">Estrae titolo, URL e snippet dei top 5 risultati</w:t>
      </w:r>
    </w:p>
    <w:p>
      <w:pPr>
        <w:numPr>
          <w:ilvl w:val="1"/>
          <w:numId w:val="1014"/>
        </w:numPr>
        <w:pStyle w:val="Compact"/>
      </w:pPr>
      <w:r>
        <w:t xml:space="preserve">Passa queste fonti all’AI come contesto verificato</w:t>
      </w:r>
    </w:p>
    <w:p>
      <w:pPr>
        <w:numPr>
          <w:ilvl w:val="1"/>
          <w:numId w:val="1014"/>
        </w:numPr>
        <w:pStyle w:val="Compact"/>
      </w:pPr>
      <w:r>
        <w:t xml:space="preserve">Genera il documento basandosi su principi noti e fonti reali</w:t>
      </w:r>
    </w:p>
    <w:p>
      <w:pPr>
        <w:pStyle w:val="FirstParagraph"/>
      </w:pPr>
      <w:r>
        <w:rPr>
          <w:bCs/>
          <w:b/>
        </w:rPr>
        <w:t xml:space="preserve">Quando usarla:</w:t>
      </w:r>
      <w:r>
        <w:t xml:space="preserve"> </w:t>
      </w:r>
      <w:r>
        <w:t xml:space="preserve">| Documento | Ricerca preliminare |</w:t>
      </w:r>
      <w:r>
        <w:t xml:space="preserve"> </w:t>
      </w:r>
      <w:r>
        <w:t xml:space="preserve">|———–|———————|</w:t>
      </w:r>
      <w:r>
        <w:t xml:space="preserve"> </w:t>
      </w:r>
      <w:r>
        <w:t xml:space="preserve">| Memoria difensiva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riduce allucinazioni giurisprudenziali |</w:t>
      </w:r>
      <w:r>
        <w:t xml:space="preserve"> </w:t>
      </w:r>
      <w:r>
        <w:t xml:space="preserve">| Parere scritto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garantisce fonti aggiornate |</w:t>
      </w:r>
      <w:r>
        <w:t xml:space="preserve"> </w:t>
      </w:r>
      <w:r>
        <w:t xml:space="preserve">| Atto di citazione | ✅ Consigliata — per motivazione giuridica solida |</w:t>
      </w:r>
      <w:r>
        <w:t xml:space="preserve"> </w:t>
      </w:r>
      <w:r>
        <w:t xml:space="preserve">| Ricorso / Appello / Controricorso | ✅ Consigliata |</w:t>
      </w:r>
      <w:r>
        <w:t xml:space="preserve"> </w:t>
      </w:r>
      <w:r>
        <w:t xml:space="preserve">| Lettera formale / Nota di trasmissione | ❌ Non necessaria |</w:t>
      </w:r>
      <w:r>
        <w:t xml:space="preserve"> </w:t>
      </w:r>
      <w:r>
        <w:t xml:space="preserve">| Preventivo / Parcella | ❌ Non necessaria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Limite del modello:</w:t>
      </w:r>
      <w:r>
        <w:t xml:space="preserve"> </w:t>
      </w:r>
      <w:r>
        <w:t xml:space="preserve">Nemotron può ancora inventare numeri di sentenze nonostante la ricerca preliminare. La raccomandazione professionale è:</w:t>
      </w:r>
      <w:r>
        <w:t xml:space="preserve"> </w:t>
      </w:r>
      <w:r>
        <w:t xml:space="preserve">1. Usare la ricerca preliminare per raccogliere fonti reali</w:t>
      </w:r>
      <w:r>
        <w:t xml:space="preserve"> </w:t>
      </w:r>
      <w:r>
        <w:t xml:space="preserve">2. Sostituire le citazioni inventate dall’AI con quelle verificate</w:t>
      </w:r>
      <w:r>
        <w:t xml:space="preserve"> </w:t>
      </w:r>
      <w:r>
        <w:t xml:space="preserve">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  <w:r>
        <w:t xml:space="preserve"> </w:t>
      </w:r>
      <w:r>
        <w:t xml:space="preserve">4. Completare le citazioni manualmente dai database ufficiali (dejure.it, massimario.it, giustizia.it)</w:t>
      </w:r>
    </w:p>
    <w:bookmarkEnd w:id="45"/>
    <w:bookmarkStart w:id="46" w:name="verifica-citazioni-della-cassazione"/>
    <w:p>
      <w:pPr>
        <w:pStyle w:val="Heading3"/>
      </w:pPr>
      <w:r>
        <w:t xml:space="preserve">🏛️ Verifica citazioni della Cassazione</w:t>
      </w:r>
    </w:p>
    <w:p>
      <w:pPr>
        <w:pStyle w:val="FirstParagraph"/>
      </w:pPr>
      <w:r>
        <w:t xml:space="preserve">Dopo aver generato un documento che cita sentenze, puoi verificarne l’esistenza:</w:t>
      </w:r>
    </w:p>
    <w:p>
      <w:pPr>
        <w:numPr>
          <w:ilvl w:val="0"/>
          <w:numId w:val="101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🏛️ Verifica Cassazione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Cass., Sez. X, n. …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Cerca su Internet se la sentenza esiste</w:t>
      </w:r>
    </w:p>
    <w:p>
      <w:pPr>
        <w:numPr>
          <w:ilvl w:val="0"/>
          <w:numId w:val="1015"/>
        </w:numPr>
        <w:pStyle w:val="Compact"/>
      </w:pPr>
      <w:r>
        <w:t xml:space="preserve">Ti mostra un report: ✅ verificata, ⚠️ non verificata, ❌ probabilmente inventata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sulla banca dati ufficiale.</w:t>
      </w:r>
    </w:p>
    <w:p>
      <w:r>
        <w:pict>
          <v:rect style="width:0;height:1.5pt" o:hralign="center" o:hrstd="t" o:hr="t"/>
        </w:pict>
      </w:r>
    </w:p>
    <w:bookmarkEnd w:id="46"/>
    <w:bookmarkStart w:id="47" w:name="X58ffa982680303478dfe1719abb620ba2c77008"/>
    <w:p>
      <w:pPr>
        <w:pStyle w:val="Heading3"/>
      </w:pPr>
      <w:r>
        <w:t xml:space="preserve">Esempio: generare una Lettera di messa in mora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Mario Rossi Srl deve inviare una diffida al debitore.</w:t>
      </w:r>
    </w:p>
    <w:p>
      <w:pPr>
        <w:numPr>
          <w:ilvl w:val="0"/>
          <w:numId w:val="101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Tipologia:</w:t>
      </w:r>
      <w:r>
        <w:t xml:space="preserve"> </w:t>
      </w:r>
      <w:r>
        <w:t xml:space="preserve">Lettera di messa in mora</w:t>
      </w:r>
    </w:p>
    <w:p>
      <w:pPr>
        <w:numPr>
          <w:ilvl w:val="0"/>
          <w:numId w:val="1016"/>
        </w:numPr>
        <w:pStyle w:val="Compact"/>
      </w:pPr>
      <w:r>
        <w:t xml:space="preserve">Compila: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Oggetto:</w:t>
      </w:r>
      <w:r>
        <w:t xml:space="preserve"> </w:t>
      </w:r>
      <w:r>
        <w:t xml:space="preserve">Mancato pagamento fattura n. 123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Destinatario:</w:t>
      </w:r>
      <w:r>
        <w:t xml:space="preserve"> </w:t>
      </w:r>
      <w:r>
        <w:t xml:space="preserve">Bianchi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Importo:</w:t>
      </w:r>
      <w:r>
        <w:t xml:space="preserve"> </w:t>
      </w:r>
      <w:r>
        <w:t xml:space="preserve">€ 15.000,00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Termine:</w:t>
      </w:r>
      <w:r>
        <w:t xml:space="preserve"> </w:t>
      </w:r>
      <w:r>
        <w:t xml:space="preserve">15 giorni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Pratica:</w:t>
      </w:r>
      <w:r>
        <w:t xml:space="preserve"> </w:t>
      </w:r>
      <w:r>
        <w:t xml:space="preserve">Recupero crediti fornitura</w:t>
      </w:r>
    </w:p>
    <w:p>
      <w:pPr>
        <w:numPr>
          <w:ilvl w:val="0"/>
          <w:numId w:val="101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L’AI produce una lettera professionale con:</w:t>
      </w:r>
    </w:p>
    <w:p>
      <w:pPr>
        <w:numPr>
          <w:ilvl w:val="1"/>
          <w:numId w:val="1018"/>
        </w:numPr>
        <w:pStyle w:val="Compact"/>
      </w:pPr>
      <w:r>
        <w:t xml:space="preserve">Riferimenti normativi (art. 1218 e 1223 c.c.)</w:t>
      </w:r>
    </w:p>
    <w:p>
      <w:pPr>
        <w:numPr>
          <w:ilvl w:val="1"/>
          <w:numId w:val="1018"/>
        </w:numPr>
        <w:pStyle w:val="Compact"/>
      </w:pPr>
      <w:r>
        <w:t xml:space="preserve">Preavviso di azione legale</w:t>
      </w:r>
    </w:p>
    <w:p>
      <w:pPr>
        <w:numPr>
          <w:ilvl w:val="1"/>
          <w:numId w:val="1018"/>
        </w:numPr>
        <w:pStyle w:val="Compact"/>
      </w:pPr>
      <w:r>
        <w:t xml:space="preserve">Intestazione dello studio</w:t>
      </w:r>
    </w:p>
    <w:p>
      <w:pPr>
        <w:numPr>
          <w:ilvl w:val="0"/>
          <w:numId w:val="1016"/>
        </w:numPr>
        <w:pStyle w:val="Compact"/>
      </w:pPr>
      <w:r>
        <w:t xml:space="preserve">Rivedi il testo nell’editor</w:t>
      </w:r>
    </w:p>
    <w:p>
      <w:pPr>
        <w:numPr>
          <w:ilvl w:val="0"/>
          <w:numId w:val="1016"/>
        </w:numPr>
        <w:pStyle w:val="Compact"/>
      </w:pPr>
      <w:r>
        <w:t xml:space="preserve">Se va bene,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</w:p>
    <w:bookmarkEnd w:id="47"/>
    <w:bookmarkStart w:id="48" w:name="collegare-a-cliente-e-pratica"/>
    <w:p>
      <w:pPr>
        <w:pStyle w:val="Heading3"/>
      </w:pPr>
      <w:r>
        <w:t xml:space="preserve">Collegare a cliente e pratica</w:t>
      </w:r>
    </w:p>
    <w:p>
      <w:pPr>
        <w:pStyle w:val="FirstParagraph"/>
      </w:pPr>
      <w:r>
        <w:t xml:space="preserve">Sempre nella pagina Documenti, trovi due menu a tendina: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— Pre-compila i dati dell’intestazione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Collega il documento alla cartella del caso</w:t>
      </w:r>
    </w:p>
    <w:p>
      <w:pPr>
        <w:pStyle w:val="BodyText"/>
      </w:pPr>
      <w:r>
        <w:t xml:space="preserve">Quando selezioni un cliente, l’AI inserisce automaticamente i suoi dati nel documento:</w:t>
      </w:r>
      <w:r>
        <w:t xml:space="preserve"> </w:t>
      </w:r>
      <w:r>
        <w:t xml:space="preserve">- Nome e indirizzo</w:t>
      </w:r>
      <w:r>
        <w:t xml:space="preserve"> </w:t>
      </w:r>
      <w:r>
        <w:t xml:space="preserve">- P.IVA / CF</w:t>
      </w:r>
      <w:r>
        <w:t xml:space="preserve"> </w:t>
      </w:r>
      <w:r>
        <w:t xml:space="preserve">- Riferimenti telefonici</w:t>
      </w:r>
    </w:p>
    <w:bookmarkEnd w:id="48"/>
    <w:bookmarkStart w:id="53" w:name="preventivo-e-parcella-calcoli-automatici"/>
    <w:p>
      <w:pPr>
        <w:pStyle w:val="Heading3"/>
      </w:pPr>
      <w:r>
        <w:t xml:space="preserve">Preventivo e Parcella — Calcoli automatici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bCs/>
          <w:b/>
        </w:rPr>
        <w:t xml:space="preserve">Preventivo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Parcella</w:t>
      </w:r>
      <w:r>
        <w:t xml:space="preserve">, scegli una delle 4 modalità:</w:t>
      </w:r>
    </w:p>
    <w:bookmarkStart w:id="49" w:name="modalità-1-percentuale-sul-valore"/>
    <w:p>
      <w:pPr>
        <w:pStyle w:val="Heading4"/>
      </w:pPr>
      <w:r>
        <w:t xml:space="preserve">Modalità 1: Percentuale sul valore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Valore controversia:</w:t>
      </w:r>
      <w:r>
        <w:t xml:space="preserve"> </w:t>
      </w:r>
      <w:r>
        <w:t xml:space="preserve">€ 100.000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Percentuale:</w:t>
      </w:r>
      <w:r>
        <w:t xml:space="preserve"> </w:t>
      </w:r>
      <w:r>
        <w:t xml:space="preserve">10%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€ 10.000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IVA (22%):</w:t>
      </w:r>
      <w:r>
        <w:t xml:space="preserve"> </w:t>
      </w:r>
      <w:r>
        <w:t xml:space="preserve">€ 2.200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Ritenuta (20% su 50%):</w:t>
      </w:r>
      <w:r>
        <w:t xml:space="preserve"> </w:t>
      </w:r>
      <w:r>
        <w:t xml:space="preserve">€ 1.000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Totale:</w:t>
      </w:r>
      <w:r>
        <w:t xml:space="preserve"> </w:t>
      </w:r>
      <w:r>
        <w:t xml:space="preserve">€ 11.200</w:t>
      </w:r>
    </w:p>
    <w:bookmarkEnd w:id="49"/>
    <w:bookmarkStart w:id="50" w:name="modalità-2-tariffa-oraria"/>
    <w:p>
      <w:pPr>
        <w:pStyle w:val="Heading4"/>
      </w:pPr>
      <w:r>
        <w:t xml:space="preserve">Modalità 2: Tariffa oraria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Tariffa oraria:</w:t>
      </w:r>
      <w:r>
        <w:t xml:space="preserve"> </w:t>
      </w:r>
      <w:r>
        <w:t xml:space="preserve">€ 250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Ore stimate:</w:t>
      </w:r>
      <w:r>
        <w:t xml:space="preserve"> </w:t>
      </w:r>
      <w:r>
        <w:t xml:space="preserve">20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€ 5.000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IVA e ritenuta calcolate automaticamente</w:t>
      </w:r>
    </w:p>
    <w:bookmarkEnd w:id="50"/>
    <w:bookmarkStart w:id="51" w:name="modalità-3-forfait"/>
    <w:p>
      <w:pPr>
        <w:pStyle w:val="Heading4"/>
      </w:pPr>
      <w:r>
        <w:t xml:space="preserve">Modalità 3: Forfait</w:t>
      </w:r>
    </w:p>
    <w:p>
      <w:pPr>
        <w:numPr>
          <w:ilvl w:val="0"/>
          <w:numId w:val="1021"/>
        </w:numPr>
        <w:pStyle w:val="Compact"/>
      </w:pPr>
      <w:r>
        <w:t xml:space="preserve">Inserisci direttamente l’importo totale</w:t>
      </w:r>
    </w:p>
    <w:bookmarkEnd w:id="51"/>
    <w:bookmarkStart w:id="52" w:name="modalità-4-tariffa-parametri-forensi"/>
    <w:p>
      <w:pPr>
        <w:pStyle w:val="Heading4"/>
      </w:pPr>
      <w:r>
        <w:t xml:space="preserve">Modalità 4: Tariffa parametri forensi</w:t>
      </w:r>
    </w:p>
    <w:p>
      <w:pPr>
        <w:numPr>
          <w:ilvl w:val="0"/>
          <w:numId w:val="1022"/>
        </w:numPr>
        <w:pStyle w:val="Compact"/>
      </w:pPr>
      <w:r>
        <w:t xml:space="preserve">L’AI calcola secondo il D.M. parametri forensi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I calcoli sono eseguiti da Python prima di generare il testo. L’AI riceve i numeri già corretti.</w:t>
      </w:r>
    </w:p>
    <w:bookmarkEnd w:id="52"/>
    <w:bookmarkEnd w:id="53"/>
    <w:bookmarkStart w:id="54" w:name="salvare-un-documento"/>
    <w:p>
      <w:pPr>
        <w:pStyle w:val="Heading3"/>
      </w:pPr>
      <w:r>
        <w:t xml:space="preserve">Salvare un documento</w:t>
      </w:r>
    </w:p>
    <w:p>
      <w:pPr>
        <w:pStyle w:val="FirstParagraph"/>
      </w:pPr>
      <w:r>
        <w:t xml:space="preserve">Dopo la generazione:</w:t>
      </w:r>
      <w:r>
        <w:t xml:space="preserve"> </w:t>
      </w:r>
      <w:r>
        <w:t xml:space="preserve">1. Rivedi il testo nell’editor (puoi modificarlo a mano)</w:t>
      </w:r>
      <w:r>
        <w:t xml:space="preserve"> </w:t>
      </w:r>
      <w:r>
        <w:t xml:space="preserve">2.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3. Il documento viene salvato con un numero di protocollo automatico:</w:t>
      </w:r>
      <w:r>
        <w:t xml:space="preserve"> </w:t>
      </w:r>
      <w:r>
        <w:rPr>
          <w:rStyle w:val="VerbatimChar"/>
        </w:rPr>
        <w:t xml:space="preserve">2026/001, 2026/002, ...</w:t>
      </w:r>
      <w:r>
        <w:t xml:space="preserve"> </w:t>
      </w:r>
      <w:r>
        <w:t xml:space="preserve">4. Il file viene archiviato nella cartella</w:t>
      </w:r>
      <w:r>
        <w:t xml:space="preserve"> </w:t>
      </w:r>
      <w:r>
        <w:rPr>
          <w:rStyle w:val="VerbatimChar"/>
        </w:rPr>
        <w:t xml:space="preserve">database/documents/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sportazione-e-invio"/>
    <w:p>
      <w:pPr>
        <w:pStyle w:val="Heading2"/>
      </w:pPr>
      <w:r>
        <w:t xml:space="preserve">6. Esportazione e Invio</w:t>
      </w:r>
    </w:p>
    <w:bookmarkStart w:id="56" w:name="come-scaricare-in-pdf"/>
    <w:p>
      <w:pPr>
        <w:pStyle w:val="Heading3"/>
      </w:pPr>
      <w:r>
        <w:t xml:space="preserve">Come scaricare in PDF</w:t>
      </w:r>
    </w:p>
    <w:p>
      <w:pPr>
        <w:numPr>
          <w:ilvl w:val="0"/>
          <w:numId w:val="1023"/>
        </w:numPr>
        <w:pStyle w:val="Compact"/>
      </w:pPr>
      <w:r>
        <w:t xml:space="preserve">Genera o apri un documento</w:t>
      </w:r>
    </w:p>
    <w:p>
      <w:pPr>
        <w:numPr>
          <w:ilvl w:val="0"/>
          <w:numId w:val="1023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Il browser scarica un file PDF con:</w:t>
      </w:r>
    </w:p>
    <w:p>
      <w:pPr>
        <w:numPr>
          <w:ilvl w:val="1"/>
          <w:numId w:val="1024"/>
        </w:numPr>
        <w:pStyle w:val="Compact"/>
      </w:pPr>
      <w:r>
        <w:t xml:space="preserve">Intestazione</w:t>
      </w:r>
      <w:r>
        <w:t xml:space="preserve"> </w:t>
      </w:r>
      <w:r>
        <w:t xml:space="preserve">“</w:t>
      </w:r>
      <w:r>
        <w:t xml:space="preserve">Studio Legale AI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Nome dell’avvocato</w:t>
      </w:r>
    </w:p>
    <w:p>
      <w:pPr>
        <w:numPr>
          <w:ilvl w:val="1"/>
          <w:numId w:val="1024"/>
        </w:numPr>
        <w:pStyle w:val="Compact"/>
      </w:pPr>
      <w:r>
        <w:t xml:space="preserve">Corpo formattato</w:t>
      </w:r>
    </w:p>
    <w:p>
      <w:pPr>
        <w:numPr>
          <w:ilvl w:val="1"/>
          <w:numId w:val="1024"/>
        </w:numPr>
        <w:pStyle w:val="Compact"/>
      </w:pPr>
      <w:r>
        <w:t xml:space="preserve">Firma in calce</w:t>
      </w:r>
    </w:p>
    <w:bookmarkEnd w:id="56"/>
    <w:bookmarkStart w:id="57" w:name="come-scaricare-in-docx"/>
    <w:p>
      <w:pPr>
        <w:pStyle w:val="Heading3"/>
      </w:pPr>
      <w:r>
        <w:t xml:space="preserve">Come scaricare in DOCX</w:t>
      </w:r>
    </w:p>
    <w:p>
      <w:pPr>
        <w:numPr>
          <w:ilvl w:val="0"/>
          <w:numId w:val="102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Il browser scarica un file Word editabile</w:t>
      </w:r>
    </w:p>
    <w:p>
      <w:pPr>
        <w:numPr>
          <w:ilvl w:val="0"/>
          <w:numId w:val="1025"/>
        </w:numPr>
        <w:pStyle w:val="Compact"/>
      </w:pPr>
      <w:r>
        <w:t xml:space="preserve">Puoi aprirlo in Microsoft Word o LibreOffice</w:t>
      </w:r>
    </w:p>
    <w:p>
      <w:pPr>
        <w:numPr>
          <w:ilvl w:val="0"/>
          <w:numId w:val="1025"/>
        </w:numPr>
        <w:pStyle w:val="Compact"/>
      </w:pPr>
      <w:r>
        <w:t xml:space="preserve">Il formato è professionale, con font Times New Roman 12pt</w:t>
      </w:r>
    </w:p>
    <w:bookmarkEnd w:id="57"/>
    <w:bookmarkStart w:id="58" w:name="come-scaricare-in-markdown"/>
    <w:p>
      <w:pPr>
        <w:pStyle w:val="Heading3"/>
      </w:pPr>
      <w:r>
        <w:t xml:space="preserve">Come scaricare in Markdown</w:t>
      </w:r>
    </w:p>
    <w:p>
      <w:pPr>
        <w:numPr>
          <w:ilvl w:val="0"/>
          <w:numId w:val="102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MD</w:t>
      </w:r>
      <w:r>
        <w:rPr>
          <w:bCs/>
          <w:b/>
        </w:rP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Utile per l’archiviazione testuale o il versionamento con Git</w:t>
      </w:r>
    </w:p>
    <w:bookmarkEnd w:id="58"/>
    <w:bookmarkStart w:id="59" w:name="come-inviare-per-email"/>
    <w:p>
      <w:pPr>
        <w:pStyle w:val="Heading3"/>
      </w:pPr>
      <w:r>
        <w:t xml:space="preserve">Come inviare per email</w:t>
      </w:r>
    </w:p>
    <w:p>
      <w:pPr>
        <w:numPr>
          <w:ilvl w:val="0"/>
          <w:numId w:val="1027"/>
        </w:numPr>
      </w:pPr>
      <w:r>
        <w:t xml:space="preserve">Genera o seleziona un documento dall’archivio</w:t>
      </w:r>
    </w:p>
    <w:p>
      <w:pPr>
        <w:numPr>
          <w:ilvl w:val="0"/>
          <w:numId w:val="1027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7"/>
        </w:numPr>
      </w:pPr>
      <w:r>
        <w:t xml:space="preserve">Si apre una finestra: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Auto-filled dall’email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Oggetto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Titolo del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Messaggio pre-compilato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☑️ DOCX ☑️ PDF ☑️ MD</w:t>
            </w:r>
          </w:p>
        </w:tc>
      </w:tr>
    </w:tbl>
    <w:p>
      <w:pPr>
        <w:numPr>
          <w:ilvl w:val="0"/>
          <w:numId w:val="1027"/>
        </w:numPr>
      </w:pPr>
      <w:r>
        <w:t xml:space="preserve">Modifica i campi se necessario</w:t>
      </w:r>
    </w:p>
    <w:p>
      <w:pPr>
        <w:numPr>
          <w:ilvl w:val="0"/>
          <w:numId w:val="1027"/>
        </w:numPr>
      </w:pPr>
      <w:r>
        <w:t xml:space="preserve">Seleziona gli allegati desiderati</w:t>
      </w:r>
    </w:p>
    <w:p>
      <w:pPr>
        <w:numPr>
          <w:ilvl w:val="0"/>
          <w:numId w:val="1027"/>
        </w:numPr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</w:t>
      </w:r>
      <w:r>
        <w:rPr>
          <w:bCs/>
          <w:b/>
        </w:rP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Prima di inviare:</w:t>
      </w:r>
      <w:r>
        <w:t xml:space="preserve"> </w:t>
      </w:r>
      <w:r>
        <w:t xml:space="preserve">assicurati di aver configurato l’SMTP in</w:t>
      </w:r>
      <w:r>
        <w:t xml:space="preserve"> </w:t>
      </w:r>
      <w:r>
        <w:rPr>
          <w:bCs/>
          <w:b/>
        </w:rPr>
        <w:t xml:space="preserve">Impostazioni</w:t>
      </w:r>
      <w:r>
        <w:t xml:space="preserve"> </w:t>
      </w:r>
      <w:r>
        <w:t xml:space="preserve">(vedi Sezione 9).</w:t>
      </w:r>
    </w:p>
    <w:bookmarkEnd w:id="59"/>
    <w:bookmarkStart w:id="60" w:name="esempio-concreto-2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Invio della memoria difensiva al cliente Mario Rossi Srl.</w:t>
      </w:r>
    </w:p>
    <w:p>
      <w:pPr>
        <w:numPr>
          <w:ilvl w:val="0"/>
          <w:numId w:val="1028"/>
        </w:numPr>
        <w:pStyle w:val="Compact"/>
      </w:pPr>
      <w:r>
        <w:t xml:space="preserve">Genera la memoria difensiva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Verifica che il destinatario sia: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28"/>
        </w:numPr>
        <w:pStyle w:val="Compact"/>
      </w:pPr>
      <w:r>
        <w:t xml:space="preserve">Oggetto:</w:t>
      </w:r>
      <w:r>
        <w:t xml:space="preserve"> </w:t>
      </w:r>
      <w:r>
        <w:t xml:space="preserve">“</w:t>
      </w:r>
      <w:r>
        <w:t xml:space="preserve">Memoria difensiva — Pratica 2025/042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Seleziona allegati:</w:t>
      </w:r>
    </w:p>
    <w:p>
      <w:pPr>
        <w:numPr>
          <w:ilvl w:val="1"/>
          <w:numId w:val="1029"/>
        </w:numPr>
        <w:pStyle w:val="Compact"/>
      </w:pPr>
      <w:r>
        <w:t xml:space="preserve">☑️ DOCX (per eventuali modifiche)</w:t>
      </w:r>
    </w:p>
    <w:p>
      <w:pPr>
        <w:numPr>
          <w:ilvl w:val="1"/>
          <w:numId w:val="1029"/>
        </w:numPr>
        <w:pStyle w:val="Compact"/>
      </w:pPr>
      <w:r>
        <w:t xml:space="preserve">☑️ PDF (per la stampa)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p>
      <w:pPr>
        <w:numPr>
          <w:ilvl w:val="0"/>
          <w:numId w:val="1028"/>
        </w:numPr>
        <w:pStyle w:val="Compact"/>
      </w:pPr>
      <w:r>
        <w:t xml:space="preserve">Riceverai una notifica:</w:t>
      </w:r>
      <w:r>
        <w:t xml:space="preserve"> </w:t>
      </w:r>
      <w:r>
        <w:t xml:space="preserve">“</w:t>
      </w:r>
      <w:r>
        <w:t xml:space="preserve">Email inviata con successo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ricerca-legale-avanzata"/>
    <w:p>
      <w:pPr>
        <w:pStyle w:val="Heading2"/>
      </w:pPr>
      <w:r>
        <w:t xml:space="preserve">7. Ricerca Legale Avanzata</w:t>
      </w:r>
    </w:p>
    <w:bookmarkStart w:id="62" w:name="gli-agenti-del-modulo-ricerca"/>
    <w:p>
      <w:pPr>
        <w:pStyle w:val="Heading3"/>
      </w:pPr>
      <w:r>
        <w:t xml:space="preserve">Gli agenti del modulo Ricerca</w:t>
      </w:r>
    </w:p>
    <w:p>
      <w:pPr>
        <w:pStyle w:val="FirstParagraph"/>
      </w:pPr>
      <w:r>
        <w:t xml:space="preserve">La sezione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è gestita da due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485"/>
        <w:gridCol w:w="214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giurisprudenza, dottrina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Corte di Cassazione — zero tolleranza per errori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è il più</w:t>
      </w:r>
      <w:r>
        <w:t xml:space="preserve"> </w:t>
      </w:r>
      <w:r>
        <w:t xml:space="preserve">“</w:t>
      </w:r>
      <w:r>
        <w:t xml:space="preserve">rigoroso</w:t>
      </w:r>
      <w:r>
        <w:t xml:space="preserve">”</w:t>
      </w:r>
      <w:r>
        <w:t xml:space="preserve"> </w:t>
      </w:r>
      <w:r>
        <w:t xml:space="preserve">del sistema. La sua temperatura è 0.1 (la minima possibile) perché non può permettersi di inventare sentenze. Se non è certo di una pronuncia, dichiara esplicitamente: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Non verificato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i-7-motori-di-ricerca"/>
    <w:p>
      <w:pPr>
        <w:pStyle w:val="Heading3"/>
      </w:pPr>
      <w:r>
        <w:t xml:space="preserve">I 7 motori di ricerca</w:t>
      </w:r>
    </w:p>
    <w:p>
      <w:pPr>
        <w:pStyle w:val="FirstParagraph"/>
      </w:pPr>
      <w:r>
        <w:t xml:space="preserve">Oltre agli agenti AI, puoi cercare contemporaneamente su più fonti giuridiche: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350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decreti, regolamenti italiani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Normattiva.it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Giustizia Amministrativa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TAR e Consiglio di 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Europea Diritti Uomo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Direttive, regolamenti, decisioni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di Giustizia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Dottrina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Articoli scientifici e riviste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CrossRef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Banche Dati Italiane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Giurisprudenza italiana da banche dati a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ItalgiureWeb / De Jure / One Legale / Dike / Eurex / Juris Data</w:t>
            </w:r>
          </w:p>
        </w:tc>
      </w:tr>
    </w:tbl>
    <w:bookmarkEnd w:id="63"/>
    <w:bookmarkStart w:id="66" w:name="banche-dati-italiane"/>
    <w:p>
      <w:pPr>
        <w:pStyle w:val="Heading3"/>
      </w:pPr>
      <w:r>
        <w:t xml:space="preserve">🇮🇹 Banche Dati Italiane</w:t>
      </w:r>
    </w:p>
    <w:p>
      <w:pPr>
        <w:pStyle w:val="FirstParagraph"/>
      </w:pPr>
      <w:r>
        <w:t xml:space="preserve">Il motore</w:t>
      </w:r>
      <w:r>
        <w:t xml:space="preserve"> </w:t>
      </w:r>
      <w:r>
        <w:rPr>
          <w:bCs/>
          <w:b/>
        </w:rPr>
        <w:t xml:space="preserve">Banche Dati Italiane</w:t>
      </w:r>
      <w:r>
        <w:t xml:space="preserve"> </w:t>
      </w:r>
      <w:r>
        <w:t xml:space="preserve">permette di accedere alle principali banche dati giuridiche a pagamento del mercato italiano direttamente dall’interfaccia di Studio Legale AI.</w:t>
      </w:r>
    </w:p>
    <w:p>
      <w:pPr>
        <w:pStyle w:val="BodyText"/>
      </w:pPr>
      <w:r>
        <w:rPr>
          <w:bCs/>
          <w:b/>
        </w:rPr>
        <w:t xml:space="preserve">ItalgiureWeb</w:t>
      </w:r>
      <w:r>
        <w:t xml:space="preserve"> </w:t>
      </w:r>
      <w:r>
        <w:t xml:space="preserve">è il primo connettore attivo: utilizza le credenziali</w:t>
      </w:r>
      <w:r>
        <w:t xml:space="preserve"> </w:t>
      </w:r>
      <w:r>
        <w:rPr>
          <w:bCs/>
          <w:b/>
        </w:rPr>
        <w:t xml:space="preserve">Cassa Forense</w:t>
      </w:r>
      <w:r>
        <w:t xml:space="preserve"> </w:t>
      </w:r>
      <w:r>
        <w:t xml:space="preserve">dell’avvocato per cercare su Cassazione, Consiglio di Stato, TAR, Corte Costituzionale, Commissioni Tributarie e normativa comunitaria. Se l’automazione del login non dovesse funzionare (ad esempio per modifiche al portale), il sistema mostra automaticamente i</w:t>
      </w:r>
      <w:r>
        <w:t xml:space="preserve"> </w:t>
      </w:r>
      <w:r>
        <w:rPr>
          <w:bCs/>
          <w:b/>
        </w:rPr>
        <w:t xml:space="preserve">link rapidi</w:t>
      </w:r>
      <w:r>
        <w:t xml:space="preserve"> </w:t>
      </w:r>
      <w:r>
        <w:t xml:space="preserve">a ItalgiureWeb e a SentenzeWeb, senza perdere la query inserita.</w:t>
      </w:r>
    </w:p>
    <w:p>
      <w:pPr>
        <w:pStyle w:val="BodyText"/>
      </w:pPr>
      <w:r>
        <w:t xml:space="preserve">Per le altre banche dati —</w:t>
      </w:r>
      <w:r>
        <w:t xml:space="preserve"> </w:t>
      </w:r>
      <w:r>
        <w:rPr>
          <w:bCs/>
          <w:b/>
        </w:rPr>
        <w:t xml:space="preserve">De Jure</w:t>
      </w:r>
      <w:r>
        <w:t xml:space="preserve"> </w:t>
      </w:r>
      <w:r>
        <w:t xml:space="preserve">(Giuffrè),</w:t>
      </w:r>
      <w:r>
        <w:t xml:space="preserve"> </w:t>
      </w:r>
      <w:r>
        <w:rPr>
          <w:bCs/>
          <w:b/>
        </w:rPr>
        <w:t xml:space="preserve">One Legale</w:t>
      </w:r>
      <w:r>
        <w:t xml:space="preserve"> </w:t>
      </w:r>
      <w:r>
        <w:t xml:space="preserve">(Wolters Kluwer),</w:t>
      </w:r>
      <w:r>
        <w:t xml:space="preserve"> </w:t>
      </w:r>
      <w:r>
        <w:rPr>
          <w:bCs/>
          <w:b/>
        </w:rPr>
        <w:t xml:space="preserve">Dike</w:t>
      </w:r>
      <w:r>
        <w:t xml:space="preserve">,</w:t>
      </w:r>
      <w:r>
        <w:t xml:space="preserve"> </w:t>
      </w:r>
      <w:r>
        <w:rPr>
          <w:bCs/>
          <w:b/>
        </w:rPr>
        <w:t xml:space="preserve">Eurex</w:t>
      </w:r>
      <w:r>
        <w:t xml:space="preserve">,</w:t>
      </w:r>
      <w:r>
        <w:t xml:space="preserve"> </w:t>
      </w:r>
      <w:r>
        <w:rPr>
          <w:bCs/>
          <w:b/>
        </w:rPr>
        <w:t xml:space="preserve">Juris Data</w:t>
      </w:r>
      <w:r>
        <w:t xml:space="preserve"> </w:t>
      </w:r>
      <w:r>
        <w:t xml:space="preserve">— Studio Legale AI predispone i campi di configurazione in Impostazioni e genera link di ricerca esterni precompilati, in attesa dell’attivazione di un’integrazione diretta con l’editore.</w:t>
      </w:r>
    </w:p>
    <w:bookmarkStart w:id="64" w:name="configurazione"/>
    <w:p>
      <w:pPr>
        <w:pStyle w:val="Heading4"/>
      </w:pPr>
      <w:r>
        <w:t xml:space="preserve">Configurazione</w:t>
      </w:r>
    </w:p>
    <w:p>
      <w:pPr>
        <w:numPr>
          <w:ilvl w:val="0"/>
          <w:numId w:val="1030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30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🇮🇹 Banche Dati Italiane</w:t>
      </w:r>
    </w:p>
    <w:p>
      <w:pPr>
        <w:numPr>
          <w:ilvl w:val="0"/>
          <w:numId w:val="1030"/>
        </w:numPr>
        <w:pStyle w:val="Compact"/>
      </w:pPr>
      <w:r>
        <w:t xml:space="preserve">Abilita</w:t>
      </w:r>
      <w:r>
        <w:t xml:space="preserve"> </w:t>
      </w:r>
      <w:r>
        <w:rPr>
          <w:bCs/>
          <w:b/>
        </w:rPr>
        <w:t xml:space="preserve">ItalgiureWeb</w:t>
      </w:r>
      <w:r>
        <w:t xml:space="preserve"> </w:t>
      </w:r>
      <w:r>
        <w:t xml:space="preserve">e inserisci: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Username / Codice meccanografico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Password / PIN</w:t>
      </w:r>
    </w:p>
    <w:p>
      <w:pPr>
        <w:numPr>
          <w:ilvl w:val="0"/>
          <w:numId w:val="1030"/>
        </w:numPr>
        <w:pStyle w:val="Compact"/>
      </w:pPr>
      <w:r>
        <w:t xml:space="preserve">(Opzionale) Inserisci le</w:t>
      </w:r>
      <w:r>
        <w:t xml:space="preserve"> </w:t>
      </w:r>
      <w:r>
        <w:rPr>
          <w:bCs/>
          <w:b/>
        </w:rPr>
        <w:t xml:space="preserve">API key</w:t>
      </w:r>
      <w:r>
        <w:t xml:space="preserve"> </w:t>
      </w:r>
      <w:r>
        <w:t xml:space="preserve">per De Jure, One Legale, Dike se disponibili</w:t>
      </w:r>
    </w:p>
    <w:p>
      <w:pPr>
        <w:numPr>
          <w:ilvl w:val="0"/>
          <w:numId w:val="103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💾 Salva</w:t>
      </w:r>
    </w:p>
    <w:p>
      <w:pPr>
        <w:numPr>
          <w:ilvl w:val="0"/>
          <w:numId w:val="103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🧪 Test ItalgiureWeb</w:t>
      </w:r>
      <w:r>
        <w:t xml:space="preserve"> </w:t>
      </w:r>
      <w:r>
        <w:t xml:space="preserve">per verificare la connessione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localmente in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, come per la configurazione SMTP. Nessuna password lascia lo studio.</w:t>
      </w:r>
    </w:p>
    <w:bookmarkEnd w:id="64"/>
    <w:bookmarkStart w:id="65" w:name="come-fare-una-ricerca"/>
    <w:p>
      <w:pPr>
        <w:pStyle w:val="Heading4"/>
      </w:pPr>
      <w:r>
        <w:t xml:space="preserve">Come fare una ricerca</w:t>
      </w:r>
    </w:p>
    <w:p>
      <w:pPr>
        <w:numPr>
          <w:ilvl w:val="0"/>
          <w:numId w:val="103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2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2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🇮🇹 Banche Dati Italiane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🔍 Cerca su ItalgiureWeb</w:t>
      </w:r>
    </w:p>
    <w:p>
      <w:pPr>
        <w:numPr>
          <w:ilvl w:val="0"/>
          <w:numId w:val="1032"/>
        </w:numPr>
        <w:pStyle w:val="Compact"/>
      </w:pPr>
      <w:r>
        <w:t xml:space="preserve">Se il connettore è configurato, vedrai i risultati; altrimenti appariranno i link rapidi per tutte le banche dati supportate</w:t>
      </w:r>
    </w:p>
    <w:bookmarkEnd w:id="65"/>
    <w:bookmarkEnd w:id="66"/>
    <w:bookmarkStart w:id="67" w:name="come-fare-una-ricerca-1"/>
    <w:p>
      <w:pPr>
        <w:pStyle w:val="Heading3"/>
      </w:pPr>
      <w:r>
        <w:t xml:space="preserve">Come fare una ricerca</w:t>
      </w:r>
    </w:p>
    <w:p>
      <w:pPr>
        <w:numPr>
          <w:ilvl w:val="0"/>
          <w:numId w:val="1033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3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3"/>
        </w:numPr>
        <w:pStyle w:val="Compact"/>
      </w:pPr>
      <w:r>
        <w:t xml:space="preserve">Clicca su uno o più pulsanti dei motori (es.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)</w:t>
      </w:r>
    </w:p>
    <w:p>
      <w:pPr>
        <w:numPr>
          <w:ilvl w:val="0"/>
          <w:numId w:val="1033"/>
        </w:numPr>
        <w:pStyle w:val="Compact"/>
      </w:pPr>
      <w:r>
        <w:t xml:space="preserve">Attendi i risultati</w:t>
      </w:r>
    </w:p>
    <w:p>
      <w:pPr>
        <w:numPr>
          <w:ilvl w:val="0"/>
          <w:numId w:val="1033"/>
        </w:numPr>
        <w:pStyle w:val="Compact"/>
      </w:pPr>
      <w:r>
        <w:t xml:space="preserve">Ogni motore mostra una lista di risultati con: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Titolo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Riassunto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URL</w:t>
      </w:r>
      <w:r>
        <w:t xml:space="preserve"> </w:t>
      </w:r>
      <w:r>
        <w:t xml:space="preserve">per approfondire</w:t>
      </w:r>
    </w:p>
    <w:bookmarkEnd w:id="67"/>
    <w:bookmarkStart w:id="68" w:name="esempio-concreto-3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cercare fonti per una memoria su responsabilità civile medica.</w:t>
      </w:r>
    </w:p>
    <w:p>
      <w:pPr>
        <w:numPr>
          <w:ilvl w:val="0"/>
          <w:numId w:val="1035"/>
        </w:numPr>
        <w:pStyle w:val="Compact"/>
      </w:pPr>
      <w:r>
        <w:t xml:space="preserve">Scrivi:</w:t>
      </w:r>
      <w:r>
        <w:t xml:space="preserve"> </w:t>
      </w:r>
      <w:r>
        <w:rPr>
          <w:rStyle w:val="VerbatimChar"/>
        </w:rPr>
        <w:t xml:space="preserve">responsabilità civile medica art. 2043</w:t>
      </w:r>
    </w:p>
    <w:p>
      <w:pPr>
        <w:numPr>
          <w:ilvl w:val="0"/>
          <w:numId w:val="103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le norme</w:t>
      </w:r>
    </w:p>
    <w:p>
      <w:pPr>
        <w:numPr>
          <w:ilvl w:val="0"/>
          <w:numId w:val="103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articoli scientifici</w:t>
      </w:r>
    </w:p>
    <w:p>
      <w:pPr>
        <w:numPr>
          <w:ilvl w:val="0"/>
          <w:numId w:val="103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Giustizia Amministrativa</w:t>
      </w:r>
      <w:r>
        <w:rPr>
          <w:bCs/>
          <w:b/>
        </w:rPr>
        <w:t xml:space="preserve">”</w:t>
      </w:r>
      <w:r>
        <w:t xml:space="preserve"> </w:t>
      </w:r>
      <w:r>
        <w:t xml:space="preserve">per sentenze dei TAR</w:t>
      </w:r>
    </w:p>
    <w:p>
      <w:pPr>
        <w:pStyle w:val="BlockText"/>
      </w:pPr>
      <w:r>
        <w:t xml:space="preserve">I risultati appariranno divisi per sezione.</w:t>
      </w:r>
    </w:p>
    <w:bookmarkEnd w:id="68"/>
    <w:bookmarkStart w:id="69" w:name="selezionare-le-fonti"/>
    <w:p>
      <w:pPr>
        <w:pStyle w:val="Heading3"/>
      </w:pPr>
      <w:r>
        <w:t xml:space="preserve">Selezionare le fonti</w:t>
      </w:r>
    </w:p>
    <w:p>
      <w:pPr>
        <w:pStyle w:val="FirstParagraph"/>
      </w:pPr>
      <w:r>
        <w:t xml:space="preserve">Accanto a ogni risultato trovi il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 </w:t>
      </w:r>
      <w:r>
        <w:t xml:space="preserve">sui risultati che ti interessano</w:t>
      </w:r>
    </w:p>
    <w:p>
      <w:pPr>
        <w:numPr>
          <w:ilvl w:val="0"/>
          <w:numId w:val="1036"/>
        </w:numPr>
        <w:pStyle w:val="Compact"/>
      </w:pPr>
      <w:r>
        <w:t xml:space="preserve">Le fonti selezionate compaiono in una lista laterale</w:t>
      </w:r>
    </w:p>
    <w:p>
      <w:pPr>
        <w:numPr>
          <w:ilvl w:val="0"/>
          <w:numId w:val="1036"/>
        </w:numPr>
        <w:pStyle w:val="Compact"/>
      </w:pPr>
      <w:r>
        <w:t xml:space="preserve">Puoi rimuovere una fonte cliccando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❌ Rimuovi</w:t>
      </w:r>
      <w:r>
        <w:rPr>
          <w:bCs/>
          <w:b/>
        </w:rPr>
        <w:t xml:space="preserve">”</w:t>
      </w:r>
    </w:p>
    <w:bookmarkEnd w:id="69"/>
    <w:bookmarkStart w:id="70" w:name="generare-documento-dalle-fonti"/>
    <w:p>
      <w:pPr>
        <w:pStyle w:val="Heading3"/>
      </w:pPr>
      <w:r>
        <w:t xml:space="preserve">Generare documento dalle fonti</w:t>
      </w:r>
    </w:p>
    <w:p>
      <w:pPr>
        <w:pStyle w:val="FirstParagraph"/>
      </w:pPr>
      <w:r>
        <w:t xml:space="preserve">Dopo aver selezionato le fonti:</w:t>
      </w:r>
    </w:p>
    <w:p>
      <w:pPr>
        <w:numPr>
          <w:ilvl w:val="0"/>
          <w:numId w:val="1037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Si apre una finestra:</w:t>
      </w:r>
    </w:p>
    <w:p>
      <w:pPr>
        <w:numPr>
          <w:ilvl w:val="1"/>
          <w:numId w:val="1038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 documento</w:t>
      </w:r>
      <w:r>
        <w:t xml:space="preserve"> </w:t>
      </w:r>
      <w:r>
        <w:t xml:space="preserve">(es. Parere scritto)</w:t>
      </w:r>
    </w:p>
    <w:p>
      <w:pPr>
        <w:numPr>
          <w:ilvl w:val="1"/>
          <w:numId w:val="1038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(opzionale)</w:t>
      </w:r>
    </w:p>
    <w:p>
      <w:pPr>
        <w:numPr>
          <w:ilvl w:val="1"/>
          <w:numId w:val="1038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(opzionale)</w:t>
      </w:r>
    </w:p>
    <w:p>
      <w:pPr>
        <w:numPr>
          <w:ilvl w:val="0"/>
          <w:numId w:val="103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</w:t>
      </w:r>
      <w:r>
        <w:rPr>
          <w:bCs/>
          <w:b/>
        </w:rP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L’AI crea un documento con:</w:t>
      </w:r>
    </w:p>
    <w:p>
      <w:pPr>
        <w:numPr>
          <w:ilvl w:val="1"/>
          <w:numId w:val="1039"/>
        </w:numPr>
        <w:pStyle w:val="Compact"/>
      </w:pPr>
      <w:r>
        <w:t xml:space="preserve">Introduzione al tema</w:t>
      </w:r>
    </w:p>
    <w:p>
      <w:pPr>
        <w:numPr>
          <w:ilvl w:val="1"/>
          <w:numId w:val="1039"/>
        </w:numPr>
        <w:pStyle w:val="Compact"/>
      </w:pPr>
      <w:r>
        <w:t xml:space="preserve">Analisi delle norme trovate</w:t>
      </w:r>
    </w:p>
    <w:p>
      <w:pPr>
        <w:numPr>
          <w:ilvl w:val="1"/>
          <w:numId w:val="1039"/>
        </w:numPr>
        <w:pStyle w:val="Compact"/>
      </w:pPr>
      <w:r>
        <w:t xml:space="preserve">Riferimenti alla giurisprudenza</w:t>
      </w:r>
    </w:p>
    <w:p>
      <w:pPr>
        <w:numPr>
          <w:ilvl w:val="1"/>
          <w:numId w:val="1039"/>
        </w:numPr>
        <w:pStyle w:val="Compact"/>
      </w:pPr>
      <w:r>
        <w:t xml:space="preserve">Conclusioni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Bibliografia</w:t>
      </w:r>
      <w:r>
        <w:t xml:space="preserve"> </w:t>
      </w:r>
      <w:r>
        <w:t xml:space="preserve">con le fonti selezionate</w:t>
      </w:r>
    </w:p>
    <w:bookmarkEnd w:id="70"/>
    <w:bookmarkStart w:id="71" w:name="verifica-automatica-delle-citazioni"/>
    <w:p>
      <w:pPr>
        <w:pStyle w:val="Heading3"/>
      </w:pPr>
      <w:r>
        <w:t xml:space="preserve">Verifica automatica delle citazioni</w:t>
      </w:r>
    </w:p>
    <w:p>
      <w:pPr>
        <w:pStyle w:val="FirstParagraph"/>
      </w:pPr>
      <w:r>
        <w:t xml:space="preserve">Quando generi una ricerca, l’AI cerca di inserire sentenze della Cassazione.</w:t>
      </w:r>
    </w:p>
    <w:p>
      <w:pPr>
        <w:pStyle w:val="BodyText"/>
      </w:pPr>
      <w:r>
        <w:t xml:space="preserve">Per evitare</w:t>
      </w:r>
      <w:r>
        <w:t xml:space="preserve"> </w:t>
      </w:r>
      <w:r>
        <w:rPr>
          <w:bCs/>
          <w:b/>
        </w:rPr>
        <w:t xml:space="preserve">citazioni inventate</w:t>
      </w:r>
      <w:r>
        <w:t xml:space="preserve"> </w:t>
      </w:r>
      <w:r>
        <w:t xml:space="preserve">(allucinazioni):</w:t>
      </w:r>
      <w:r>
        <w:t xml:space="preserve"> </w:t>
      </w:r>
      <w:r>
        <w:t xml:space="preserve">- L’agente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Cassazione, Sez. X, n. …</w:t>
      </w:r>
      <w:r>
        <w:t xml:space="preserve">”</w:t>
      </w:r>
      <w:r>
        <w:t xml:space="preserve"> </w:t>
      </w:r>
      <w:r>
        <w:t xml:space="preserve">- Cerca su Internet se la sentenza esiste davvero</w:t>
      </w:r>
      <w:r>
        <w:t xml:space="preserve"> </w:t>
      </w:r>
      <w:r>
        <w:t xml:space="preserve">- Segna con ✅ le verificate e ⚠️ le non verificate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manualmente le citazioni sulla banca dati ufficiale.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calendario-scadenze"/>
    <w:p>
      <w:pPr>
        <w:pStyle w:val="Heading2"/>
      </w:pPr>
      <w:r>
        <w:t xml:space="preserve">8. Calendario Scadenze</w:t>
      </w:r>
    </w:p>
    <w:bookmarkStart w:id="73" w:name="Xa807a64eaf8b069ffe5eb500ffeedbdf572dcbb"/>
    <w:p>
      <w:pPr>
        <w:pStyle w:val="Heading3"/>
      </w:pPr>
      <w:r>
        <w:t xml:space="preserve">Promemoria automatici con la Segretaria Legale</w:t>
      </w:r>
    </w:p>
    <w:p>
      <w:pPr>
        <w:pStyle w:val="FirstParagraph"/>
      </w:pPr>
      <w:r>
        <w:t xml:space="preserve">Ogni scadenza nel calendario ha un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📋</w:t>
      </w:r>
      <w:r>
        <w:rPr>
          <w:bCs/>
          <w:b/>
        </w:rPr>
        <w:t xml:space="preserve">”</w:t>
      </w:r>
      <w:r>
        <w:t xml:space="preserve"> </w:t>
      </w:r>
      <w:r>
        <w:t xml:space="preserve">che attiva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.</w:t>
      </w:r>
    </w:p>
    <w:p>
      <w:pPr>
        <w:pStyle w:val="BodyText"/>
      </w:pPr>
      <w:r>
        <w:t xml:space="preserve">La Segretaria può generare: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Promemoria</w:t>
      </w:r>
      <w:r>
        <w:t xml:space="preserve"> </w:t>
      </w:r>
      <w:r>
        <w:t xml:space="preserve">— Ricorda cosa fare e quanti giorni mancano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Sollecito</w:t>
      </w:r>
      <w:r>
        <w:t xml:space="preserve"> </w:t>
      </w:r>
      <w:r>
        <w:t xml:space="preserve">— Tono più deciso per scadenze già passate o imminenti</w:t>
      </w:r>
    </w:p>
    <w:p>
      <w:pPr>
        <w:pStyle w:val="BodyText"/>
      </w:pPr>
      <w:r>
        <w:t xml:space="preserve">Il tono è automaticamente graduato:</w:t>
      </w:r>
      <w:r>
        <w:t xml:space="preserve"> </w:t>
      </w:r>
      <w:r>
        <w:t xml:space="preserve">- Se mancano &gt; 7 giorni → educato e professionale</w:t>
      </w:r>
      <w:r>
        <w:t xml:space="preserve"> </w:t>
      </w:r>
      <w:r>
        <w:t xml:space="preserve">- Se mancano 3-7 giorni → fermo ma cortese</w:t>
      </w:r>
      <w:r>
        <w:t xml:space="preserve"> </w:t>
      </w:r>
      <w:r>
        <w:t xml:space="preserve">- Se la scadenza è passata → deciso, con azioni concrete richieste</w:t>
      </w:r>
    </w:p>
    <w:p>
      <w:r>
        <w:pict>
          <v:rect style="width:0;height:1.5pt" o:hralign="center" o:hrstd="t" o:hr="t"/>
        </w:pict>
      </w:r>
    </w:p>
    <w:bookmarkEnd w:id="73"/>
    <w:bookmarkStart w:id="74" w:name="aggiungere-udienze-e-termini"/>
    <w:p>
      <w:pPr>
        <w:pStyle w:val="Heading3"/>
      </w:pPr>
      <w:r>
        <w:t xml:space="preserve">Aggiungere udienze e termini</w:t>
      </w:r>
    </w:p>
    <w:p>
      <w:pPr>
        <w:numPr>
          <w:ilvl w:val="0"/>
          <w:numId w:val="1040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  <w:r>
        <w:t xml:space="preserve"> </w:t>
      </w:r>
      <w:r>
        <w:t xml:space="preserve">nel menu</w:t>
      </w:r>
    </w:p>
    <w:p>
      <w:pPr>
        <w:numPr>
          <w:ilvl w:val="0"/>
          <w:numId w:val="1040"/>
        </w:numPr>
        <w:pStyle w:val="Compact"/>
      </w:pPr>
      <w:r>
        <w:t xml:space="preserve">Clicca su **</w:t>
      </w:r>
      <w:r>
        <w:t xml:space="preserve">“</w:t>
      </w:r>
      <w:r>
        <w:t xml:space="preserve">➕ Nuova Scadenza</w:t>
      </w:r>
      <w:r>
        <w:t xml:space="preserve">”</w:t>
      </w:r>
    </w:p>
    <w:p>
      <w:pPr>
        <w:numPr>
          <w:ilvl w:val="0"/>
          <w:numId w:val="1040"/>
        </w:numPr>
        <w:pStyle w:val="Compact"/>
      </w:pPr>
      <w:r>
        <w:t xml:space="preserve">Compila: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 di comparizione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Pratica collegata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74"/>
    <w:bookmarkStart w:id="75" w:name="tipi-di-scadenza"/>
    <w:p>
      <w:pPr>
        <w:pStyle w:val="Heading3"/>
      </w:pPr>
      <w:r>
        <w:t xml:space="preserve">Tipi di scadenza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Udienza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Appuntamento in tribunale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per presentare atti (es. termine a difesa)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generica (es. scadenza contratto)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Appuntamento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Incontro con cliente o collega</w:t>
            </w:r>
          </w:p>
        </w:tc>
      </w:tr>
    </w:tbl>
    <w:bookmarkEnd w:id="75"/>
    <w:bookmarkStart w:id="76" w:name="toggle-completamento"/>
    <w:p>
      <w:pPr>
        <w:pStyle w:val="Heading3"/>
      </w:pPr>
      <w:r>
        <w:t xml:space="preserve">Toggle completamento</w:t>
      </w:r>
    </w:p>
    <w:p>
      <w:pPr>
        <w:pStyle w:val="FirstParagraph"/>
      </w:pPr>
      <w:r>
        <w:t xml:space="preserve">Quando una scadenza è svolta:</w:t>
      </w:r>
      <w:r>
        <w:t xml:space="preserve"> </w:t>
      </w:r>
      <w:r>
        <w:t xml:space="preserve">1. Nella lista, clicca sulla casella di spunta ✅</w:t>
      </w:r>
      <w:r>
        <w:t xml:space="preserve"> </w:t>
      </w:r>
      <w:r>
        <w:t xml:space="preserve">2. La scadenza verrà barrata e spostata in fondo</w:t>
      </w:r>
      <w:r>
        <w:t xml:space="preserve"> </w:t>
      </w:r>
      <w:r>
        <w:t xml:space="preserve">3. Puoi ripristinarla togliendo la spunta</w:t>
      </w:r>
    </w:p>
    <w:bookmarkEnd w:id="76"/>
    <w:bookmarkStart w:id="77" w:name="filtrare-le-scadenze"/>
    <w:p>
      <w:pPr>
        <w:pStyle w:val="Heading3"/>
      </w:pPr>
      <w:r>
        <w:t xml:space="preserve">Filtrare le scadenze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— Mostra solo udienze, termini,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Filtra per caso specifico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 o completate</w:t>
      </w:r>
    </w:p>
    <w:bookmarkEnd w:id="77"/>
    <w:bookmarkStart w:id="78" w:name="visualizzazione-dalla-pratica"/>
    <w:p>
      <w:pPr>
        <w:pStyle w:val="Heading3"/>
      </w:pPr>
      <w:r>
        <w:t xml:space="preserve">Visualizzazione dalla pratica</w:t>
      </w:r>
    </w:p>
    <w:p>
      <w:pPr>
        <w:pStyle w:val="FirstParagraph"/>
      </w:pPr>
      <w:r>
        <w:t xml:space="preserve">Quando guardi una pratica espansa (in pagina</w:t>
      </w:r>
      <w:r>
        <w:t xml:space="preserve"> </w:t>
      </w:r>
      <w:r>
        <w:rPr>
          <w:bCs/>
          <w:b/>
        </w:rPr>
        <w:t xml:space="preserve">Pratiche</w:t>
      </w:r>
      <w:r>
        <w:t xml:space="preserve">), vedrai automaticamente tutte le scadenze collegate a quel caso.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impostazioni"/>
    <w:p>
      <w:pPr>
        <w:pStyle w:val="Heading2"/>
      </w:pPr>
      <w:r>
        <w:t xml:space="preserve">9. Impostazioni</w:t>
      </w:r>
    </w:p>
    <w:bookmarkStart w:id="80" w:name="configurazione-smtp-email"/>
    <w:p>
      <w:pPr>
        <w:pStyle w:val="Heading3"/>
      </w:pPr>
      <w:r>
        <w:t xml:space="preserve">Configurazione SMTP (Email)</w:t>
      </w:r>
    </w:p>
    <w:p>
      <w:pPr>
        <w:pStyle w:val="FirstParagraph"/>
      </w:pPr>
      <w:r>
        <w:t xml:space="preserve">Per inviare email con allegati, devi configurare l’account SMTP:</w:t>
      </w:r>
    </w:p>
    <w:p>
      <w:pPr>
        <w:numPr>
          <w:ilvl w:val="0"/>
          <w:numId w:val="104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42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Configurazione SMTP</w:t>
      </w:r>
      <w:r>
        <w:rPr>
          <w:bCs/>
          <w:b/>
        </w:rPr>
        <w:t xml:space="preserve">”</w:t>
      </w:r>
    </w:p>
    <w:p>
      <w:pPr>
        <w:numPr>
          <w:ilvl w:val="0"/>
          <w:numId w:val="1042"/>
        </w:numPr>
        <w:pStyle w:val="Compact"/>
      </w:pPr>
      <w:r>
        <w:t xml:space="preserve">Compila i campi: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Aruba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smtp.aruba.it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tuaemail@gmail.com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studio@tuodominio.it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Password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mittente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</w:tr>
    </w:tbl>
    <w:p>
      <w:pPr>
        <w:numPr>
          <w:ilvl w:val="0"/>
          <w:numId w:val="104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 SMTP</w:t>
      </w:r>
      <w:r>
        <w:rPr>
          <w:bCs/>
          <w:b/>
        </w:rPr>
        <w:t xml:space="preserve">”</w:t>
      </w:r>
    </w:p>
    <w:p>
      <w:pPr>
        <w:numPr>
          <w:ilvl w:val="0"/>
          <w:numId w:val="104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🧪 Test invio</w:t>
      </w:r>
      <w:r>
        <w:rPr>
          <w:bCs/>
          <w:b/>
        </w:rPr>
        <w:t xml:space="preserve">”</w:t>
      </w:r>
      <w:r>
        <w:t xml:space="preserve"> </w:t>
      </w:r>
      <w:r>
        <w:t xml:space="preserve">per verificare che funzioni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Importante per Gmail:</w:t>
      </w:r>
      <w:r>
        <w:t xml:space="preserve"> </w:t>
      </w:r>
      <w:r>
        <w:t xml:space="preserve">devi usare una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(non la password normale). Crealà su https://myaccount.google.com/apppasswords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.</w:t>
      </w:r>
    </w:p>
    <w:bookmarkEnd w:id="80"/>
    <w:bookmarkStart w:id="81" w:name="configurazione-degli-agenti-ai"/>
    <w:p>
      <w:pPr>
        <w:pStyle w:val="Heading3"/>
      </w:pPr>
      <w:r>
        <w:t xml:space="preserve">Configurazione degli agenti AI</w:t>
      </w:r>
    </w:p>
    <w:p>
      <w:pPr>
        <w:pStyle w:val="FirstParagraph"/>
      </w:pPr>
      <w:r>
        <w:t xml:space="preserve">Nelle impostazioni puoi anche visualizzare la configurazione degli agenti: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 Generico</w:t>
      </w:r>
      <w:r>
        <w:t xml:space="preserve"> </w:t>
      </w:r>
      <w:r>
        <w:t xml:space="preserve">— Modello: auto (router), Temp: 0.5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Contrattuale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Giuridico</w:t>
      </w:r>
      <w:r>
        <w:t xml:space="preserve"> </w:t>
      </w:r>
      <w:r>
        <w:t xml:space="preserve">— Modello: Nemotron,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— Modello: Nemotron, Temp: 0.1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— Modello: Qwen,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Parerista</w:t>
      </w:r>
      <w:r>
        <w:t xml:space="preserve"> </w:t>
      </w:r>
      <w:r>
        <w:t xml:space="preserve">— Modello: Nemotron, Temp: 0.2</w:t>
      </w:r>
    </w:p>
    <w:p>
      <w:pPr>
        <w:pStyle w:val="BodyText"/>
      </w:pPr>
      <w:r>
        <w:t xml:space="preserve">Ogni agente ha una</w:t>
      </w:r>
      <w:r>
        <w:t xml:space="preserve"> </w:t>
      </w:r>
      <w:r>
        <w:rPr>
          <w:bCs/>
          <w:b/>
        </w:rPr>
        <w:t xml:space="preserve">temperatura</w:t>
      </w:r>
      <w:r>
        <w:t xml:space="preserve"> </w:t>
      </w:r>
      <w:r>
        <w:t xml:space="preserve">ottimizzata per il suo compito. Non è consigliabile modificarle senza motivo.</w:t>
      </w:r>
    </w:p>
    <w:p>
      <w:pPr>
        <w:pStyle w:val="BodyText"/>
      </w:pPr>
      <w:r>
        <w:t xml:space="preserve">Per la produzione di atti giuridici, il sistema usa temperature basse (0.1–0.3) per massimizzare la precisione.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flusso-di-lavoro-consigliato"/>
    <w:p>
      <w:pPr>
        <w:pStyle w:val="Heading2"/>
      </w:pPr>
      <w:r>
        <w:t xml:space="preserve">10. Flusso di Lavoro Consigliato</w:t>
      </w:r>
    </w:p>
    <w:bookmarkStart w:id="88" w:name="esempio-pratico-completo"/>
    <w:p>
      <w:pPr>
        <w:pStyle w:val="Heading3"/>
      </w:pPr>
      <w:r>
        <w:t xml:space="preserve">Esempio pratico completo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Recupero crediti fornitura non pagata — Mario Rossi Srl vs Bianchi Srl</w:t>
      </w:r>
    </w:p>
    <w:p>
      <w:pPr>
        <w:pStyle w:val="BlockText"/>
      </w:pPr>
      <w:r>
        <w:rPr>
          <w:bCs/>
          <w:b/>
        </w:rPr>
        <w:t xml:space="preserve">Pratica:</w:t>
      </w:r>
      <w:r>
        <w:t xml:space="preserve"> </w:t>
      </w:r>
      <w:r>
        <w:t xml:space="preserve">2025/042</w:t>
      </w:r>
    </w:p>
    <w:bookmarkStart w:id="83" w:name="passo-1-ricerca-giuridica"/>
    <w:p>
      <w:pPr>
        <w:pStyle w:val="Heading4"/>
      </w:pPr>
      <w:r>
        <w:t xml:space="preserve">Passo 1 — Ricerca giuridica</w:t>
      </w:r>
    </w:p>
    <w:p>
      <w:pPr>
        <w:numPr>
          <w:ilvl w:val="0"/>
          <w:numId w:val="1044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</w:p>
    <w:p>
      <w:pPr>
        <w:numPr>
          <w:ilvl w:val="0"/>
          <w:numId w:val="1044"/>
        </w:numPr>
        <w:pStyle w:val="Compact"/>
      </w:pPr>
      <w:r>
        <w:t xml:space="preserve">Cerca:</w:t>
      </w:r>
      <w:r>
        <w:t xml:space="preserve"> </w:t>
      </w:r>
      <w:r>
        <w:rPr>
          <w:rStyle w:val="VerbatimChar"/>
        </w:rPr>
        <w:t xml:space="preserve">messa in mora recupero crediti art. 1218 1223 codice civile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Normattiva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Dottrina</w:t>
      </w:r>
    </w:p>
    <w:p>
      <w:pPr>
        <w:numPr>
          <w:ilvl w:val="0"/>
          <w:numId w:val="1044"/>
        </w:numPr>
        <w:pStyle w:val="Compact"/>
      </w:pPr>
      <w:r>
        <w:t xml:space="preserve">Seleziona 3–4 fonti rilevanti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44"/>
        </w:numPr>
        <w:pStyle w:val="Compact"/>
      </w:pPr>
      <w:r>
        <w:t xml:space="preserve">Seleziona tipologia:</w:t>
      </w:r>
      <w:r>
        <w:t xml:space="preserve"> </w:t>
      </w:r>
      <w:r>
        <w:rPr>
          <w:bCs/>
          <w:b/>
        </w:rPr>
        <w:t xml:space="preserve">Parere scritto</w:t>
      </w:r>
    </w:p>
    <w:p>
      <w:pPr>
        <w:numPr>
          <w:ilvl w:val="0"/>
          <w:numId w:val="1044"/>
        </w:numPr>
        <w:pStyle w:val="Compact"/>
      </w:pPr>
      <w:r>
        <w:t xml:space="preserve">Collega cliente:</w:t>
      </w:r>
      <w:r>
        <w:t xml:space="preserve"> </w:t>
      </w:r>
      <w:r>
        <w:rPr>
          <w:bCs/>
          <w:b/>
        </w:rPr>
        <w:t xml:space="preserve">Mario Rossi Srl</w:t>
      </w:r>
      <w:r>
        <w:t xml:space="preserve">, pratica:</w:t>
      </w:r>
      <w:r>
        <w:t xml:space="preserve"> </w:t>
      </w:r>
      <w:r>
        <w:rPr>
          <w:bCs/>
          <w:b/>
        </w:rPr>
        <w:t xml:space="preserve">2025/042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</w:p>
    <w:bookmarkEnd w:id="83"/>
    <w:bookmarkStart w:id="84" w:name="Xacbc8513afb1c0920acb421dd10d2d8695ef1b6"/>
    <w:p>
      <w:pPr>
        <w:pStyle w:val="Heading4"/>
      </w:pPr>
      <w:r>
        <w:t xml:space="preserve">Passo 2 — Generazione lettera di messa in mora</w:t>
      </w:r>
    </w:p>
    <w:p>
      <w:pPr>
        <w:numPr>
          <w:ilvl w:val="0"/>
          <w:numId w:val="1045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</w:p>
    <w:p>
      <w:pPr>
        <w:numPr>
          <w:ilvl w:val="0"/>
          <w:numId w:val="104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Lettera di messa in mora</w:t>
      </w:r>
    </w:p>
    <w:p>
      <w:pPr>
        <w:numPr>
          <w:ilvl w:val="0"/>
          <w:numId w:val="1045"/>
        </w:numPr>
        <w:pStyle w:val="Compact"/>
      </w:pPr>
      <w:r>
        <w:t xml:space="preserve">Compila:</w:t>
      </w:r>
    </w:p>
    <w:p>
      <w:pPr>
        <w:numPr>
          <w:ilvl w:val="1"/>
          <w:numId w:val="1046"/>
        </w:numPr>
        <w:pStyle w:val="Compact"/>
      </w:pPr>
      <w:r>
        <w:t xml:space="preserve">Oggetto: Mancato pagamento fattura n. 123</w:t>
      </w:r>
    </w:p>
    <w:p>
      <w:pPr>
        <w:numPr>
          <w:ilvl w:val="1"/>
          <w:numId w:val="1046"/>
        </w:numPr>
        <w:pStyle w:val="Compact"/>
      </w:pPr>
      <w:r>
        <w:t xml:space="preserve">Destinatario: Bianchi Srl</w:t>
      </w:r>
    </w:p>
    <w:p>
      <w:pPr>
        <w:numPr>
          <w:ilvl w:val="1"/>
          <w:numId w:val="1046"/>
        </w:numPr>
        <w:pStyle w:val="Compact"/>
      </w:pPr>
      <w:r>
        <w:t xml:space="preserve">Importo: € 15.000,00</w:t>
      </w:r>
    </w:p>
    <w:p>
      <w:pPr>
        <w:numPr>
          <w:ilvl w:val="1"/>
          <w:numId w:val="1046"/>
        </w:numPr>
        <w:pStyle w:val="Compact"/>
      </w:pPr>
      <w:r>
        <w:t xml:space="preserve">Termine: 15 giorni</w:t>
      </w:r>
    </w:p>
    <w:p>
      <w:pPr>
        <w:numPr>
          <w:ilvl w:val="1"/>
          <w:numId w:val="1046"/>
        </w:numPr>
        <w:pStyle w:val="Compact"/>
      </w:pPr>
      <w:r>
        <w:t xml:space="preserve">Cliente: Mario Rossi Srl</w:t>
      </w:r>
    </w:p>
    <w:p>
      <w:pPr>
        <w:numPr>
          <w:ilvl w:val="1"/>
          <w:numId w:val="1046"/>
        </w:numPr>
        <w:pStyle w:val="Compact"/>
      </w:pPr>
      <w:r>
        <w:t xml:space="preserve">Pratica: 2025/042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45"/>
        </w:numPr>
        <w:pStyle w:val="Compact"/>
      </w:pPr>
      <w:r>
        <w:t xml:space="preserve">Rivedi il testo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— Protocollo: 2026/001</w:t>
      </w:r>
    </w:p>
    <w:bookmarkEnd w:id="84"/>
    <w:bookmarkStart w:id="85" w:name="X6e9031c0f9591e1946e13f424320449bb5a0af2"/>
    <w:p>
      <w:pPr>
        <w:pStyle w:val="Heading4"/>
      </w:pPr>
      <w:r>
        <w:t xml:space="preserve">Passo 3 — Invio al cliente per approvazione</w:t>
      </w:r>
    </w:p>
    <w:p>
      <w:pPr>
        <w:numPr>
          <w:ilvl w:val="0"/>
          <w:numId w:val="104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47"/>
        </w:numPr>
        <w:pStyle w:val="Compact"/>
      </w:pPr>
      <w:r>
        <w:t xml:space="preserve">Destinatario: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47"/>
        </w:numPr>
        <w:pStyle w:val="Compact"/>
      </w:pPr>
      <w:r>
        <w:t xml:space="preserve">Oggetto:</w:t>
      </w:r>
      <w:r>
        <w:t xml:space="preserve"> </w:t>
      </w:r>
      <w:r>
        <w:rPr>
          <w:rStyle w:val="VerbatimChar"/>
        </w:rPr>
        <w:t xml:space="preserve">Bozza lettera di messa in mora — Pratica 2025/042</w:t>
      </w:r>
    </w:p>
    <w:p>
      <w:pPr>
        <w:numPr>
          <w:ilvl w:val="0"/>
          <w:numId w:val="1047"/>
        </w:numPr>
        <w:pStyle w:val="Compact"/>
      </w:pPr>
      <w:r>
        <w:t xml:space="preserve">Seleziona allegato: ☑️ DOCX</w:t>
      </w:r>
    </w:p>
    <w:p>
      <w:pPr>
        <w:numPr>
          <w:ilvl w:val="0"/>
          <w:numId w:val="104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bookmarkEnd w:id="85"/>
    <w:bookmarkStart w:id="86" w:name="passo-4-tracciamento-scadenza"/>
    <w:p>
      <w:pPr>
        <w:pStyle w:val="Heading4"/>
      </w:pPr>
      <w:r>
        <w:t xml:space="preserve">Passo 4 — Tracciamento scadenza</w:t>
      </w:r>
    </w:p>
    <w:p>
      <w:pPr>
        <w:numPr>
          <w:ilvl w:val="0"/>
          <w:numId w:val="1048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</w:p>
    <w:p>
      <w:pPr>
        <w:numPr>
          <w:ilvl w:val="0"/>
          <w:numId w:val="104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Scadenza</w:t>
      </w:r>
      <w:r>
        <w:rPr>
          <w:bCs/>
          <w:b/>
        </w:rP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Titolo: Termine per presentazione atto di citazione</w:t>
      </w:r>
    </w:p>
    <w:p>
      <w:pPr>
        <w:numPr>
          <w:ilvl w:val="0"/>
          <w:numId w:val="1048"/>
        </w:numPr>
        <w:pStyle w:val="Compact"/>
      </w:pPr>
      <w:r>
        <w:t xml:space="preserve">Data:</w:t>
      </w:r>
      <w:r>
        <w:t xml:space="preserve"> </w:t>
      </w:r>
      <w:r>
        <w:rPr>
          <w:iCs/>
          <w:i/>
        </w:rPr>
        <w:t xml:space="preserve">15 giorni dopo la scadenza della mora</w:t>
      </w:r>
    </w:p>
    <w:p>
      <w:pPr>
        <w:numPr>
          <w:ilvl w:val="0"/>
          <w:numId w:val="1048"/>
        </w:numPr>
        <w:pStyle w:val="Compact"/>
      </w:pPr>
      <w:r>
        <w:t xml:space="preserve">Tipo: Termine</w:t>
      </w:r>
    </w:p>
    <w:p>
      <w:pPr>
        <w:numPr>
          <w:ilvl w:val="0"/>
          <w:numId w:val="1048"/>
        </w:numPr>
        <w:pStyle w:val="Compact"/>
      </w:pPr>
      <w:r>
        <w:t xml:space="preserve">Pratica: 2025/042</w:t>
      </w:r>
    </w:p>
    <w:p>
      <w:pPr>
        <w:numPr>
          <w:ilvl w:val="0"/>
          <w:numId w:val="104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</w:p>
    <w:bookmarkEnd w:id="86"/>
    <w:bookmarkStart w:id="87" w:name="passo-5-archiviazione"/>
    <w:p>
      <w:pPr>
        <w:pStyle w:val="Heading4"/>
      </w:pPr>
      <w:r>
        <w:t xml:space="preserve">Passo 5 — Archiviazione</w:t>
      </w:r>
    </w:p>
    <w:p>
      <w:pPr>
        <w:pStyle w:val="FirstParagraph"/>
      </w:pPr>
      <w:r>
        <w:t xml:space="preserve">Il documento 2026/001 è salvato automaticamente in</w:t>
      </w:r>
      <w:r>
        <w:t xml:space="preserve"> </w:t>
      </w:r>
      <w:r>
        <w:rPr>
          <w:rStyle w:val="VerbatimChar"/>
        </w:rPr>
        <w:t xml:space="preserve">database/documents/</w:t>
      </w:r>
      <w:r>
        <w:t xml:space="preserve"> </w:t>
      </w:r>
      <w:r>
        <w:t xml:space="preserve">e visibile nell’archivio con tutti i metadati.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93" w:name="faq-e-troubleshooting"/>
    <w:p>
      <w:pPr>
        <w:pStyle w:val="Heading2"/>
      </w:pPr>
      <w:r>
        <w:t xml:space="preserve">11. FAQ e Troubleshooting</w:t>
      </w:r>
    </w:p>
    <w:bookmarkStart w:id="90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avanzate (Nemotron API)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 Le ricerche sui motori giuridici (Normattiva, EUR-Lex, ecc.) sono pubbliche.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gestione clienti, pratiche, documenti e calendario.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giuridica e la verifica citazioni, che richiedono Internet.</w:t>
      </w:r>
    </w:p>
    <w:p>
      <w:pPr>
        <w:pStyle w:val="BodyText"/>
      </w:pPr>
      <w:r>
        <w:rPr>
          <w:bCs/>
          <w:b/>
        </w:rPr>
        <w:t xml:space="preserve">D: I documenti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dall’avvocato prima dell’uso processuale. L’agente è uno strumento, non un sostituto del professionista.</w:t>
      </w:r>
    </w:p>
    <w:p>
      <w:pPr>
        <w:pStyle w:val="BodyText"/>
      </w:pPr>
      <w:r>
        <w:rPr>
          <w:bCs/>
          <w:b/>
        </w:rPr>
        <w:t xml:space="preserve">D: Come faccio il backup?</w:t>
      </w:r>
      <w:r>
        <w:t xml:space="preserve"> </w:t>
      </w:r>
      <w:r>
        <w:t xml:space="preserve">&gt; R: Copia la cartella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su un disco esterno o cloud personale. Contiene tutto: clienti, pratiche, documenti, impostazioni.</w:t>
      </w:r>
    </w:p>
    <w:p>
      <w:pPr>
        <w:pStyle w:val="BodyText"/>
      </w:pPr>
      <w:r>
        <w:rPr>
          <w:bCs/>
          <w:b/>
        </w:rPr>
        <w:t xml:space="preserve">D: Posso modificare un documento dopo averlo salvato?</w:t>
      </w:r>
      <w:r>
        <w:t xml:space="preserve"> </w:t>
      </w:r>
      <w:r>
        <w:t xml:space="preserve">&gt; R: Sì. Scaricalo in DOCX, modificalo in Word/LibreOffice, e caricalo nuovamente se necessario. Oppure rigeneralo dalla pagina Documenti.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Cos’è la temperatura di un agente?</w:t>
      </w:r>
      <w:r>
        <w:t xml:space="preserve"> </w:t>
      </w:r>
      <w:r>
        <w:t xml:space="preserve">&gt; R: È un parametro che regola la</w:t>
      </w:r>
      <w:r>
        <w:t xml:space="preserve"> </w:t>
      </w:r>
      <w:r>
        <w:t xml:space="preserve">“</w:t>
      </w:r>
      <w:r>
        <w:t xml:space="preserve">creatività</w:t>
      </w:r>
      <w:r>
        <w:t xml:space="preserve">”</w:t>
      </w:r>
      <w:r>
        <w:t xml:space="preserve"> </w:t>
      </w:r>
      <w:r>
        <w:t xml:space="preserve">dell’AI. I nostri agenti legali usano temperature molto basse (0.1–0.3) per essere precisi e conservativi. L’Avvocato Generico, che risponde a domande rapide, ha temperatura 0.5 per essere più conversazionale.</w:t>
      </w:r>
    </w:p>
    <w:p>
      <w:pPr>
        <w:pStyle w:val="BodyText"/>
      </w:pPr>
      <w:r>
        <w:rPr>
          <w:bCs/>
          <w:b/>
        </w:rPr>
        <w:t xml:space="preserve">D: A cosa serve la ricerca giuridica preliminare?</w:t>
      </w:r>
      <w:r>
        <w:t xml:space="preserve"> </w:t>
      </w:r>
      <w:r>
        <w:t xml:space="preserve">&gt; R: È un’opzione che esegue una ricerca web automatica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generare il documento. Il sistema cerca fonti reali sul tema (norme, giurisprudenza, dottrina) e le passa all’AI come contesto. Questo riduce le</w:t>
      </w:r>
      <w:r>
        <w:t xml:space="preserve"> </w:t>
      </w:r>
      <w:r>
        <w:t xml:space="preserve">“</w:t>
      </w:r>
      <w:r>
        <w:t xml:space="preserve">allucinazioni</w:t>
      </w:r>
      <w:r>
        <w:t xml:space="preserve">”</w:t>
      </w:r>
      <w:r>
        <w:t xml:space="preserve"> </w:t>
      </w:r>
      <w:r>
        <w:t xml:space="preserve">(citazioni inventate) e fornisce all’avvocato un punto di partenza concreto per verificare e completare le fonti. È consigliata per Memorie, Pareri, Atti di citazione, Ricorsi, Appelli e Controricorsi.</w:t>
      </w:r>
    </w:p>
    <w:p>
      <w:pPr>
        <w:pStyle w:val="BodyText"/>
      </w:pPr>
      <w:r>
        <w:rPr>
          <w:bCs/>
          <w:b/>
        </w:rPr>
        <w:t xml:space="preserve">D: L’AI inventa ancora sentenze anche con la ricerca preliminare?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Sì, può succedere.</w:t>
      </w:r>
      <w:r>
        <w:t xml:space="preserve"> </w:t>
      </w:r>
      <w:r>
        <w:t xml:space="preserve">Nemotron è un modello generativo: a volte</w:t>
      </w:r>
      <w:r>
        <w:t xml:space="preserve"> </w:t>
      </w:r>
      <w:r>
        <w:t xml:space="preserve">“</w:t>
      </w:r>
      <w:r>
        <w:t xml:space="preserve">allucina</w:t>
      </w:r>
      <w:r>
        <w:t xml:space="preserve">”</w:t>
      </w:r>
      <w:r>
        <w:t xml:space="preserve"> </w:t>
      </w:r>
      <w:r>
        <w:t xml:space="preserve">numeri di sentenze anche quando ha fonti reali nel contesto. La ricerca preliminare non elimina completamente il rischio, ma lo riduce significativamente fornendo all’AI principi e orientamenti verificati. L’avvocato deve sempre:</w:t>
      </w:r>
      <w:r>
        <w:t xml:space="preserve"> </w:t>
      </w:r>
      <w:r>
        <w:t xml:space="preserve">&gt; 1. Verificare ogni citazione specifica su database ufficiali</w:t>
      </w:r>
      <w:r>
        <w:t xml:space="preserve"> </w:t>
      </w:r>
      <w:r>
        <w:t xml:space="preserve">&gt; 2. Sostituire le citazioni inventate con quelle reali trovate nella ricerca</w:t>
      </w:r>
      <w:r>
        <w:t xml:space="preserve"> </w:t>
      </w:r>
      <w:r>
        <w:t xml:space="preserve">&gt; 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</w:p>
    <w:p>
      <w:pPr>
        <w:pStyle w:val="BodyText"/>
      </w:pPr>
      <w:r>
        <w:rPr>
          <w:bCs/>
          <w:b/>
        </w:rPr>
        <w:t xml:space="preserve">D: Posso usare un altro modello AI?</w:t>
      </w:r>
      <w:r>
        <w:t xml:space="preserve"> </w:t>
      </w:r>
      <w:r>
        <w:t xml:space="preserve">&gt; R: Sì, se è compatibile con l’API OpenAI. Modifica l’endpoint in Impostazioni.</w:t>
      </w:r>
    </w:p>
    <w:bookmarkEnd w:id="90"/>
    <w:bookmarkStart w:id="91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 il terminale e 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Configurazione SMTP incompleta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hai salvato l’email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e compila i campi SMTP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Errore invio email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errata o server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Gmail usa App Password; per Aruba verifica la 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EUR-Lex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server SPARQL è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risultato DuckDuckGo che appare sotto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Citazioni non verificate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ha raggiunto il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2–3 minuti e rigenera il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ItalgiureWeb non configurato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Mancano le credenziali Cassa Forense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→ 🇮🇹 Banche Dati Italiane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Connessione ItalgiureWeb fallita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portale ha modificato il login o le credenziali sono errate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link rapido a ItalgiureWeb o SentenzeWeb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preliminare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DuckDuckGo non ha risultati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Riformula l’oggetto con termini più generici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 all’ultima 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non si scarica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bloccati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 i popup per localhost:8506 (o studio-legale.geneforge.eu se online)</w:t>
            </w:r>
          </w:p>
        </w:tc>
      </w:tr>
    </w:tbl>
    <w:bookmarkEnd w:id="91"/>
    <w:bookmarkStart w:id="92" w:name="contatti-e-supporto"/>
    <w:p>
      <w:pPr>
        <w:pStyle w:val="Heading3"/>
      </w:pPr>
      <w:r>
        <w:t xml:space="preserve">Contatti e supporto</w:t>
      </w:r>
    </w:p>
    <w:p>
      <w:pPr>
        <w:pStyle w:val="FirstParagraph"/>
      </w:pPr>
      <w:r>
        <w:t xml:space="preserve">Per segnalazioni, richieste di funzionalità o assistenza: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Repository GitHub:</w:t>
      </w:r>
      <w:r>
        <w:t xml:space="preserve"> </w:t>
      </w:r>
      <w:r>
        <w:t xml:space="preserve">https://github.com/geneforge-ai/studio-legale-ai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Documentazione aggiornata:</w:t>
      </w:r>
      <w:r>
        <w:t xml:space="preserve"> </w:t>
      </w:r>
      <w:r>
        <w:t xml:space="preserve">https://github.com/geneforge-ai/manuals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gli-agenti-ai-di-studio-legale-ai"/>
    <w:p>
      <w:pPr>
        <w:pStyle w:val="Heading2"/>
      </w:pPr>
      <w:r>
        <w:t xml:space="preserve">12. Gli Agenti AI di Studio Legale AI</w:t>
      </w:r>
    </w:p>
    <w:bookmarkStart w:id="94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Studio Legale AI non usa un</w:t>
      </w:r>
      <w:r>
        <w:t xml:space="preserve"> </w:t>
      </w:r>
      <w:r>
        <w:t xml:space="preserve">“</w:t>
      </w:r>
      <w:r>
        <w:t xml:space="preserve">unico chatbot</w:t>
      </w:r>
      <w:r>
        <w:t xml:space="preserve">”</w:t>
      </w:r>
      <w:r>
        <w:t xml:space="preserve"> </w:t>
      </w:r>
      <w:r>
        <w:t xml:space="preserve">per tutto.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94"/>
    <w:bookmarkStart w:id="102" w:name="i-7-agenti"/>
    <w:p>
      <w:pPr>
        <w:pStyle w:val="Heading3"/>
      </w:pPr>
      <w:r>
        <w:t xml:space="preserve">I 7 agenti</w:t>
      </w:r>
    </w:p>
    <w:bookmarkStart w:id="95" w:name="avvocato-generico"/>
    <w:p>
      <w:pPr>
        <w:pStyle w:val="Heading4"/>
      </w:pPr>
      <w:r>
        <w:t xml:space="preserve">⚖️ 1. Avvocato Generico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Primo punto di contatto per domande legali rapide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Auto (router sceglie il più veloce)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0.5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Dashboard, domande di diritto generale, rimandi normativi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1"/>
        </w:numPr>
        <w:pStyle w:val="Compact"/>
      </w:pPr>
      <w:r>
        <w:t xml:space="preserve">Non inventa sentenze</w:t>
      </w:r>
    </w:p>
    <w:p>
      <w:pPr>
        <w:numPr>
          <w:ilvl w:val="1"/>
          <w:numId w:val="1051"/>
        </w:numPr>
        <w:pStyle w:val="Compact"/>
      </w:pPr>
      <w:r>
        <w:t xml:space="preserve">Indica norme abrogate</w:t>
      </w:r>
    </w:p>
    <w:p>
      <w:pPr>
        <w:numPr>
          <w:ilvl w:val="1"/>
          <w:numId w:val="1051"/>
        </w:numPr>
        <w:pStyle w:val="Compact"/>
      </w:pPr>
      <w:r>
        <w:t xml:space="preserve">Sempre disclaimer</w:t>
      </w:r>
      <w:r>
        <w:t xml:space="preserve"> </w:t>
      </w:r>
      <w:r>
        <w:t xml:space="preserve">“</w:t>
      </w:r>
      <w:r>
        <w:t xml:space="preserve">verificare con professionista</w:t>
      </w:r>
      <w:r>
        <w:t xml:space="preserve">”</w:t>
      </w:r>
    </w:p>
    <w:bookmarkEnd w:id="95"/>
    <w:bookmarkStart w:id="96" w:name="analista-contrattuale"/>
    <w:p>
      <w:pPr>
        <w:pStyle w:val="Heading4"/>
      </w:pPr>
      <w:r>
        <w:t xml:space="preserve">📜 2. Analista Contrattuale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Analisi approfondita di contratti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Contratti — verifica di accordi commerciali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Executive Summary → Rischi → Mancanze → Modifiche suggerite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3"/>
        </w:numPr>
        <w:pStyle w:val="Compact"/>
      </w:pPr>
      <w:r>
        <w:t xml:space="preserve">Non inventa clausole</w:t>
      </w:r>
    </w:p>
    <w:p>
      <w:pPr>
        <w:numPr>
          <w:ilvl w:val="1"/>
          <w:numId w:val="1053"/>
        </w:numPr>
        <w:pStyle w:val="Compact"/>
      </w:pPr>
      <w:r>
        <w:t xml:space="preserve">Distingue rischio cliente vs controparte</w:t>
      </w:r>
    </w:p>
    <w:p>
      <w:pPr>
        <w:numPr>
          <w:ilvl w:val="1"/>
          <w:numId w:val="1053"/>
        </w:numPr>
        <w:pStyle w:val="Compact"/>
      </w:pPr>
      <w:r>
        <w:t xml:space="preserve">Indica grado di rischio (alto/medio/basso)</w:t>
      </w:r>
    </w:p>
    <w:bookmarkEnd w:id="96"/>
    <w:bookmarkStart w:id="97" w:name="ricercatore-giuridico"/>
    <w:p>
      <w:pPr>
        <w:pStyle w:val="Heading4"/>
      </w:pPr>
      <w:r>
        <w:t xml:space="preserve">🔍 3. Ricercatore Giuridico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Ricerche multi-motore su normativa e giurisprudenza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Ricerca — tema generico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Normativa vigente + giurisprudenza + dottrina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5"/>
        </w:numPr>
        <w:pStyle w:val="Compact"/>
      </w:pPr>
      <w:r>
        <w:t xml:space="preserve">Cita fonti precise</w:t>
      </w:r>
    </w:p>
    <w:p>
      <w:pPr>
        <w:numPr>
          <w:ilvl w:val="1"/>
          <w:numId w:val="1055"/>
        </w:numPr>
        <w:pStyle w:val="Compact"/>
      </w:pPr>
      <w:r>
        <w:t xml:space="preserve">Distingue vigente / abrogata / in riforma</w:t>
      </w:r>
    </w:p>
    <w:p>
      <w:pPr>
        <w:numPr>
          <w:ilvl w:val="1"/>
          <w:numId w:val="1055"/>
        </w:numPr>
        <w:pStyle w:val="Compact"/>
      </w:pPr>
      <w:r>
        <w:t xml:space="preserve">Indica data di pubblicazione delle fonti</w:t>
      </w:r>
    </w:p>
    <w:bookmarkEnd w:id="97"/>
    <w:bookmarkStart w:id="98" w:name="ricercatore-cassazione"/>
    <w:p>
      <w:pPr>
        <w:pStyle w:val="Heading4"/>
      </w:pPr>
      <w:r>
        <w:t xml:space="preserve">🏛️ 4. Ricercatore Cassazione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Giurisprudenza della Corte di Cassazione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(la più bassa del sistema)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Quando la tesi dipende criticamente dalla Cassazione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Orientamenti maggioritari/minoritari, grado consolidamento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7"/>
        </w:numPr>
        <w:pStyle w:val="Compact"/>
      </w:pPr>
      <w:r>
        <w:t xml:space="preserve">Se non certo → dichiara</w:t>
      </w:r>
      <w:r>
        <w:t xml:space="preserve"> </w:t>
      </w:r>
      <w:r>
        <w:t xml:space="preserve">“</w:t>
      </w:r>
      <w:r>
        <w:t xml:space="preserve">non verificato</w:t>
      </w:r>
      <w:r>
        <w:t xml:space="preserve">”</w:t>
      </w:r>
    </w:p>
    <w:p>
      <w:pPr>
        <w:numPr>
          <w:ilvl w:val="1"/>
          <w:numId w:val="1057"/>
        </w:numPr>
        <w:pStyle w:val="Compact"/>
      </w:pPr>
      <w:r>
        <w:t xml:space="preserve">Distingue Sezioni Unite / Semplici</w:t>
      </w:r>
    </w:p>
    <w:p>
      <w:pPr>
        <w:numPr>
          <w:ilvl w:val="1"/>
          <w:numId w:val="1057"/>
        </w:numPr>
        <w:pStyle w:val="Compact"/>
      </w:pPr>
      <w:r>
        <w:t xml:space="preserve">Indica grado: consolidato / emergente / superato</w:t>
      </w:r>
    </w:p>
    <w:bookmarkEnd w:id="98"/>
    <w:bookmarkStart w:id="99" w:name="documentalista-legale"/>
    <w:p>
      <w:pPr>
        <w:pStyle w:val="Heading4"/>
      </w:pPr>
      <w:r>
        <w:t xml:space="preserve">📄 5. Documentalista Legale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di 11 tipi di atto giuridico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tutti gli atti tranne Nota di trasmissione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del documento (intestazione, procura e firma sono pre-compilate dal codice)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9"/>
        </w:numPr>
        <w:pStyle w:val="Compact"/>
      </w:pPr>
      <w:r>
        <w:t xml:space="preserve">Non inventa dati cliente/protocollo/nomi di giudici</w:t>
      </w:r>
    </w:p>
    <w:p>
      <w:pPr>
        <w:numPr>
          <w:ilvl w:val="1"/>
          <w:numId w:val="1059"/>
        </w:numPr>
        <w:pStyle w:val="Compact"/>
      </w:pPr>
      <w:r>
        <w:t xml:space="preserve">Cita norma specifica per tipo di atto</w:t>
      </w:r>
    </w:p>
    <w:p>
      <w:pPr>
        <w:numPr>
          <w:ilvl w:val="1"/>
          <w:numId w:val="1059"/>
        </w:numPr>
        <w:pStyle w:val="Compact"/>
      </w:pPr>
      <w:r>
        <w:t xml:space="preserve">Usa correttamente il congiuntivo nelle subordinate</w:t>
      </w:r>
    </w:p>
    <w:p>
      <w:pPr>
        <w:numPr>
          <w:ilvl w:val="1"/>
          <w:numId w:val="1059"/>
        </w:numPr>
        <w:pStyle w:val="Compact"/>
      </w:pPr>
      <w:r>
        <w:t xml:space="preserve">Evita ripetizioni lessicali; registro formale e forense costante</w:t>
      </w:r>
    </w:p>
    <w:p>
      <w:pPr>
        <w:numPr>
          <w:ilvl w:val="1"/>
          <w:numId w:val="1059"/>
        </w:numPr>
        <w:pStyle w:val="Compact"/>
      </w:pPr>
      <w:r>
        <w:t xml:space="preserve">Revisione finale obbligatoria prima di consegnare</w:t>
      </w:r>
    </w:p>
    <w:p>
      <w:pPr>
        <w:numPr>
          <w:ilvl w:val="1"/>
          <w:numId w:val="1059"/>
        </w:numPr>
        <w:pStyle w:val="Compact"/>
      </w:pPr>
      <w:r>
        <w:t xml:space="preserve">Per atti processuali (Citazione, Memoria, Ricorso, Appello, Controricorso): include sezione Procura ad litem</w:t>
      </w:r>
    </w:p>
    <w:bookmarkEnd w:id="99"/>
    <w:bookmarkStart w:id="100" w:name="segretaria-legale"/>
    <w:p>
      <w:pPr>
        <w:pStyle w:val="Heading4"/>
      </w:pPr>
      <w:r>
        <w:t xml:space="preserve">📋 6. Segretaria Legale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Documenti amministrativi e promemoria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Note di trasmissione, promemoria scadenze, solleciti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Documento amministrativo professionale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1"/>
        </w:numPr>
        <w:pStyle w:val="Compact"/>
      </w:pPr>
      <w:r>
        <w:t xml:space="preserve">Calcola giorni rimanenti/trascorsi automaticamente</w:t>
      </w:r>
    </w:p>
    <w:p>
      <w:pPr>
        <w:numPr>
          <w:ilvl w:val="1"/>
          <w:numId w:val="1061"/>
        </w:numPr>
        <w:pStyle w:val="Compact"/>
      </w:pPr>
      <w:r>
        <w:t xml:space="preserve">Tono graduato in base all’urgenza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Blacklist:</w:t>
      </w:r>
      <w:r>
        <w:t xml:space="preserve"> </w:t>
      </w:r>
      <w:r>
        <w:t xml:space="preserve">NON fornisce consulenza legale sostanziale</w:t>
      </w:r>
    </w:p>
    <w:bookmarkEnd w:id="100"/>
    <w:bookmarkStart w:id="101" w:name="parerista"/>
    <w:p>
      <w:pPr>
        <w:pStyle w:val="Heading4"/>
      </w:pPr>
      <w:r>
        <w:t xml:space="preserve">📖 7. Parerista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Pareri legali formali strutturati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Pareri — quando serve una risposta motivata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Quesito → Norma → Analisi → Conclusioni → Rischi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3"/>
        </w:numPr>
        <w:pStyle w:val="Compact"/>
      </w:pPr>
      <w:r>
        <w:t xml:space="preserve">Grado di certezza: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probabile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possibile ma rischiosa</w:t>
      </w:r>
      <w:r>
        <w:t xml:space="preserve">”</w:t>
      </w:r>
    </w:p>
    <w:p>
      <w:pPr>
        <w:numPr>
          <w:ilvl w:val="1"/>
          <w:numId w:val="1063"/>
        </w:numPr>
        <w:pStyle w:val="Compact"/>
      </w:pPr>
      <w:r>
        <w:t xml:space="preserve">Indica sempre le fonti; non inventa autori o sentenze</w:t>
      </w:r>
    </w:p>
    <w:p>
      <w:pPr>
        <w:numPr>
          <w:ilvl w:val="1"/>
          <w:numId w:val="1063"/>
        </w:numPr>
        <w:pStyle w:val="Compact"/>
      </w:pPr>
      <w:r>
        <w:t xml:space="preserve">Usa correttamente il congiuntivo nelle subordinate oggettive, finali, condizionali</w:t>
      </w:r>
    </w:p>
    <w:p>
      <w:pPr>
        <w:numPr>
          <w:ilvl w:val="1"/>
          <w:numId w:val="1063"/>
        </w:numPr>
        <w:pStyle w:val="Compact"/>
      </w:pPr>
      <w:r>
        <w:t xml:space="preserve">Revisione finale: verifica congruenza tra quesito, analisi e conclusioni</w:t>
      </w:r>
    </w:p>
    <w:p>
      <w:pPr>
        <w:numPr>
          <w:ilvl w:val="1"/>
          <w:numId w:val="1063"/>
        </w:numPr>
        <w:pStyle w:val="Compact"/>
      </w:pPr>
      <w:r>
        <w:t xml:space="preserve">Non omette rischi connessi alla tesi sostenuta</w:t>
      </w:r>
    </w:p>
    <w:bookmarkEnd w:id="101"/>
    <w:bookmarkEnd w:id="102"/>
    <w:bookmarkStart w:id="103" w:name="fallback-di-sicurezza"/>
    <w:p>
      <w:pPr>
        <w:pStyle w:val="Heading3"/>
      </w:pPr>
      <w:r>
        <w:t xml:space="preserve">Fallback di sicurezza</w:t>
      </w:r>
    </w:p>
    <w:p>
      <w:pPr>
        <w:pStyle w:val="FirstParagraph"/>
      </w:pPr>
      <w:r>
        <w:t xml:space="preserve">Se il sistema di agenti non è disponibile (es. file YAML corrotti), l’applicazione</w:t>
      </w:r>
      <w:r>
        <w:t xml:space="preserve"> </w:t>
      </w:r>
      <w:r>
        <w:rPr>
          <w:bCs/>
          <w:b/>
        </w:rPr>
        <w:t xml:space="preserve">non si blocca</w:t>
      </w:r>
      <w:r>
        <w:t xml:space="preserve">. Usa automaticamente i prompt</w:t>
      </w:r>
      <w:r>
        <w:t xml:space="preserve"> </w:t>
      </w:r>
      <w:r>
        <w:t xml:space="preserve">“</w:t>
      </w:r>
      <w:r>
        <w:t xml:space="preserve">legacy</w:t>
      </w:r>
      <w:r>
        <w:t xml:space="preserve">”</w:t>
      </w:r>
      <w:r>
        <w:t xml:space="preserve"> </w:t>
      </w:r>
      <w:r>
        <w:t xml:space="preserve">originali, salvaguardando la continuità del servizio.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4" w:name="prezzi-e-servizi-commerciali"/>
    <w:p>
      <w:pPr>
        <w:pStyle w:val="Heading2"/>
      </w:pPr>
      <w:r>
        <w:t xml:space="preserve">13. Prezzi e Servizi Commerciali</w:t>
      </w:r>
    </w:p>
    <w:bookmarkStart w:id="105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Studio Legale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105"/>
    <w:bookmarkStart w:id="106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avvocati / Network</w:t>
            </w:r>
          </w:p>
        </w:tc>
      </w:tr>
    </w:tbl>
    <w:bookmarkEnd w:id="106"/>
    <w:bookmarkStart w:id="110" w:name="cosa-include-ogni-pacchetto"/>
    <w:p>
      <w:pPr>
        <w:pStyle w:val="Heading3"/>
      </w:pPr>
      <w:r>
        <w:t xml:space="preserve">Cosa include ogni pacchetto</w:t>
      </w:r>
    </w:p>
    <w:bookmarkStart w:id="107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64"/>
        </w:numPr>
        <w:pStyle w:val="Compact"/>
      </w:pPr>
      <w:r>
        <w:t xml:space="preserve">7 agenti AI standard</w:t>
      </w:r>
    </w:p>
    <w:p>
      <w:pPr>
        <w:numPr>
          <w:ilvl w:val="0"/>
          <w:numId w:val="1064"/>
        </w:numPr>
        <w:pStyle w:val="Compact"/>
      </w:pPr>
      <w:r>
        <w:t xml:space="preserve">50 documenti/mese</w:t>
      </w:r>
    </w:p>
    <w:p>
      <w:pPr>
        <w:numPr>
          <w:ilvl w:val="0"/>
          <w:numId w:val="1064"/>
        </w:numPr>
        <w:pStyle w:val="Compact"/>
      </w:pPr>
      <w:r>
        <w:t xml:space="preserve">20 ricerche avanzate/mese</w:t>
      </w:r>
    </w:p>
    <w:p>
      <w:pPr>
        <w:numPr>
          <w:ilvl w:val="0"/>
          <w:numId w:val="1064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64"/>
        </w:numPr>
        <w:pStyle w:val="Compact"/>
      </w:pPr>
      <w:r>
        <w:t xml:space="preserve">Supporto email (24h SLA)</w:t>
      </w:r>
    </w:p>
    <w:bookmarkEnd w:id="107"/>
    <w:bookmarkStart w:id="108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65"/>
        </w:numPr>
        <w:pStyle w:val="Compact"/>
      </w:pPr>
      <w:r>
        <w:t xml:space="preserve">7 agenti + 1 agente custom</w:t>
      </w:r>
    </w:p>
    <w:p>
      <w:pPr>
        <w:numPr>
          <w:ilvl w:val="0"/>
          <w:numId w:val="1065"/>
        </w:numPr>
        <w:pStyle w:val="Compact"/>
      </w:pPr>
      <w:r>
        <w:t xml:space="preserve">200 documenti/mese</w:t>
      </w:r>
    </w:p>
    <w:p>
      <w:pPr>
        <w:numPr>
          <w:ilvl w:val="0"/>
          <w:numId w:val="1065"/>
        </w:numPr>
        <w:pStyle w:val="Compact"/>
      </w:pPr>
      <w:r>
        <w:t xml:space="preserve">100 ricerche avanzate/mese</w:t>
      </w:r>
    </w:p>
    <w:p>
      <w:pPr>
        <w:numPr>
          <w:ilvl w:val="0"/>
          <w:numId w:val="1065"/>
        </w:numPr>
        <w:pStyle w:val="Compact"/>
      </w:pPr>
      <w:r>
        <w:t xml:space="preserve">Archivio illimitato</w:t>
      </w:r>
    </w:p>
    <w:p>
      <w:pPr>
        <w:numPr>
          <w:ilvl w:val="0"/>
          <w:numId w:val="1065"/>
        </w:numPr>
        <w:pStyle w:val="Compact"/>
      </w:pPr>
      <w:r>
        <w:t xml:space="preserve">Supporto telefonico (8h SLA)</w:t>
      </w:r>
    </w:p>
    <w:p>
      <w:pPr>
        <w:numPr>
          <w:ilvl w:val="0"/>
          <w:numId w:val="1065"/>
        </w:numPr>
        <w:pStyle w:val="Compact"/>
      </w:pPr>
      <w:r>
        <w:t xml:space="preserve">2 sessioni di formazione</w:t>
      </w:r>
    </w:p>
    <w:bookmarkEnd w:id="108"/>
    <w:bookmarkStart w:id="109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66"/>
        </w:numPr>
        <w:pStyle w:val="Compact"/>
      </w:pPr>
      <w:r>
        <w:t xml:space="preserve">7 agenti + 3 agenti custom</w:t>
      </w:r>
    </w:p>
    <w:p>
      <w:pPr>
        <w:numPr>
          <w:ilvl w:val="0"/>
          <w:numId w:val="1066"/>
        </w:numPr>
        <w:pStyle w:val="Compact"/>
      </w:pPr>
      <w:r>
        <w:t xml:space="preserve">Documenti illimitati</w:t>
      </w:r>
    </w:p>
    <w:p>
      <w:pPr>
        <w:numPr>
          <w:ilvl w:val="0"/>
          <w:numId w:val="1066"/>
        </w:numPr>
        <w:pStyle w:val="Compact"/>
      </w:pPr>
      <w:r>
        <w:t xml:space="preserve">Ricerche avanzate illimitate</w:t>
      </w:r>
    </w:p>
    <w:p>
      <w:pPr>
        <w:numPr>
          <w:ilvl w:val="0"/>
          <w:numId w:val="1066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66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66"/>
        </w:numPr>
        <w:pStyle w:val="Compact"/>
      </w:pPr>
      <w:r>
        <w:t xml:space="preserve">Cluster HA (2 DGX SPARK)</w:t>
      </w:r>
    </w:p>
    <w:bookmarkEnd w:id="109"/>
    <w:bookmarkEnd w:id="110"/>
    <w:bookmarkStart w:id="111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111"/>
    <w:bookmarkStart w:id="112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ricerche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3+ avvocati)</w:t>
            </w:r>
          </w:p>
        </w:tc>
      </w:tr>
    </w:tbl>
    <w:bookmarkEnd w:id="112"/>
    <w:bookmarkStart w:id="113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  <w:r>
        <w:t xml:space="preserve"> </w:t>
      </w:r>
      <w:r>
        <w:rPr>
          <w:iCs/>
          <w:i/>
        </w:rPr>
        <w:t xml:space="preserve">Versione 2.1 — 2 Maggio 2026</w:t>
      </w:r>
    </w:p>
    <w:bookmarkEnd w:id="113"/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2026-07-09T09:38:16Z</dcterms:created>
  <dcterms:modified xsi:type="dcterms:W3CDTF">2026-07-09T09:38:16Z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