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“两学一做”心得体会</w:t>
      </w:r>
    </w:p>
    <w:p>
      <w:pPr>
        <w:jc w:val="right"/>
        <w:rPr>
          <w:rFonts w:hint="eastAsia" w:ascii="楷体" w:hAnsi="楷体" w:eastAsia="楷体" w:cs="楷体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44444"/>
          <w:spacing w:val="0"/>
          <w:sz w:val="15"/>
          <w:szCs w:val="15"/>
          <w:lang w:val="en-US" w:eastAsia="zh-CN"/>
        </w:rPr>
        <w:t>2016年12月6日  黄烁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时光如白驹过隙，来到普兰已有半年时光，2017年也将拉开序幕。在此，我作为一名党员，回顾即将退捻到历史舞台的2016年，以下是主要心得感触：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 首先自毕业以来入职普兰半年的时光，让我受益匪浅。数据部是普兰新兴业务部门，从最初的建表完善数据到现在对产品的初期展望，在数据部的进度中也在不断反省中提高自我工作能力。以下是过去这段时间的主要工作内容总结，以及在此基础上对下一工作季度的自我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一 债券发行阶段资料的数据颗粒化规划组基本实现，流通要素公告实现T+1日更新中。流通阶段的利率表在数据整理中，对于难以科利华的数据如特殊条款等还在测试中应用；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二 对导入工具进行完善。对于新数据的导入入库：采用脚本或者office工具进行批量处理，并提出相应的数据入库功能键需求；对于债券相应字段数据的更新：主要的方法有：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1合理的触发机制更新；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2 导入工具尚在探索。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三 学习Mysql数据库相关知识，主要应用于：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1 逻辑语句核查数据错误；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  2 提取到目标数据，并加以思考加如何运用到业务层面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四 债券相关知识的完善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对于债券种类、发行市场、债券结构、债券发行和流通上市流程、债券市场的组成、债券的收益率、市场收益率对债券收益率的影响等等理论层面对债券进行框架了解，从业务层面了解产品的需求；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五 竞品分析思维的培养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1 从各个金融债券产品终端中分析债券数据的展现方式优势，结合数据部CES中已有数据，尝试学习设计产品原型；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2 数据分析工具的掌握，以及相应数学模型的拓展；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3 风格细化，数据源的选择规范和数据处理方式的选择需要斟酌，保持谨慎细心的态度。</w:t>
      </w:r>
    </w:p>
    <w:p>
      <w:pPr>
        <w:ind w:firstLine="480"/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同时，作为一名党员，更要用党的章程和思想激励自我前进，保持高度的先进性。“两学一做”即学党章党规、学系列讲话，做合格党员，其中基础在学，关键在做。当然，党的执意在于保持个人先进性，学党章，就要尊崇党章、遵守党章、维护党章，全面理解党的纲领，牢记入党誓词，牢记党的宗旨，牢记党员义务和权利，坚定理想信念，对党绝对忠诚。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进一步增强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instrText xml:space="preserve"> HYPERLINK "http://baike.baidu.com/view/79328.htm" \t "http://baike.baidu.com/_blank" </w:instrTex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政治意识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end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、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instrText xml:space="preserve"> HYPERLINK "http://baike.baidu.com/view/9742753.htm" \t "http://baike.baidu.com/_blank" </w:instrTex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大局意识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end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、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instrText xml:space="preserve"> HYPERLINK "http://baike.baidu.com/item/%E6%A0%B8%E5%BF%83%E6%84%8F%E8%AF%86" \t "http://baike.baidu.com/_blank" </w:instrTex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核心意识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end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、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instrText xml:space="preserve"> HYPERLINK "http://baike.baidu.com/item/%E7%9C%8B%E9%BD%90%E6%84%8F%E8%AF%86" \t "http://baike.baidu.com/_blank" </w:instrTex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看齐意识</w:t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fldChar w:fldCharType="end"/>
      </w:r>
      <w:r>
        <w:rPr>
          <w:rFonts w:hint="default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增强自我的大局观，</w:t>
      </w:r>
    </w:p>
    <w:p>
      <w:pPr>
        <w:ind w:firstLine="480"/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Google曾闻名全球的口号便是“Don't be evil”，坚持做正确而有价值的事，如同当代将中国产品走向世界的中国企业家，如同李映辉李总最初建立普兰的美好愿景。若是践行到生活中，则也应细化为公民应该恪守的那丝底线和对“专业”的不懈追求。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閼恒儳鐝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27B1A"/>
    <w:rsid w:val="090E09A9"/>
    <w:rsid w:val="22EC015A"/>
    <w:rsid w:val="29F51C52"/>
    <w:rsid w:val="31536827"/>
    <w:rsid w:val="420C212E"/>
    <w:rsid w:val="52A100CD"/>
    <w:rsid w:val="58C631DA"/>
    <w:rsid w:val="602541C0"/>
    <w:rsid w:val="6448418A"/>
    <w:rsid w:val="67297BA1"/>
    <w:rsid w:val="6C133E33"/>
    <w:rsid w:val="6D227B1A"/>
    <w:rsid w:val="72180F81"/>
    <w:rsid w:val="772F49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2016-12-06T06:29:00Z</dcterms:created>
  <dc:creator>huangshuo</dc:creator>
  <cp:lastModifiedBy>huangshuo</cp:lastModifiedBy>
  <dcterms:modified xsi:type="dcterms:W3CDTF">2016-12-09T07:51:19Z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