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4"/>
        <w:tblpPr w:leftFromText="182" w:rightFromText="182" w:vertAnchor="page" w:horzAnchor="page" w:tblpXSpec="center" w:tblpY="11403"/>
        <w:tblOverlap w:val="never"/>
        <w:tblW w:w="907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0" w:hRule="atLeast"/>
          <w:jc w:val="center"/>
        </w:trPr>
        <w:tc>
          <w:tcPr>
            <w:tcW w:w="9077" w:type="dxa"/>
            <w:vAlign w:val="center"/>
          </w:tcPr>
          <w:sdt>
            <w:sdtPr>
              <w:rPr>
                <w:b/>
                <w:bCs/>
                <w:color w:val="44546A" w:themeColor="text2"/>
                <w:sz w:val="72"/>
                <w:szCs w:val="72"/>
                <w14:textFill>
                  <w14:solidFill>
                    <w14:schemeClr w14:val="tx2"/>
                  </w14:solidFill>
                </w14:textFill>
              </w:rPr>
              <w:alias w:val="标题"/>
              <w:id w:val="1867867681"/>
              <w15:dataBinding w:prefixMappings="xmlns:ns0='http://schemas.openxmlformats.org/package/2006/metadata/core-properties' xmlns:ns1='http://purl.org/dc/elements/1.1/'" w:xpath="/ns0:coreProperties[1]/ns1:title[1]" w:storeItemID="{6C3C8BC8-F283-45AE-878A-BAB7291924A1}"/>
              <w:text/>
            </w:sdtPr>
            <w:sdtEndPr>
              <w:rPr>
                <w:b/>
                <w:bCs/>
                <w:color w:val="F2B600"/>
                <w:sz w:val="72"/>
                <w:szCs w:val="72"/>
              </w:rPr>
            </w:sdtEndPr>
            <w:sdtContent>
              <w:p>
                <w:pPr>
                  <w:jc w:val="center"/>
                  <w:rPr>
                    <w:b/>
                    <w:bCs/>
                    <w:color w:val="F2B600"/>
                    <w:sz w:val="72"/>
                    <w:szCs w:val="72"/>
                  </w:rPr>
                </w:pPr>
                <w:r>
                  <w:rPr>
                    <w:rFonts w:hint="eastAsia"/>
                    <w:b/>
                    <w:bCs/>
                    <w:color w:val="F2B600"/>
                    <w:sz w:val="72"/>
                    <w:szCs w:val="72"/>
                  </w:rPr>
                  <w:t>上海</w:t>
                </w:r>
                <w:r>
                  <w:rPr>
                    <w:b/>
                    <w:bCs/>
                    <w:color w:val="F2B600"/>
                    <w:sz w:val="72"/>
                    <w:szCs w:val="72"/>
                  </w:rPr>
                  <w:t>普兰金融</w:t>
                </w:r>
                <w:r>
                  <w:rPr>
                    <w:rFonts w:hint="eastAsia"/>
                    <w:b/>
                    <w:bCs/>
                    <w:color w:val="F2B600"/>
                    <w:sz w:val="72"/>
                    <w:szCs w:val="72"/>
                  </w:rPr>
                  <w:t>服务有限公司</w:t>
                </w:r>
              </w:p>
            </w:sdtContent>
          </w:sdt>
          <w:sdt>
            <w:sdtPr>
              <w:rPr>
                <w:b/>
                <w:bCs/>
                <w:color w:val="F2B600"/>
                <w:sz w:val="40"/>
                <w:szCs w:val="40"/>
              </w:rPr>
              <w:alias w:val="副标题"/>
              <w:id w:val="1360013413"/>
              <w15:dataBinding w:prefixMappings="xmlns:ns0='http://schemas.openxmlformats.org/package/2006/metadata/core-properties' xmlns:ns1='http://purl.org/dc/elements/1.1/'" w:xpath="/ns0:coreProperties[1]/ns1:subject[1]" w:storeItemID="{6C3C8BC8-F283-45AE-878A-BAB7291924A1}"/>
              <w:text/>
            </w:sdtPr>
            <w:sdtEndPr>
              <w:rPr>
                <w:b/>
                <w:bCs/>
                <w:color w:val="F2B600"/>
                <w:sz w:val="40"/>
                <w:szCs w:val="40"/>
              </w:rPr>
            </w:sdtEndPr>
            <w:sdtContent>
              <w:p>
                <w:pPr>
                  <w:jc w:val="left"/>
                  <w:rPr>
                    <w:b/>
                    <w:bCs/>
                    <w:color w:val="F2B600"/>
                    <w:sz w:val="40"/>
                    <w:szCs w:val="40"/>
                  </w:rPr>
                </w:pPr>
                <w:r>
                  <w:rPr>
                    <w:rFonts w:hint="eastAsia"/>
                    <w:b/>
                    <w:bCs/>
                    <w:color w:val="F2B600"/>
                    <w:sz w:val="40"/>
                    <w:szCs w:val="40"/>
                  </w:rPr>
                  <w:t>数据中心</w:t>
                </w:r>
              </w:p>
            </w:sdtContent>
          </w:sdt>
          <w:p>
            <w:pPr>
              <w:jc w:val="left"/>
              <w:rPr>
                <w:rFonts w:hint="eastAsia"/>
                <w:b/>
                <w:bCs/>
                <w:color w:val="5B9BD5" w:themeColor="accent1"/>
                <w:sz w:val="40"/>
                <w:szCs w:val="40"/>
                <w14:textFill>
                  <w14:solidFill>
                    <w14:schemeClr w14:val="accent1"/>
                  </w14:solidFill>
                </w14:textFill>
              </w:rPr>
            </w:pPr>
            <w:r>
              <w:rPr>
                <w:rFonts w:hint="eastAsia"/>
                <w:b/>
                <w:bCs/>
                <w:color w:val="F2B600"/>
                <w:sz w:val="28"/>
                <w:szCs w:val="28"/>
              </w:rPr>
              <w:t>数据业务规划</w:t>
            </w:r>
          </w:p>
        </w:tc>
      </w:tr>
    </w:tbl>
    <w:p>
      <w:pPr>
        <w:rPr>
          <w:rFonts w:hint="eastAsia"/>
        </w:rPr>
      </w:pPr>
      <w:r>
        <w:rPr>
          <w:rFonts w:hint="eastAsia"/>
          <w:lang w:val="zh-CN" w:eastAsia="zh-CN"/>
        </w:rPr>
        <w:pict>
          <v:shape id="_x0000_s1027" o:spid="_x0000_s1027" o:spt="75" type="#_x0000_t75" style="position:absolute;left:0pt;margin-left:-0.75pt;margin-top:-76.5pt;height:633.05pt;width:596.4pt;mso-position-horizontal-relative:page;mso-position-vertical-relative:page;z-index:-251658240;mso-width-relative:page;mso-height-relative:page;" filled="f" o:preferrelative="t" stroked="f" coordsize="21600,21600">
            <v:path/>
            <v:fill on="f" focussize="0,0"/>
            <v:stroke on="f"/>
            <v:imagedata r:id="rId6" o:title="dcd8b760b3af74b7f6365404"/>
            <o:lock v:ext="edit" grouping="f" rotation="f" text="f" aspectratio="t"/>
          </v:shape>
        </w:pict>
      </w:r>
      <w:r>
        <w:rPr>
          <w:rFonts w:hint="eastAsia"/>
          <w:lang w:val="en-US" w:eastAsia="zh-CN"/>
        </w:rPr>
        <w:t xml:space="preserve"> </w:t>
      </w:r>
      <w:r>
        <w:rPr>
          <w:rFonts w:hint="eastAsia"/>
          <w:lang w:val="en-US" w:eastAsia="zh-CN"/>
        </w:rPr>
        <w:tab/>
      </w:r>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8"/>
        <w:tabs>
          <w:tab w:val="right" w:leader="dot" w:pos="8306"/>
        </w:tabs>
        <w:rPr>
          <w:rFonts w:hint="eastAsia"/>
          <w:lang w:eastAsia="zh-CN"/>
        </w:rPr>
      </w:pPr>
      <w:bookmarkStart w:id="0" w:name="_Toc9481"/>
      <w:r>
        <w:rPr>
          <w:rFonts w:hint="eastAsia"/>
          <w:lang w:eastAsia="zh-CN"/>
        </w:rPr>
        <w:t>目录</w:t>
      </w:r>
    </w:p>
    <w:p>
      <w:pPr>
        <w:rPr>
          <w:rFonts w:hint="eastAsia"/>
          <w:lang w:eastAsia="zh-CN"/>
        </w:rPr>
      </w:pPr>
    </w:p>
    <w:p>
      <w:pPr>
        <w:pStyle w:val="18"/>
        <w:tabs>
          <w:tab w:val="right" w:leader="dot" w:pos="8306"/>
        </w:tabs>
        <w:rPr>
          <w:rFonts w:ascii="Times New Roman" w:hAnsi="Times New Roman" w:eastAsia="宋体" w:cs="Times New Roman"/>
          <w:kern w:val="2"/>
          <w:lang w:val="en-US" w:eastAsia="zh-CN" w:bidi="ar-SA"/>
        </w:rPr>
      </w:pPr>
      <w:r>
        <w:fldChar w:fldCharType="begin"/>
      </w:r>
      <w:r>
        <w:instrText xml:space="preserve">TOC \o "1-3" \h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项目总览与实施情况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_Toc27293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概览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_Toc27293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需求/项目执行概况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_Toc23281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业务研究</w:t>
      </w:r>
      <w:r>
        <w:rPr>
          <w:rFonts w:ascii="Times New Roman" w:hAnsi="Times New Roman" w:eastAsia="宋体" w:cs="Times New Roman"/>
          <w:kern w:val="2"/>
          <w:lang w:val="en-US" w:eastAsia="zh-CN" w:bidi="ar-SA"/>
        </w:rPr>
        <w:t>分析（</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规划人员）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_Toc23281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_Toc13369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规划目标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_Toc13369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_Toc30663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业务研究与分析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_Toc30663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_Toc22237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.2.1. </w:t>
      </w:r>
      <w:r>
        <w:rPr>
          <w:rFonts w:hint="eastAsia" w:ascii="Times New Roman" w:hAnsi="Times New Roman" w:eastAsia="宋体" w:cs="Times New Roman"/>
          <w:kern w:val="2"/>
          <w:lang w:val="en-US" w:eastAsia="zh-CN" w:bidi="ar-SA"/>
        </w:rPr>
        <w:t>业务新动态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_Toc22237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_Toc13449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.2.2. </w:t>
      </w:r>
      <w:r>
        <w:rPr>
          <w:rFonts w:hint="eastAsia" w:ascii="Times New Roman" w:hAnsi="Times New Roman" w:eastAsia="宋体" w:cs="Times New Roman"/>
          <w:kern w:val="2"/>
          <w:lang w:val="en-US" w:eastAsia="zh-CN" w:bidi="ar-SA"/>
        </w:rPr>
        <w:t>通现有业务阐述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_Toc13449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.2.3. </w:t>
      </w:r>
      <w:r>
        <w:rPr>
          <w:rFonts w:hint="eastAsia" w:ascii="Times New Roman" w:hAnsi="Times New Roman" w:eastAsia="宋体" w:cs="Times New Roman"/>
          <w:kern w:val="2"/>
          <w:lang w:val="en-US" w:eastAsia="zh-CN" w:bidi="ar-SA"/>
        </w:rPr>
        <w:t>修改的必要性</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_Toc7956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.2.4. </w:t>
      </w:r>
      <w:r>
        <w:rPr>
          <w:rFonts w:hint="eastAsia" w:ascii="Times New Roman" w:hAnsi="Times New Roman" w:eastAsia="宋体" w:cs="Times New Roman"/>
          <w:kern w:val="2"/>
          <w:lang w:val="en-US" w:eastAsia="zh-CN" w:bidi="ar-SA"/>
        </w:rPr>
        <w:t>录入库方案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_Toc7956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_Toc18919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.2.5. </w:t>
      </w:r>
      <w:r>
        <w:rPr>
          <w:rFonts w:hint="eastAsia" w:ascii="Times New Roman" w:hAnsi="Times New Roman" w:eastAsia="宋体" w:cs="Times New Roman"/>
          <w:kern w:val="2"/>
          <w:lang w:val="en-US" w:eastAsia="zh-CN" w:bidi="ar-SA"/>
        </w:rPr>
        <w:t>数据库产品方案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_Toc18919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.2.6. </w:t>
      </w:r>
      <w:r>
        <w:rPr>
          <w:rFonts w:hint="eastAsia" w:ascii="Times New Roman" w:hAnsi="Times New Roman" w:eastAsia="宋体" w:cs="Times New Roman"/>
          <w:kern w:val="2"/>
          <w:lang w:val="en-US" w:eastAsia="zh-CN" w:bidi="ar-SA"/>
        </w:rPr>
        <w:t>终端产品方案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.3. </w:t>
      </w:r>
      <w:r>
        <w:rPr>
          <w:rFonts w:hint="eastAsia" w:ascii="Times New Roman" w:hAnsi="Times New Roman" w:eastAsia="宋体" w:cs="Times New Roman"/>
          <w:kern w:val="2"/>
          <w:lang w:val="en-US" w:eastAsia="zh-CN" w:bidi="ar-SA"/>
        </w:rPr>
        <w:t>方案的审定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_Toc26642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开发</w:t>
      </w:r>
      <w:r>
        <w:rPr>
          <w:rFonts w:ascii="Times New Roman" w:hAnsi="Times New Roman" w:eastAsia="宋体" w:cs="Times New Roman"/>
          <w:kern w:val="2"/>
          <w:lang w:val="en-US" w:eastAsia="zh-CN" w:bidi="ar-SA"/>
        </w:rPr>
        <w:t>与</w:t>
      </w:r>
      <w:r>
        <w:rPr>
          <w:rFonts w:hint="eastAsia" w:ascii="Times New Roman" w:hAnsi="Times New Roman" w:eastAsia="宋体" w:cs="Times New Roman"/>
          <w:kern w:val="2"/>
          <w:lang w:val="en-US" w:eastAsia="zh-CN" w:bidi="ar-SA"/>
        </w:rPr>
        <w:t>实施（针对</w:t>
      </w:r>
      <w:r>
        <w:rPr>
          <w:rFonts w:ascii="Times New Roman" w:hAnsi="Times New Roman" w:eastAsia="宋体" w:cs="Times New Roman"/>
          <w:kern w:val="2"/>
          <w:lang w:val="en-US" w:eastAsia="zh-CN" w:bidi="ar-SA"/>
        </w:rPr>
        <w:t>开发人员）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_Toc26642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_Toc25713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表</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_Toc29200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字段</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_Toc29200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_Toc25742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业务主键</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_Toc25742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_Toc11872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录入工具</w:t>
      </w:r>
      <w:r>
        <w:rPr>
          <w:rFonts w:ascii="Times New Roman" w:hAnsi="Times New Roman" w:eastAsia="宋体" w:cs="Times New Roman"/>
          <w:kern w:val="2"/>
          <w:lang w:val="en-US" w:eastAsia="zh-CN" w:bidi="ar-SA"/>
        </w:rPr>
        <w:t>界面设计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_Toc11872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_Toc8760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索引</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_Toc8760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_Toc29496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.1.6. </w:t>
      </w:r>
      <w:r>
        <w:rPr>
          <w:rFonts w:hint="eastAsia" w:ascii="Times New Roman" w:hAnsi="Times New Roman" w:eastAsia="宋体" w:cs="Times New Roman"/>
          <w:kern w:val="2"/>
          <w:lang w:val="en-US" w:eastAsia="zh-CN" w:bidi="ar-SA"/>
        </w:rPr>
        <w:t>存储过程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_Toc29496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_Toc22863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.1.7. </w:t>
      </w:r>
      <w:r>
        <w:rPr>
          <w:rFonts w:hint="eastAsia" w:ascii="Times New Roman" w:hAnsi="Times New Roman" w:eastAsia="宋体" w:cs="Times New Roman"/>
          <w:kern w:val="2"/>
          <w:lang w:val="en-US" w:eastAsia="zh-CN" w:bidi="ar-SA"/>
        </w:rPr>
        <w:t>触发器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_Toc22863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_Toc16307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处理</w:t>
      </w:r>
      <w:r>
        <w:rPr>
          <w:rFonts w:ascii="Times New Roman" w:hAnsi="Times New Roman" w:eastAsia="宋体" w:cs="Times New Roman"/>
          <w:kern w:val="2"/>
          <w:lang w:val="en-US" w:eastAsia="zh-CN" w:bidi="ar-SA"/>
        </w:rPr>
        <w:t>工具与规则（</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录入人员）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_Toc16307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_Toc5826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_Toc5826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_Toc13910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抓取规则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_Toc13910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_Toc24324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历史</w:t>
      </w:r>
      <w:r>
        <w:rPr>
          <w:rFonts w:ascii="Times New Roman" w:hAnsi="Times New Roman" w:eastAsia="宋体" w:cs="Times New Roman"/>
          <w:kern w:val="2"/>
          <w:lang w:val="en-US" w:eastAsia="zh-CN" w:bidi="ar-SA"/>
        </w:rPr>
        <w:t>数据</w:t>
      </w:r>
      <w:r>
        <w:rPr>
          <w:rFonts w:hint="eastAsia" w:ascii="Times New Roman" w:hAnsi="Times New Roman" w:eastAsia="宋体" w:cs="Times New Roman"/>
          <w:kern w:val="2"/>
          <w:lang w:val="en-US" w:eastAsia="zh-CN" w:bidi="ar-SA"/>
        </w:rPr>
        <w:t>清洗规则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_Toc24324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_Toc11690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处理规则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_Toc11690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核查规则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_Toc28245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数据处理流程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_Toc28245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r>
        <w:rPr>
          <w:rFonts w:ascii="Times New Roman" w:hAnsi="Times New Roman" w:eastAsia="宋体" w:cs="Times New Roman"/>
          <w:kern w:val="2"/>
          <w:lang w:val="en-US" w:eastAsia="zh-CN" w:bidi="ar-SA"/>
        </w:rPr>
        <w:fldChar w:fldCharType="end"/>
      </w:r>
    </w:p>
    <w:p/>
    <w:p/>
    <w:p/>
    <w:p/>
    <w:p/>
    <w:p/>
    <w:p/>
    <w:p/>
    <w:p/>
    <w:p/>
    <w:p/>
    <w:p/>
    <w:p/>
    <w:p/>
    <w:bookmarkEnd w:id="0"/>
    <w:p>
      <w:pPr>
        <w:pStyle w:val="2"/>
        <w:rPr>
          <w:rFonts w:hint="eastAsia"/>
        </w:rPr>
      </w:pPr>
      <w:bookmarkStart w:id="1" w:name="_Toc19739"/>
      <w:r>
        <w:rPr>
          <w:rFonts w:hint="eastAsia"/>
          <w:lang w:eastAsia="zh-CN"/>
        </w:rPr>
        <w:t>项目总览与实施情况</w:t>
      </w:r>
      <w:bookmarkEnd w:id="1"/>
    </w:p>
    <w:p>
      <w:pPr>
        <w:pStyle w:val="3"/>
      </w:pPr>
      <w:bookmarkStart w:id="2" w:name="_Toc22920"/>
      <w:bookmarkStart w:id="3" w:name="_Toc27293"/>
      <w:r>
        <w:rPr>
          <w:rFonts w:hint="eastAsia"/>
        </w:rPr>
        <w:t>概览</w:t>
      </w:r>
      <w:bookmarkEnd w:id="2"/>
      <w:bookmarkEnd w:id="3"/>
    </w:p>
    <w:tbl>
      <w:tblPr>
        <w:tblStyle w:val="3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项目名称</w:t>
            </w:r>
          </w:p>
        </w:tc>
        <w:tc>
          <w:tcPr>
            <w:tcW w:w="6392" w:type="dxa"/>
            <w:gridSpan w:val="3"/>
          </w:tcPr>
          <w:p>
            <w:pPr>
              <w:jc w:val="both"/>
              <w:rPr>
                <w:rFonts w:hint="eastAsia" w:ascii="Times New Roman" w:hAnsi="Times New Roman" w:eastAsia="宋体"/>
                <w:kern w:val="2"/>
                <w:sz w:val="21"/>
                <w:vertAlign w:val="baseline"/>
                <w:lang w:val="en-US" w:eastAsia="zh-CN" w:bidi="ar-SA"/>
              </w:rPr>
            </w:pPr>
            <w:r>
              <w:rPr>
                <w:rFonts w:hint="eastAsia"/>
                <w:kern w:val="2"/>
                <w:sz w:val="21"/>
                <w:vertAlign w:val="baseline"/>
                <w:lang w:val="en-US" w:eastAsia="zh-CN" w:bidi="ar-SA"/>
              </w:rPr>
              <w:t>债券付息兑付表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项目总负责人</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需求优先级</w:t>
            </w:r>
          </w:p>
        </w:tc>
        <w:tc>
          <w:tcPr>
            <w:tcW w:w="2131" w:type="dxa"/>
          </w:tcPr>
          <w:p>
            <w:pPr>
              <w:jc w:val="both"/>
              <w:rPr>
                <w:rFonts w:hint="eastAsia" w:eastAsia="宋体"/>
                <w:vertAlign w:val="baseline"/>
                <w:lang w:eastAsia="zh-CN"/>
              </w:rPr>
            </w:pPr>
            <w:r>
              <w:rPr>
                <w:rFonts w:hint="eastAsia"/>
                <w:vertAlign w:val="baseline"/>
                <w:lang w:eastAsia="zh-CN"/>
              </w:rPr>
              <w:t>五级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需求提出人</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需求提出日期</w:t>
            </w:r>
          </w:p>
        </w:tc>
        <w:tc>
          <w:tcPr>
            <w:tcW w:w="2131" w:type="dxa"/>
          </w:tcPr>
          <w:p>
            <w:pPr>
              <w:rPr>
                <w:rFonts w:hint="eastAsia" w:eastAsia="宋体"/>
                <w:vertAlign w:val="baseline"/>
                <w:lang w:val="en-US" w:eastAsia="zh-CN"/>
              </w:rPr>
            </w:pPr>
            <w:r>
              <w:rPr>
                <w:rFonts w:hint="eastAsia"/>
                <w:vertAlign w:val="baseline"/>
                <w:lang w:val="en-US" w:eastAsia="zh-CN"/>
              </w:rPr>
              <w:t>2016/6/17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需求接收人</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承诺发放日期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需求编号</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业务类型</w:t>
            </w:r>
          </w:p>
        </w:tc>
        <w:tc>
          <w:tcPr>
            <w:tcW w:w="2131" w:type="dxa"/>
          </w:tcPr>
          <w:p>
            <w:pPr>
              <w:rPr>
                <w:rFonts w:hint="eastAsia" w:eastAsia="宋体"/>
                <w:vertAlign w:val="baseline"/>
                <w:lang w:eastAsia="zh-CN"/>
              </w:rPr>
            </w:pPr>
            <w:r>
              <w:rPr>
                <w:rFonts w:hint="eastAsia"/>
                <w:vertAlign w:val="baseline"/>
                <w:lang w:eastAsia="zh-CN"/>
              </w:rPr>
              <w:t>债券类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需求部门</w:t>
            </w:r>
          </w:p>
        </w:tc>
        <w:tc>
          <w:tcPr>
            <w:tcW w:w="2130" w:type="dxa"/>
          </w:tcPr>
          <w:p>
            <w:pPr>
              <w:rPr>
                <w:rFonts w:hint="eastAsia" w:eastAsia="宋体"/>
                <w:vertAlign w:val="baseline"/>
                <w:lang w:eastAsia="zh-CN"/>
              </w:rPr>
            </w:pPr>
            <w:r>
              <w:rPr>
                <w:rFonts w:hint="eastAsia"/>
                <w:vertAlign w:val="baseline"/>
                <w:lang w:eastAsia="zh-CN"/>
              </w:rPr>
              <w:t>数据中心</w:t>
            </w:r>
          </w:p>
        </w:tc>
        <w:tc>
          <w:tcPr>
            <w:tcW w:w="2131" w:type="dxa"/>
          </w:tcPr>
          <w:p>
            <w:pPr>
              <w:rPr>
                <w:vertAlign w:val="baseline"/>
              </w:rPr>
            </w:pPr>
            <w:r>
              <w:rPr>
                <w:rFonts w:hint="eastAsia" w:asciiTheme="minorEastAsia" w:hAnsiTheme="minorEastAsia" w:eastAsiaTheme="minorEastAsia"/>
                <w:b/>
                <w:sz w:val="18"/>
                <w:szCs w:val="18"/>
              </w:rPr>
              <w:t>需求类型</w:t>
            </w:r>
          </w:p>
        </w:tc>
        <w:tc>
          <w:tcPr>
            <w:tcW w:w="2131" w:type="dxa"/>
          </w:tcPr>
          <w:p>
            <w:pPr>
              <w:rPr>
                <w:rFonts w:hint="eastAsia" w:eastAsia="宋体"/>
                <w:vertAlign w:val="baseline"/>
                <w:lang w:eastAsia="zh-CN"/>
              </w:rPr>
            </w:pPr>
            <w:r>
              <w:rPr>
                <w:rFonts w:hint="eastAsia"/>
                <w:vertAlign w:val="baseline"/>
                <w:lang w:eastAsia="zh-CN"/>
              </w:rPr>
              <w:t>内部需求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需求说明</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关联的库表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关联的文档</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关联组/部门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6392" w:type="dxa"/>
            <w:gridSpan w:val="3"/>
          </w:tcPr>
          <w:p>
            <w:pPr>
              <w:rPr>
                <w:vertAlign w:val="baseline"/>
              </w:rPr>
            </w:pPr>
          </w:p>
        </w:tc>
      </w:tr>
    </w:tbl>
    <w:p>
      <w:pPr>
        <w:pStyle w:val="3"/>
      </w:pPr>
      <w:bookmarkStart w:id="4" w:name="_Toc15787"/>
      <w:r>
        <w:rPr>
          <w:rFonts w:hint="eastAsia"/>
        </w:rPr>
        <w:t>需求/项目执行概况</w:t>
      </w:r>
      <w:bookmarkEnd w:id="4"/>
    </w:p>
    <w:tbl>
      <w:tblPr>
        <w:tblStyle w:val="3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业务规划人员</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开始规划日期</w:t>
            </w:r>
          </w:p>
        </w:tc>
        <w:tc>
          <w:tcPr>
            <w:tcW w:w="2131" w:type="dxa"/>
          </w:tcPr>
          <w:p>
            <w:pP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评审/参与人员</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评审/参与结论</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文档审核人员</w:t>
            </w:r>
          </w:p>
        </w:tc>
        <w:tc>
          <w:tcPr>
            <w:tcW w:w="2130" w:type="dxa"/>
          </w:tcPr>
          <w:p>
            <w:pPr>
              <w:rPr>
                <w:rFonts w:hint="eastAsia" w:eastAsia="宋体"/>
                <w:vertAlign w:val="baseline"/>
                <w:lang w:eastAsia="zh-CN"/>
              </w:rPr>
            </w:pPr>
            <w:r>
              <w:rPr>
                <w:rFonts w:hint="eastAsia"/>
                <w:vertAlign w:val="baseline"/>
                <w:lang w:eastAsia="zh-CN"/>
              </w:rPr>
              <w:t>郑钰</w:t>
            </w:r>
          </w:p>
        </w:tc>
        <w:tc>
          <w:tcPr>
            <w:tcW w:w="2131" w:type="dxa"/>
          </w:tcPr>
          <w:p>
            <w:pPr>
              <w:rPr>
                <w:vertAlign w:val="baseline"/>
              </w:rPr>
            </w:pPr>
            <w:r>
              <w:rPr>
                <w:rFonts w:hint="eastAsia" w:asciiTheme="minorEastAsia" w:hAnsiTheme="minorEastAsia" w:eastAsiaTheme="minorEastAsia"/>
                <w:b/>
                <w:sz w:val="18"/>
                <w:szCs w:val="18"/>
              </w:rPr>
              <w:t>审核通过日期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lang w:eastAsia="zh-CN"/>
              </w:rPr>
              <w:t>开发</w:t>
            </w:r>
            <w:r>
              <w:rPr>
                <w:rFonts w:hint="eastAsia" w:asciiTheme="minorEastAsia" w:hAnsiTheme="minorEastAsia" w:eastAsiaTheme="minorEastAsia"/>
                <w:b/>
                <w:sz w:val="18"/>
                <w:szCs w:val="18"/>
              </w:rPr>
              <w:t>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lang w:eastAsia="zh-CN"/>
              </w:rPr>
              <w:t>开发开始</w:t>
            </w:r>
            <w:r>
              <w:rPr>
                <w:rFonts w:hint="eastAsia" w:asciiTheme="minorEastAsia" w:hAnsiTheme="minorEastAsia" w:eastAsiaTheme="minorEastAsia"/>
                <w:b/>
                <w:sz w:val="18"/>
                <w:szCs w:val="18"/>
              </w:rPr>
              <w:t>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开发阶段</w:t>
            </w:r>
          </w:p>
        </w:tc>
        <w:tc>
          <w:tcPr>
            <w:tcW w:w="2130" w:type="dxa"/>
          </w:tcPr>
          <w:p>
            <w:pPr>
              <w:rPr>
                <w:vertAlign w:val="baseline"/>
              </w:rPr>
            </w:pPr>
          </w:p>
        </w:tc>
        <w:tc>
          <w:tcPr>
            <w:tcW w:w="2131"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开发结束日期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各项测试人员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实施评估结果</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2130" w:type="dxa"/>
          </w:tcPr>
          <w:p>
            <w:pPr>
              <w:rPr>
                <w:vertAlign w:val="baseline"/>
              </w:rPr>
            </w:pPr>
          </w:p>
        </w:tc>
        <w:tc>
          <w:tcPr>
            <w:tcW w:w="2131" w:type="dxa"/>
          </w:tcPr>
          <w:p>
            <w:pPr>
              <w:rPr>
                <w:vertAlign w:val="baseline"/>
              </w:rPr>
            </w:pPr>
          </w:p>
        </w:tc>
        <w:tc>
          <w:tcPr>
            <w:tcW w:w="2131" w:type="dxa"/>
          </w:tcPr>
          <w:p>
            <w:pPr>
              <w:rPr>
                <w:vertAlign w:val="baseline"/>
              </w:rPr>
            </w:pPr>
          </w:p>
        </w:tc>
      </w:tr>
    </w:tbl>
    <w:p/>
    <w:p/>
    <w:p/>
    <w:p/>
    <w:p/>
    <w:p/>
    <w:p/>
    <w:p/>
    <w:p/>
    <w:p/>
    <w:p/>
    <w:p/>
    <w:p/>
    <w:p>
      <w:pPr>
        <w:pStyle w:val="2"/>
      </w:pPr>
      <w:bookmarkStart w:id="5" w:name="_Toc23281"/>
      <w:r>
        <w:rPr>
          <w:rFonts w:hint="eastAsia"/>
        </w:rPr>
        <w:t>业务研究</w:t>
      </w:r>
      <w:r>
        <w:t>分析（</w:t>
      </w:r>
      <w:r>
        <w:rPr>
          <w:rFonts w:hint="eastAsia"/>
        </w:rPr>
        <w:t>针对</w:t>
      </w:r>
      <w:r>
        <w:t>规划人员）</w:t>
      </w:r>
      <w:bookmarkEnd w:id="5"/>
    </w:p>
    <w:p>
      <w:pPr>
        <w:pStyle w:val="3"/>
        <w:rPr>
          <w:rFonts w:hint="eastAsia" w:eastAsia="宋体"/>
          <w:sz w:val="24"/>
          <w:szCs w:val="24"/>
          <w:lang w:val="en-US" w:eastAsia="zh-CN"/>
        </w:rPr>
      </w:pPr>
      <w:bookmarkStart w:id="6" w:name="_Toc13369"/>
      <w:r>
        <w:rPr>
          <w:rFonts w:hint="eastAsia"/>
          <w:lang w:eastAsia="zh-CN"/>
        </w:rPr>
        <w:t>规划目标</w:t>
      </w:r>
      <w:bookmarkEnd w:id="6"/>
    </w:p>
    <w:p>
      <w:pPr>
        <w:pStyle w:val="4"/>
        <w:rPr>
          <w:rFonts w:hint="eastAsia"/>
          <w:lang w:val="en-US" w:eastAsia="zh-CN"/>
        </w:rPr>
      </w:pPr>
      <w:r>
        <w:rPr>
          <w:rFonts w:hint="eastAsia"/>
          <w:lang w:eastAsia="zh-CN"/>
        </w:rPr>
        <w:t>新增债券付息兑付表</w:t>
      </w:r>
      <w:r>
        <w:rPr>
          <w:rFonts w:hint="eastAsia"/>
          <w:lang w:val="en-US" w:eastAsia="zh-CN"/>
        </w:rPr>
        <w:t>CES编辑查询界面，建立债券的付息兑付表数据库。</w:t>
      </w:r>
    </w:p>
    <w:p>
      <w:pPr>
        <w:pStyle w:val="3"/>
        <w:rPr>
          <w:rFonts w:hint="eastAsia"/>
        </w:rPr>
      </w:pPr>
      <w:bookmarkStart w:id="7" w:name="_Toc30663"/>
      <w:bookmarkStart w:id="8" w:name="_Toc6104"/>
      <w:r>
        <w:rPr>
          <w:rFonts w:hint="eastAsia"/>
        </w:rPr>
        <w:t>业务研究与分析</w:t>
      </w:r>
      <w:bookmarkEnd w:id="7"/>
      <w:bookmarkEnd w:id="8"/>
    </w:p>
    <w:p>
      <w:pPr>
        <w:pStyle w:val="4"/>
        <w:rPr>
          <w:rFonts w:hint="eastAsia"/>
        </w:rPr>
      </w:pPr>
      <w:r>
        <w:rPr>
          <w:rFonts w:hint="eastAsia"/>
          <w:lang w:eastAsia="zh-CN"/>
        </w:rPr>
        <w:t>付息兑付表主要是为了了解债券付息兑付的一些情况，用于记录债券从发行到摘牌这个过程中付息和兑付的次数，以及每一次付息兑付的情况，与其在发行阶段中预先披露的付息兑付情况进行对比，了解债券实际披露和预先披露之间的区别。</w:t>
      </w:r>
    </w:p>
    <w:p>
      <w:pPr>
        <w:pStyle w:val="5"/>
        <w:rPr>
          <w:rFonts w:hint="eastAsia"/>
        </w:rPr>
      </w:pPr>
      <w:bookmarkStart w:id="9" w:name="_Toc22237"/>
      <w:r>
        <w:rPr>
          <w:rFonts w:hint="eastAsia"/>
          <w:lang w:eastAsia="zh-CN"/>
        </w:rPr>
        <w:t>业务新动态</w:t>
      </w:r>
      <w:bookmarkEnd w:id="9"/>
    </w:p>
    <w:p>
      <w:pPr>
        <w:pStyle w:val="4"/>
        <w:ind w:left="0" w:leftChars="0" w:firstLine="420" w:firstLineChars="0"/>
        <w:rPr>
          <w:rFonts w:hint="eastAsia"/>
          <w:lang w:eastAsia="zh-CN"/>
        </w:rPr>
      </w:pPr>
      <w:r>
        <w:rPr>
          <w:rFonts w:hint="eastAsia"/>
          <w:lang w:eastAsia="zh-CN"/>
        </w:rPr>
        <w:t>鉴于目前债券的种类较多，不同的券种付息兑付情况也会有所不同，我们需要建立一张付息兑付表能够把所有劵种的付息兑付情况考虑进去。</w:t>
      </w:r>
    </w:p>
    <w:p>
      <w:pPr>
        <w:pStyle w:val="4"/>
        <w:ind w:left="0" w:leftChars="0" w:firstLine="420" w:firstLineChars="0"/>
        <w:rPr>
          <w:rFonts w:hint="eastAsia"/>
          <w:lang w:eastAsia="zh-CN"/>
        </w:rPr>
      </w:pPr>
      <w:r>
        <w:rPr>
          <w:rFonts w:hint="eastAsia"/>
          <w:lang w:eastAsia="zh-CN"/>
        </w:rPr>
        <w:t>数据的主要来源主要从以下两个方面来获取，</w:t>
      </w:r>
    </w:p>
    <w:p>
      <w:pPr>
        <w:pStyle w:val="4"/>
        <w:rPr>
          <w:rFonts w:hint="eastAsia"/>
          <w:lang w:eastAsia="zh-CN"/>
        </w:rPr>
      </w:pPr>
      <w:r>
        <w:rPr>
          <w:rFonts w:hint="eastAsia"/>
          <w:lang w:eastAsia="zh-CN"/>
        </w:rPr>
        <w:t>在银行间市场上市流通的债券数据来源：</w:t>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中国债劵信息网：</w:t>
      </w:r>
      <w:r>
        <w:rPr>
          <w:rFonts w:hint="eastAsia"/>
          <w:color w:val="5B9BD5" w:themeColor="accent1"/>
          <w:kern w:val="2"/>
          <w:sz w:val="21"/>
          <w:vertAlign w:val="baseline"/>
          <w:lang w:val="en-US" w:eastAsia="zh-CN" w:bidi="ar-SA"/>
          <w14:textFill>
            <w14:solidFill>
              <w14:schemeClr w14:val="accent1"/>
            </w14:solidFill>
          </w14:textFill>
        </w:rPr>
        <w:t>http://www.chinabond.com.cn/Channel/21000</w:t>
      </w:r>
    </w:p>
    <w:p>
      <w:pPr>
        <w:pStyle w:val="4"/>
        <w:rPr>
          <w:rFonts w:hint="eastAsia"/>
          <w:kern w:val="2"/>
          <w:sz w:val="21"/>
          <w:vertAlign w:val="baseline"/>
          <w:lang w:val="en-US" w:eastAsia="zh-CN" w:bidi="ar-SA"/>
        </w:rPr>
      </w:pPr>
      <w:r>
        <w:rPr>
          <w:rFonts w:hint="eastAsia"/>
          <w:kern w:val="2"/>
          <w:sz w:val="21"/>
          <w:vertAlign w:val="baseline"/>
          <w:lang w:val="en-US" w:eastAsia="zh-CN" w:bidi="ar-SA"/>
        </w:rPr>
        <w:t>上海清算所：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"http://www.shclearing.com/xxpl/dfzx/smecnii_579/"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http://www.shclearing.com/xxpl/dfzx/smecnii_579/</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中国货币网：</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"http://www.chinamoney.com.cn/fe/Channel/8651"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http://www.chinamoney.com.cn/fe/Channel/8651</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color w:val="000000" w:themeColor="text1"/>
          <w:kern w:val="2"/>
          <w:sz w:val="21"/>
          <w:vertAlign w:val="baseline"/>
          <w:lang w:val="en-US" w:eastAsia="zh-CN" w:bidi="ar-SA"/>
          <w14:textFill>
            <w14:solidFill>
              <w14:schemeClr w14:val="tx1"/>
            </w14:solidFill>
          </w14:textFill>
        </w:rPr>
        <w:t>中国人民共和国财政部</w:t>
      </w:r>
      <w:r>
        <w:rPr>
          <w:rFonts w:hint="eastAsia"/>
          <w:color w:val="5B9BD5" w:themeColor="accent1"/>
          <w:kern w:val="2"/>
          <w:sz w:val="21"/>
          <w:vertAlign w:val="baseline"/>
          <w:lang w:val="en-US" w:eastAsia="zh-CN" w:bidi="ar-SA"/>
          <w14:textFill>
            <w14:solidFill>
              <w14:schemeClr w14:val="accent1"/>
            </w14:solidFill>
          </w14:textFill>
        </w:rPr>
        <w:t>：http://gks.mof.gov.cn/redianzhuanti/guozaiguanli/</w:t>
      </w:r>
    </w:p>
    <w:p>
      <w:pPr>
        <w:pStyle w:val="4"/>
        <w:rPr>
          <w:rFonts w:hint="eastAsia"/>
          <w:color w:val="000000" w:themeColor="text1"/>
          <w:kern w:val="2"/>
          <w:sz w:val="21"/>
          <w:vertAlign w:val="baseline"/>
          <w:lang w:val="en-US" w:eastAsia="zh-CN" w:bidi="ar-SA"/>
          <w14:textFill>
            <w14:solidFill>
              <w14:schemeClr w14:val="tx1"/>
            </w14:solidFill>
          </w14:textFill>
        </w:rPr>
      </w:pPr>
      <w:r>
        <w:rPr>
          <w:rFonts w:hint="eastAsia"/>
          <w:color w:val="000000" w:themeColor="text1"/>
          <w:kern w:val="2"/>
          <w:sz w:val="21"/>
          <w:vertAlign w:val="baseline"/>
          <w:lang w:val="en-US" w:eastAsia="zh-CN" w:bidi="ar-SA"/>
          <w14:textFill>
            <w14:solidFill>
              <w14:schemeClr w14:val="tx1"/>
            </w14:solidFill>
          </w14:textFill>
        </w:rPr>
        <w:t>在交易所流通上市的债券数据来源：</w:t>
      </w:r>
    </w:p>
    <w:p>
      <w:pPr>
        <w:pStyle w:val="4"/>
        <w:rPr>
          <w:rFonts w:hint="eastAsia"/>
          <w:kern w:val="2"/>
          <w:sz w:val="21"/>
          <w:vertAlign w:val="baseline"/>
          <w:lang w:val="en-US" w:eastAsia="zh-CN" w:bidi="ar-SA"/>
        </w:rPr>
      </w:pPr>
      <w:r>
        <w:rPr>
          <w:rFonts w:hint="eastAsia"/>
          <w:kern w:val="2"/>
          <w:sz w:val="21"/>
          <w:vertAlign w:val="baseline"/>
          <w:lang w:val="en-US" w:eastAsia="zh-CN" w:bidi="ar-SA"/>
        </w:rPr>
        <w:t>上海证劵交易所：</w:t>
      </w:r>
      <w:r>
        <w:rPr>
          <w:rFonts w:hint="eastAsia"/>
          <w:color w:val="5B9BD5" w:themeColor="accent1"/>
          <w:kern w:val="2"/>
          <w:sz w:val="21"/>
          <w:vertAlign w:val="baseline"/>
          <w:lang w:val="en-US" w:eastAsia="zh-CN" w:bidi="ar-SA"/>
          <w14:textFill>
            <w14:solidFill>
              <w14:schemeClr w14:val="accent1"/>
            </w14:solidFill>
          </w14:textFill>
        </w:rPr>
        <w:t>http://www.sse.com.cn/disclosure/overview/</w:t>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深圳证劵交易所：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"http://www.szse.cn/main/"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http://www.szse.cn/main/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ind w:left="0" w:leftChars="0" w:firstLine="420" w:firstLineChars="0"/>
        <w:rPr>
          <w:rFonts w:hint="eastAsia"/>
          <w:lang w:eastAsia="zh-CN"/>
        </w:rPr>
      </w:pPr>
      <w:r>
        <w:rPr>
          <w:rFonts w:hint="eastAsia"/>
          <w:lang w:eastAsia="zh-CN"/>
        </w:rPr>
        <w:t>目前对债券的付息兑付表主要的依据是债券的付息兑付公告，付息兑付表主要是从公告类型、付息兑付日期、兑付方式等方面来考虑。从公告标题可以判断其公告类型是兑付公告还是付息公告、付息兑付公告、回售、赎回等。例如贴现式国债，它只有兑付公告。而不同券种的付息兑付公告会有不同的要素，我们需要综合来考考虑。我们先从公告里披露的要素来考虑：</w:t>
      </w:r>
    </w:p>
    <w:p>
      <w:pPr>
        <w:pStyle w:val="4"/>
        <w:ind w:left="0" w:leftChars="0" w:firstLine="420" w:firstLineChars="0"/>
        <w:rPr>
          <w:rFonts w:hint="eastAsia"/>
          <w:lang w:eastAsia="zh-CN"/>
        </w:rPr>
      </w:pPr>
      <w:r>
        <w:rPr>
          <w:rFonts w:hint="eastAsia"/>
          <w:lang w:eastAsia="zh-CN"/>
        </w:rPr>
        <w:t>付息公告的样例数据如下：2011年富阳市城市建设投资集团有限公司公司债券</w:t>
      </w:r>
    </w:p>
    <w:p>
      <w:pPr>
        <w:pStyle w:val="4"/>
        <w:ind w:left="0" w:leftChars="0" w:firstLine="420" w:firstLineChars="0"/>
        <w:rPr>
          <w:rFonts w:hint="eastAsia"/>
          <w:lang w:eastAsia="zh-CN"/>
        </w:rPr>
      </w:pPr>
      <w:r>
        <w:rPr>
          <w:rFonts w:hint="eastAsia"/>
          <w:lang w:eastAsia="zh-CN"/>
        </w:rPr>
        <w:t>数据来源：</w:t>
      </w:r>
      <w:r>
        <w:rPr>
          <w:rFonts w:hint="eastAsia"/>
          <w:lang w:eastAsia="zh-CN"/>
        </w:rPr>
        <w:fldChar w:fldCharType="begin"/>
      </w:r>
      <w:r>
        <w:rPr>
          <w:rFonts w:hint="eastAsia"/>
          <w:lang w:eastAsia="zh-CN"/>
        </w:rPr>
        <w:instrText xml:space="preserve"> HYPERLINK "http://disclosure.szse.cn/finalpage/2016-02-29/1202006890.PDF" </w:instrText>
      </w:r>
      <w:r>
        <w:rPr>
          <w:rFonts w:hint="eastAsia"/>
          <w:lang w:eastAsia="zh-CN"/>
        </w:rPr>
        <w:fldChar w:fldCharType="separate"/>
      </w:r>
      <w:r>
        <w:rPr>
          <w:rStyle w:val="29"/>
          <w:rFonts w:hint="eastAsia"/>
          <w:lang w:eastAsia="zh-CN"/>
        </w:rPr>
        <w:t>http://disclosure.szse.cn/finalpage/2016-02-29/1202006890.PDF</w:t>
      </w:r>
      <w:r>
        <w:rPr>
          <w:rFonts w:hint="eastAsia"/>
          <w:lang w:eastAsia="zh-CN"/>
        </w:rPr>
        <w:fldChar w:fldCharType="end"/>
      </w:r>
    </w:p>
    <w:p>
      <w:pPr>
        <w:spacing w:beforeLines="0" w:afterLines="0"/>
        <w:jc w:val="left"/>
        <w:rPr>
          <w:rFonts w:hint="eastAsia" w:eastAsia="宋体"/>
          <w:bdr w:val="single" w:sz="4" w:space="0"/>
          <w:shd w:val="clear" w:color="auto" w:fill="auto"/>
          <w:lang w:eastAsia="zh-CN"/>
        </w:rPr>
      </w:pPr>
      <w:r>
        <w:rPr>
          <w:rFonts w:hint="eastAsia"/>
          <w:lang w:eastAsia="zh-CN"/>
        </w:rPr>
        <w:t>从</w:t>
      </w:r>
      <w:r>
        <w:rPr>
          <w:rFonts w:hint="eastAsia" w:ascii="Times New Roman" w:hAnsi="Times New Roman" w:eastAsia="宋体" w:cs="Times New Roman"/>
          <w:kern w:val="2"/>
          <w:sz w:val="21"/>
          <w:lang w:val="en-US" w:eastAsia="zh-CN" w:bidi="ar-SA"/>
        </w:rPr>
        <w:t>杭州富阳城市建设投资集团有限公司关于“</w:t>
      </w:r>
      <w:r>
        <w:rPr>
          <w:rFonts w:hint="default" w:ascii="Times New Roman" w:hAnsi="Times New Roman" w:eastAsia="宋体" w:cs="Times New Roman"/>
          <w:kern w:val="2"/>
          <w:sz w:val="21"/>
          <w:lang w:val="en-US" w:eastAsia="zh-CN" w:bidi="ar-SA"/>
        </w:rPr>
        <w:t>11</w:t>
      </w:r>
      <w:r>
        <w:rPr>
          <w:rFonts w:hint="eastAsia" w:ascii="Times New Roman" w:hAnsi="Times New Roman" w:eastAsia="宋体" w:cs="Times New Roman"/>
          <w:kern w:val="2"/>
          <w:sz w:val="21"/>
          <w:lang w:val="en-US" w:eastAsia="zh-CN" w:bidi="ar-SA"/>
        </w:rPr>
        <w:t>富阳债”</w:t>
      </w:r>
      <w:r>
        <w:rPr>
          <w:rFonts w:hint="default" w:ascii="Times New Roman" w:hAnsi="Times New Roman" w:eastAsia="宋体" w:cs="Times New Roman"/>
          <w:kern w:val="2"/>
          <w:sz w:val="21"/>
          <w:lang w:val="en-US" w:eastAsia="zh-CN" w:bidi="ar-SA"/>
        </w:rPr>
        <w:t>2016</w:t>
      </w:r>
      <w:r>
        <w:rPr>
          <w:rFonts w:hint="eastAsia" w:ascii="Times New Roman" w:hAnsi="Times New Roman" w:eastAsia="宋体" w:cs="Times New Roman"/>
          <w:kern w:val="2"/>
          <w:sz w:val="21"/>
          <w:lang w:val="en-US" w:eastAsia="zh-CN" w:bidi="ar-SA"/>
        </w:rPr>
        <w:t>年付息公告</w:t>
      </w:r>
      <w:r>
        <w:rPr>
          <w:rFonts w:hint="eastAsia" w:cs="Times New Roman"/>
          <w:kern w:val="2"/>
          <w:sz w:val="21"/>
          <w:lang w:val="en-US" w:eastAsia="zh-CN" w:bidi="ar-SA"/>
        </w:rPr>
        <w:t>中我们可以看出债权登记日、除息日、付息日、利率、税率等要素。对于税率这一块我们只考虑个人投资者和基金的税率，其他税率在付息兑付表中不去考虑。</w:t>
      </w:r>
      <w:r>
        <w:rPr>
          <w:bdr w:val="single" w:sz="4" w:space="0"/>
        </w:rPr>
        <w:drawing>
          <wp:inline distT="0" distB="0" distL="114300" distR="114300">
            <wp:extent cx="5268595" cy="144018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1440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付息兑付公告的样例数据如下所示：2011年宜宾市国有资产经营有限公司公司债券2016年付息兑付公告</w:t>
      </w:r>
    </w:p>
    <w:p>
      <w:pPr>
        <w:pStyle w:val="4"/>
        <w:rPr>
          <w:rFonts w:hint="eastAsia"/>
          <w:lang w:val="en-US" w:eastAsia="zh-CN"/>
        </w:rPr>
      </w:pPr>
      <w:r>
        <w:rPr>
          <w:rFonts w:hint="eastAsia"/>
          <w:lang w:val="en-US" w:eastAsia="zh-CN"/>
        </w:rPr>
        <w:t>数据来源：</w:t>
      </w:r>
      <w:r>
        <w:rPr>
          <w:rFonts w:hint="eastAsia"/>
          <w:lang w:val="en-US" w:eastAsia="zh-CN"/>
        </w:rPr>
        <w:fldChar w:fldCharType="begin"/>
      </w:r>
      <w:r>
        <w:rPr>
          <w:rFonts w:hint="eastAsia"/>
          <w:lang w:val="en-US" w:eastAsia="zh-CN"/>
        </w:rPr>
        <w:instrText xml:space="preserve"> HYPERLINK "http://www.chinamoney.com.cn/fe/Info/25620993" </w:instrText>
      </w:r>
      <w:r>
        <w:rPr>
          <w:rFonts w:hint="eastAsia"/>
          <w:lang w:val="en-US" w:eastAsia="zh-CN"/>
        </w:rPr>
        <w:fldChar w:fldCharType="separate"/>
      </w:r>
      <w:r>
        <w:rPr>
          <w:rStyle w:val="29"/>
          <w:rFonts w:hint="eastAsia"/>
          <w:lang w:val="en-US" w:eastAsia="zh-CN"/>
        </w:rPr>
        <w:t>http://www.chinamoney.com.cn/fe/Info/25620993</w:t>
      </w:r>
      <w:r>
        <w:rPr>
          <w:rFonts w:hint="eastAsia"/>
          <w:lang w:val="en-US" w:eastAsia="zh-CN"/>
        </w:rPr>
        <w:fldChar w:fldCharType="end"/>
      </w:r>
    </w:p>
    <w:p>
      <w:pPr>
        <w:pStyle w:val="4"/>
        <w:rPr>
          <w:rFonts w:hint="eastAsia"/>
          <w:lang w:val="en-US" w:eastAsia="zh-CN"/>
        </w:rPr>
      </w:pPr>
      <w:r>
        <w:rPr>
          <w:rFonts w:hint="eastAsia"/>
          <w:lang w:val="en-US" w:eastAsia="zh-CN"/>
        </w:rPr>
        <w:t>从2011年宜宾市国有资产经营有限公司公司债券2016年付息兑付公告中，我们可以看</w:t>
      </w:r>
    </w:p>
    <w:p>
      <w:pPr>
        <w:pStyle w:val="4"/>
        <w:ind w:left="0" w:leftChars="0" w:firstLine="0" w:firstLineChars="0"/>
        <w:rPr>
          <w:rFonts w:hint="eastAsia"/>
          <w:lang w:val="en-US" w:eastAsia="zh-CN"/>
        </w:rPr>
      </w:pPr>
      <w:r>
        <w:rPr>
          <w:rFonts w:hint="eastAsia"/>
          <w:lang w:val="en-US" w:eastAsia="zh-CN"/>
        </w:rPr>
        <w:t>出票面利率、付息兑付日、本金兑付的比例等要素，具体详情如下图所示：</w:t>
      </w:r>
    </w:p>
    <w:p>
      <w:pPr>
        <w:pStyle w:val="4"/>
        <w:ind w:left="0" w:leftChars="0" w:firstLine="0" w:firstLineChars="0"/>
        <w:rPr>
          <w:rFonts w:hint="eastAsia"/>
          <w:lang w:val="en-US" w:eastAsia="zh-CN"/>
        </w:rPr>
      </w:pPr>
      <w:r>
        <w:rPr>
          <w:bdr w:val="single" w:sz="4" w:space="0"/>
        </w:rPr>
        <w:drawing>
          <wp:inline distT="0" distB="0" distL="114300" distR="114300">
            <wp:extent cx="5142865" cy="9525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142865" cy="952500"/>
                    </a:xfrm>
                    <a:prstGeom prst="rect">
                      <a:avLst/>
                    </a:prstGeom>
                    <a:noFill/>
                    <a:ln w="9525">
                      <a:noFill/>
                    </a:ln>
                  </pic:spPr>
                </pic:pic>
              </a:graphicData>
            </a:graphic>
          </wp:inline>
        </w:drawing>
      </w:r>
    </w:p>
    <w:p>
      <w:pPr>
        <w:pStyle w:val="4"/>
        <w:ind w:left="0" w:leftChars="0" w:firstLine="0" w:firstLineChars="0"/>
        <w:rPr>
          <w:rFonts w:hint="eastAsia"/>
          <w:lang w:val="en-US" w:eastAsia="zh-CN"/>
        </w:rPr>
      </w:pPr>
      <w:r>
        <w:rPr>
          <w:rFonts w:hint="eastAsia"/>
          <w:lang w:val="en-US" w:eastAsia="zh-CN"/>
        </w:rPr>
        <w:t xml:space="preserve">    对于票面利率的考虑，票面利率的类型主要包括固定利率、浮动利率、累计利率。针对浮动利率的考虑，浮动利率是指债券在流通上市期间，债券的利率会发生变动，会存在债券在每个付息兑付期间债券利率会有有所不同。</w:t>
      </w:r>
    </w:p>
    <w:p>
      <w:pPr>
        <w:pStyle w:val="4"/>
        <w:ind w:left="0" w:leftChars="0" w:firstLine="0" w:firstLineChars="0"/>
        <w:rPr>
          <w:rFonts w:hint="eastAsia"/>
          <w:lang w:val="en-US" w:eastAsia="zh-CN"/>
        </w:rPr>
      </w:pPr>
      <w:r>
        <w:rPr>
          <w:rFonts w:hint="eastAsia"/>
          <w:lang w:val="en-US" w:eastAsia="zh-CN"/>
        </w:rPr>
        <w:t xml:space="preserve">    从分期兑付的角度来考虑付息兑付表，会存在本金兑付方式的不同，主要包括两种：按面值兑付，按份额兑付。按面值兑付主要是指债券在兑付后面值会发生变化，按份额兑付主要是指债券在兑付后面值不会发生变化，份额会发生减少。</w:t>
      </w:r>
    </w:p>
    <w:p>
      <w:pPr>
        <w:pStyle w:val="4"/>
        <w:ind w:left="0" w:leftChars="0" w:firstLine="0" w:firstLineChars="0"/>
        <w:rPr>
          <w:rFonts w:hint="eastAsia"/>
          <w:lang w:val="en-US" w:eastAsia="zh-CN"/>
        </w:rPr>
      </w:pPr>
      <w:r>
        <w:rPr>
          <w:rFonts w:hint="eastAsia"/>
          <w:lang w:val="en-US" w:eastAsia="zh-CN"/>
        </w:rPr>
        <w:t>面值发生变动的样例数据如下：2012年仪征市城市建设发展有限公司债券2016年分期偿还本金报告</w:t>
      </w:r>
    </w:p>
    <w:p>
      <w:pPr>
        <w:pStyle w:val="4"/>
        <w:ind w:left="0" w:leftChars="0" w:firstLine="0" w:firstLineChars="0"/>
        <w:rPr>
          <w:rFonts w:hint="eastAsia"/>
          <w:lang w:val="en-US" w:eastAsia="zh-CN"/>
        </w:rPr>
      </w:pPr>
      <w:r>
        <w:rPr>
          <w:rFonts w:hint="eastAsia"/>
          <w:lang w:val="en-US" w:eastAsia="zh-CN"/>
        </w:rPr>
        <w:t>数据来源：</w:t>
      </w:r>
    </w:p>
    <w:p>
      <w:pPr>
        <w:pStyle w:val="4"/>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"http://www.sse.com.cn/disclosure/bond/announcement/corporate/c/2621930495818133.pdf" </w:instrText>
      </w:r>
      <w:r>
        <w:rPr>
          <w:rFonts w:hint="eastAsia"/>
          <w:lang w:val="en-US" w:eastAsia="zh-CN"/>
        </w:rPr>
        <w:fldChar w:fldCharType="separate"/>
      </w:r>
      <w:r>
        <w:rPr>
          <w:rStyle w:val="29"/>
          <w:rFonts w:hint="eastAsia"/>
          <w:lang w:val="en-US" w:eastAsia="zh-CN"/>
        </w:rPr>
        <w:t>http://www.sse.com.cn/disclosure/bond/announcement/corporate/c/2621930495818133.pdf</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从公告中我们可以看到面值发生了变动：</w:t>
      </w:r>
    </w:p>
    <w:p>
      <w:pPr>
        <w:pStyle w:val="4"/>
        <w:ind w:left="0" w:leftChars="0" w:firstLine="0" w:firstLineChars="0"/>
        <w:jc w:val="left"/>
        <w:rPr>
          <w:rFonts w:hint="eastAsia"/>
          <w:lang w:val="en-US" w:eastAsia="zh-CN"/>
        </w:rPr>
      </w:pPr>
      <w:r>
        <w:rPr>
          <w:bdr w:val="single" w:sz="4" w:space="0"/>
        </w:rPr>
        <w:drawing>
          <wp:inline distT="0" distB="0" distL="114300" distR="114300">
            <wp:extent cx="5270500" cy="1414780"/>
            <wp:effectExtent l="0" t="0" r="635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0500" cy="1414780"/>
                    </a:xfrm>
                    <a:prstGeom prst="rect">
                      <a:avLst/>
                    </a:prstGeom>
                    <a:noFill/>
                    <a:ln w="9525">
                      <a:noFill/>
                    </a:ln>
                  </pic:spPr>
                </pic:pic>
              </a:graphicData>
            </a:graphic>
          </wp:inline>
        </w:drawing>
      </w:r>
    </w:p>
    <w:p>
      <w:pPr>
        <w:pStyle w:val="4"/>
        <w:ind w:left="0" w:leftChars="0" w:firstLine="0" w:firstLineChars="0"/>
        <w:jc w:val="left"/>
        <w:rPr>
          <w:rFonts w:hint="eastAsia"/>
          <w:lang w:val="en-US" w:eastAsia="zh-CN"/>
        </w:rPr>
      </w:pPr>
      <w:r>
        <w:rPr>
          <w:rFonts w:hint="eastAsia"/>
          <w:lang w:val="en-US" w:eastAsia="zh-CN"/>
        </w:rPr>
        <w:t>份额发生变动的样例数据如下：2013年湖北三宁化工股份有限公司公司债券回售结果实施结果公告</w:t>
      </w:r>
    </w:p>
    <w:p>
      <w:pPr>
        <w:pStyle w:val="4"/>
        <w:ind w:left="0" w:leftChars="0" w:firstLine="0" w:firstLineChars="0"/>
        <w:jc w:val="left"/>
        <w:rPr>
          <w:rFonts w:hint="eastAsia"/>
          <w:lang w:val="en-US" w:eastAsia="zh-CN"/>
        </w:rPr>
      </w:pPr>
      <w:r>
        <w:rPr>
          <w:rFonts w:hint="eastAsia"/>
          <w:lang w:val="en-US" w:eastAsia="zh-CN"/>
        </w:rPr>
        <w:t>数据来源：</w:t>
      </w:r>
      <w:r>
        <w:rPr>
          <w:rFonts w:hint="eastAsia"/>
          <w:lang w:val="en-US" w:eastAsia="zh-CN"/>
        </w:rPr>
        <w:fldChar w:fldCharType="begin"/>
      </w:r>
      <w:r>
        <w:rPr>
          <w:rFonts w:hint="eastAsia"/>
          <w:lang w:val="en-US" w:eastAsia="zh-CN"/>
        </w:rPr>
        <w:instrText xml:space="preserve"> HYPERLINK "http://www.sse.com.cn/disclosure/bond/announcement/corporate/c/2632956936511243.pdf" </w:instrText>
      </w:r>
      <w:r>
        <w:rPr>
          <w:rFonts w:hint="eastAsia"/>
          <w:lang w:val="en-US" w:eastAsia="zh-CN"/>
        </w:rPr>
        <w:fldChar w:fldCharType="separate"/>
      </w:r>
      <w:r>
        <w:rPr>
          <w:rStyle w:val="29"/>
          <w:rFonts w:hint="eastAsia"/>
          <w:lang w:val="en-US" w:eastAsia="zh-CN"/>
        </w:rPr>
        <w:t>http://www.sse.com.cn/disclosure/bond/announcement/corporate/c/2632956936511243.pdf</w:t>
      </w:r>
      <w:r>
        <w:rPr>
          <w:rFonts w:hint="eastAsia"/>
          <w:lang w:val="en-US" w:eastAsia="zh-CN"/>
        </w:rPr>
        <w:fldChar w:fldCharType="end"/>
      </w:r>
    </w:p>
    <w:p>
      <w:pPr>
        <w:pStyle w:val="4"/>
        <w:ind w:left="0" w:leftChars="0" w:firstLine="0" w:firstLineChars="0"/>
        <w:jc w:val="left"/>
        <w:rPr>
          <w:rFonts w:hint="eastAsia"/>
          <w:lang w:val="en-US" w:eastAsia="zh-CN"/>
        </w:rPr>
      </w:pPr>
      <w:r>
        <w:rPr>
          <w:rFonts w:hint="eastAsia"/>
          <w:lang w:val="en-US" w:eastAsia="zh-CN"/>
        </w:rPr>
        <w:t>从公告内容可以看出份额发生了变动，注销数量为266844手：</w:t>
      </w:r>
    </w:p>
    <w:p>
      <w:pPr>
        <w:pStyle w:val="4"/>
        <w:ind w:left="0" w:leftChars="0" w:firstLine="0" w:firstLineChars="0"/>
        <w:jc w:val="center"/>
        <w:rPr>
          <w:rFonts w:hint="eastAsia"/>
          <w:lang w:val="en-US" w:eastAsia="zh-CN"/>
        </w:rPr>
      </w:pPr>
      <w:r>
        <w:rPr>
          <w:rFonts w:hint="eastAsia"/>
          <w:lang w:val="en-US" w:eastAsia="zh-CN"/>
        </w:rPr>
        <w:br w:type="textWrapping"/>
      </w:r>
      <w:r>
        <w:rPr>
          <w:bdr w:val="single" w:sz="4" w:space="0"/>
        </w:rPr>
        <w:drawing>
          <wp:inline distT="0" distB="0" distL="114300" distR="114300">
            <wp:extent cx="3266440" cy="1286510"/>
            <wp:effectExtent l="0" t="0" r="101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266440" cy="1286510"/>
                    </a:xfrm>
                    <a:prstGeom prst="rect">
                      <a:avLst/>
                    </a:prstGeom>
                    <a:noFill/>
                    <a:ln w="9525">
                      <a:noFill/>
                    </a:ln>
                  </pic:spPr>
                </pic:pic>
              </a:graphicData>
            </a:graphic>
          </wp:inline>
        </w:drawing>
      </w:r>
    </w:p>
    <w:p>
      <w:pPr>
        <w:pStyle w:val="4"/>
        <w:ind w:left="0" w:leftChars="0" w:firstLine="0" w:firstLineChars="0"/>
        <w:rPr>
          <w:rFonts w:hint="eastAsia"/>
          <w:sz w:val="22"/>
          <w:szCs w:val="21"/>
          <w:lang w:val="en-US" w:eastAsia="zh-CN"/>
        </w:rPr>
      </w:pPr>
      <w:r>
        <w:rPr>
          <w:rFonts w:hint="eastAsia"/>
          <w:sz w:val="22"/>
          <w:szCs w:val="21"/>
          <w:lang w:val="en-US" w:eastAsia="zh-CN"/>
        </w:rPr>
        <w:t xml:space="preserve">    对于存在多个发行人的债券，我们是这样考虑的，债券的付息兑付主要是从发行人的角度来考虑，对于存在多个发行人的债券，会在一定的时间里存在多个付息兑付公告。这种情况通常会在集合票据中出现，在付息兑付表中我们不做过多的考虑，把这些特殊情况在“备注”这个字段中考虑。</w:t>
      </w:r>
    </w:p>
    <w:p>
      <w:pPr>
        <w:pStyle w:val="5"/>
        <w:rPr>
          <w:rFonts w:hint="eastAsia"/>
          <w:lang w:val="en-US" w:eastAsia="zh-CN"/>
        </w:rPr>
      </w:pPr>
      <w:bookmarkStart w:id="10" w:name="_Toc13449"/>
      <w:r>
        <w:rPr>
          <w:rFonts w:hint="eastAsia"/>
          <w:lang w:eastAsia="zh-CN"/>
        </w:rPr>
        <w:t>通现有业务阐述</w:t>
      </w:r>
      <w:bookmarkEnd w:id="10"/>
    </w:p>
    <w:p>
      <w:pPr>
        <w:pStyle w:val="5"/>
        <w:rPr>
          <w:rFonts w:hint="eastAsia"/>
        </w:rPr>
      </w:pPr>
      <w:bookmarkStart w:id="11" w:name="_Toc552"/>
      <w:r>
        <w:rPr>
          <w:rFonts w:hint="eastAsia"/>
          <w:lang w:eastAsia="zh-CN"/>
        </w:rPr>
        <w:t>修改的必要性</w:t>
      </w:r>
      <w:bookmarkEnd w:id="11"/>
    </w:p>
    <w:p>
      <w:pPr>
        <w:pStyle w:val="5"/>
        <w:rPr>
          <w:rFonts w:hint="eastAsia"/>
          <w:lang w:val="en-US" w:eastAsia="zh-CN"/>
        </w:rPr>
      </w:pPr>
      <w:bookmarkStart w:id="12" w:name="_Toc7956"/>
      <w:r>
        <w:rPr>
          <w:rFonts w:hint="eastAsia"/>
          <w:lang w:eastAsia="zh-CN"/>
        </w:rPr>
        <w:t>录入库方案</w:t>
      </w:r>
      <w:bookmarkEnd w:id="12"/>
    </w:p>
    <w:p>
      <w:pPr>
        <w:pStyle w:val="4"/>
        <w:rPr>
          <w:rFonts w:hint="eastAsia"/>
          <w:lang w:val="en-US" w:eastAsia="zh-CN"/>
        </w:rPr>
      </w:pPr>
      <w:r>
        <w:rPr>
          <w:rFonts w:hint="eastAsia"/>
          <w:lang w:val="en-US" w:eastAsia="zh-CN"/>
        </w:rPr>
        <w:t>由于债劵付息兑付表中业务字段不多，考虑数据录入的方便性和可扩展性，建议用竖表来处理。</w:t>
      </w:r>
    </w:p>
    <w:p>
      <w:pPr>
        <w:pStyle w:val="4"/>
        <w:rPr>
          <w:rFonts w:hint="eastAsia"/>
          <w:lang w:val="en-US" w:eastAsia="zh-CN"/>
        </w:rPr>
      </w:pPr>
    </w:p>
    <w:p>
      <w:pPr>
        <w:pStyle w:val="5"/>
        <w:rPr>
          <w:rFonts w:hint="eastAsia"/>
          <w:lang w:val="en-US" w:eastAsia="zh-CN"/>
        </w:rPr>
      </w:pPr>
      <w:bookmarkStart w:id="13" w:name="_Toc18919"/>
      <w:r>
        <w:rPr>
          <w:rFonts w:hint="eastAsia"/>
          <w:lang w:eastAsia="zh-CN"/>
        </w:rPr>
        <w:t>数据库产品方案</w:t>
      </w:r>
      <w:bookmarkEnd w:id="13"/>
    </w:p>
    <w:p>
      <w:pPr>
        <w:pStyle w:val="5"/>
        <w:rPr>
          <w:rFonts w:hint="eastAsia"/>
          <w:lang w:val="en-US" w:eastAsia="zh-CN"/>
        </w:rPr>
      </w:pPr>
      <w:bookmarkStart w:id="14" w:name="_Toc19415"/>
      <w:r>
        <w:rPr>
          <w:rFonts w:hint="eastAsia"/>
          <w:lang w:eastAsia="zh-CN"/>
        </w:rPr>
        <w:t>终端产品方案</w:t>
      </w:r>
      <w:bookmarkEnd w:id="14"/>
    </w:p>
    <w:p>
      <w:pPr>
        <w:pStyle w:val="4"/>
        <w:rPr>
          <w:rFonts w:hint="eastAsia"/>
          <w:lang w:val="en-US" w:eastAsia="zh-CN"/>
        </w:rPr>
      </w:pPr>
    </w:p>
    <w:p>
      <w:pPr>
        <w:pStyle w:val="3"/>
        <w:rPr>
          <w:rFonts w:hint="eastAsia"/>
        </w:rPr>
      </w:pPr>
      <w:bookmarkStart w:id="15" w:name="_Toc1803"/>
      <w:bookmarkStart w:id="16" w:name="_Toc26942"/>
      <w:r>
        <w:rPr>
          <w:rFonts w:hint="eastAsia"/>
        </w:rPr>
        <w:t>方案的审定</w:t>
      </w:r>
      <w:bookmarkEnd w:id="15"/>
      <w:bookmarkEnd w:id="16"/>
    </w:p>
    <w:tbl>
      <w:tblPr>
        <w:tblStyle w:val="3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708"/>
        <w:gridCol w:w="854"/>
        <w:gridCol w:w="524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NO</w:t>
            </w:r>
          </w:p>
        </w:tc>
        <w:tc>
          <w:tcPr>
            <w:tcW w:w="70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部门</w:t>
            </w:r>
          </w:p>
        </w:tc>
        <w:tc>
          <w:tcPr>
            <w:tcW w:w="854"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人员</w:t>
            </w:r>
          </w:p>
        </w:tc>
        <w:tc>
          <w:tcPr>
            <w:tcW w:w="5240"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论  点</w:t>
            </w:r>
          </w:p>
        </w:tc>
        <w:tc>
          <w:tcPr>
            <w:tcW w:w="194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1</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2</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3</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bl>
    <w:p>
      <w:pPr>
        <w:pStyle w:val="4"/>
        <w:rPr>
          <w:rFonts w:hint="eastAsia"/>
        </w:rPr>
      </w:pPr>
    </w:p>
    <w:p>
      <w:pPr>
        <w:pStyle w:val="4"/>
        <w:ind w:left="0" w:leftChars="0" w:firstLine="0" w:firstLineChars="0"/>
        <w:rPr>
          <w:rFonts w:hint="eastAsia"/>
        </w:rPr>
      </w:pPr>
    </w:p>
    <w:p>
      <w:pPr>
        <w:pStyle w:val="4"/>
        <w:rPr>
          <w:rFonts w:hint="eastAsia"/>
        </w:rPr>
      </w:pPr>
    </w:p>
    <w:p>
      <w:pPr>
        <w:pStyle w:val="4"/>
        <w:rPr>
          <w:rFonts w:hint="eastAsia"/>
        </w:rPr>
      </w:pPr>
    </w:p>
    <w:p>
      <w:pPr>
        <w:pStyle w:val="4"/>
        <w:rPr>
          <w:rFonts w:hint="eastAsia"/>
        </w:rPr>
      </w:pPr>
    </w:p>
    <w:p>
      <w:pPr>
        <w:pStyle w:val="2"/>
      </w:pPr>
      <w:bookmarkStart w:id="17" w:name="_Toc26642"/>
      <w:bookmarkStart w:id="18" w:name="_Toc19404"/>
      <w:r>
        <w:rPr>
          <w:rFonts w:hint="eastAsia"/>
        </w:rPr>
        <w:t>开发</w:t>
      </w:r>
      <w:r>
        <w:t>与</w:t>
      </w:r>
      <w:r>
        <w:rPr>
          <w:rFonts w:hint="eastAsia"/>
        </w:rPr>
        <w:t>实施（针对</w:t>
      </w:r>
      <w:r>
        <w:t>开发人员）</w:t>
      </w:r>
      <w:bookmarkEnd w:id="17"/>
      <w:bookmarkEnd w:id="18"/>
    </w:p>
    <w:p>
      <w:pPr>
        <w:pStyle w:val="3"/>
      </w:pPr>
      <w:bookmarkStart w:id="19" w:name="_Toc25713"/>
      <w:bookmarkStart w:id="20" w:name="_Toc31276"/>
      <w:r>
        <w:rPr>
          <w:rFonts w:hint="eastAsia"/>
        </w:rPr>
        <w:t>本次</w:t>
      </w:r>
      <w:r>
        <w:t>修改内容</w:t>
      </w:r>
      <w:bookmarkEnd w:id="19"/>
      <w:bookmarkEnd w:id="20"/>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287774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kern w:val="2"/>
                    <w:sz w:val="18"/>
                    <w:szCs w:val="18"/>
                    <w:lang w:val="en-US" w:eastAsia="zh-CN" w:bidi="ar-SA"/>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953518270"/>
              <w:lock w:val="sdtLocked"/>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pStyle w:val="5"/>
      </w:pPr>
      <w:bookmarkStart w:id="21" w:name="_Toc19183"/>
      <w:bookmarkStart w:id="22" w:name="_Toc7695"/>
      <w:r>
        <w:rPr>
          <w:rFonts w:hint="eastAsia"/>
        </w:rPr>
        <w:t>表</w:t>
      </w:r>
      <w:r>
        <w:t>基本信息</w:t>
      </w:r>
      <w:bookmarkEnd w:id="21"/>
      <w:bookmarkEnd w:id="22"/>
    </w:p>
    <w:tbl>
      <w:tblPr>
        <w:tblStyle w:val="35"/>
        <w:tblW w:w="6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
        <w:gridCol w:w="1074"/>
        <w:gridCol w:w="3103"/>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rPr>
            </w:pPr>
            <w:r>
              <w:rPr>
                <w:rFonts w:hint="eastAsia"/>
              </w:rPr>
              <w:t>表</w:t>
            </w:r>
            <w:r>
              <w:t>编号</w:t>
            </w:r>
          </w:p>
        </w:tc>
        <w:tc>
          <w:tcPr>
            <w:tcW w:w="1074" w:type="dxa"/>
          </w:tcPr>
          <w:p>
            <w:pPr>
              <w:pStyle w:val="4"/>
              <w:ind w:firstLine="0" w:firstLineChars="0"/>
              <w:rPr>
                <w:rFonts w:hint="eastAsia"/>
              </w:rPr>
            </w:pPr>
            <w:r>
              <w:rPr>
                <w:rFonts w:hint="eastAsia"/>
              </w:rPr>
              <w:t>表名</w:t>
            </w:r>
            <w:r>
              <w:rPr>
                <w:rFonts w:hint="eastAsia"/>
                <w:lang w:eastAsia="zh-CN"/>
              </w:rPr>
              <w:t>称</w:t>
            </w:r>
          </w:p>
        </w:tc>
        <w:tc>
          <w:tcPr>
            <w:tcW w:w="3103" w:type="dxa"/>
          </w:tcPr>
          <w:p>
            <w:pPr>
              <w:pStyle w:val="4"/>
              <w:ind w:firstLine="0" w:firstLineChars="0"/>
              <w:rPr>
                <w:rFonts w:hint="eastAsia"/>
              </w:rPr>
            </w:pPr>
            <w:r>
              <w:rPr>
                <w:rFonts w:hint="eastAsia"/>
              </w:rPr>
              <w:t>表描述</w:t>
            </w:r>
          </w:p>
        </w:tc>
        <w:tc>
          <w:tcPr>
            <w:tcW w:w="1740" w:type="dxa"/>
            <w:textDirection w:val="lrTb"/>
            <w:vAlign w:val="top"/>
          </w:tcPr>
          <w:p>
            <w:pPr>
              <w:pStyle w:val="4"/>
              <w:ind w:firstLine="0" w:firstLineChars="0"/>
            </w:pPr>
            <w:r>
              <w:rPr>
                <w:rFonts w:hint="eastAsia"/>
              </w:rPr>
              <w:t>表</w:t>
            </w:r>
            <w: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eastAsia="宋体"/>
                <w:lang w:val="en-US" w:eastAsia="zh-CN"/>
              </w:rPr>
            </w:pPr>
            <w:r>
              <w:rPr>
                <w:rFonts w:hint="eastAsia"/>
                <w:lang w:val="en-US" w:eastAsia="zh-CN"/>
              </w:rPr>
              <w:t>P12007</w:t>
            </w:r>
          </w:p>
        </w:tc>
        <w:tc>
          <w:tcPr>
            <w:tcW w:w="1074" w:type="dxa"/>
          </w:tcPr>
          <w:p>
            <w:pPr>
              <w:pStyle w:val="4"/>
              <w:ind w:firstLine="0" w:firstLineChars="0"/>
              <w:rPr>
                <w:rFonts w:hint="eastAsia" w:eastAsia="宋体"/>
                <w:lang w:val="en-US" w:eastAsia="zh-CN"/>
              </w:rPr>
            </w:pPr>
            <w:r>
              <w:rPr>
                <w:rFonts w:hint="eastAsia"/>
                <w:lang w:val="en-US" w:eastAsia="zh-CN"/>
              </w:rPr>
              <w:t>债券付息兑付表</w:t>
            </w:r>
          </w:p>
        </w:tc>
        <w:tc>
          <w:tcPr>
            <w:tcW w:w="3103" w:type="dxa"/>
          </w:tcPr>
          <w:p>
            <w:pPr>
              <w:pStyle w:val="4"/>
              <w:ind w:firstLine="0" w:firstLineChars="0"/>
              <w:rPr>
                <w:rFonts w:hint="eastAsia" w:eastAsia="宋体"/>
                <w:lang w:eastAsia="zh-CN"/>
              </w:rPr>
            </w:pPr>
            <w:r>
              <w:rPr>
                <w:rFonts w:hint="eastAsia"/>
                <w:lang w:eastAsia="zh-CN"/>
              </w:rPr>
              <w:t>主要是记录债券实际的付息兑付情况。</w:t>
            </w:r>
          </w:p>
        </w:tc>
        <w:tc>
          <w:tcPr>
            <w:tcW w:w="1740" w:type="dxa"/>
            <w:textDirection w:val="lrTb"/>
            <w:vAlign w:val="top"/>
          </w:tcPr>
          <w:p>
            <w:pPr>
              <w:pStyle w:val="4"/>
              <w:ind w:firstLine="0" w:firstLineChars="0"/>
              <w:rPr>
                <w:rFonts w:hint="eastAsia" w:eastAsia="宋体"/>
                <w:lang w:eastAsia="zh-CN"/>
              </w:rPr>
            </w:pPr>
            <w:r>
              <w:rPr>
                <w:rFonts w:hint="eastAsia"/>
                <w:lang w:eastAsia="zh-CN"/>
              </w:rPr>
              <w:t>债券类</w:t>
            </w:r>
          </w:p>
        </w:tc>
      </w:tr>
    </w:tbl>
    <w:p>
      <w:pPr>
        <w:pStyle w:val="5"/>
      </w:pPr>
      <w:bookmarkStart w:id="23" w:name="_Toc29200"/>
      <w:bookmarkStart w:id="24" w:name="_Toc30351"/>
      <w:r>
        <w:rPr>
          <w:rFonts w:hint="eastAsia"/>
        </w:rPr>
        <w:t>字段</w:t>
      </w:r>
      <w:r>
        <w:t>基本信息</w:t>
      </w:r>
      <w:bookmarkEnd w:id="23"/>
      <w:bookmarkEnd w:id="24"/>
    </w:p>
    <w:p>
      <w:pPr>
        <w:pStyle w:val="6"/>
      </w:pPr>
      <w:r>
        <w:rPr>
          <w:rFonts w:hint="eastAsia"/>
          <w:lang w:eastAsia="zh-CN"/>
        </w:rPr>
        <w:t>字段属性</w:t>
      </w:r>
    </w:p>
    <w:p>
      <w:pPr>
        <w:rPr>
          <w:rFonts w:hint="eastAsia" w:eastAsia="宋体"/>
          <w:lang w:eastAsia="zh-CN"/>
        </w:rPr>
      </w:pPr>
      <w:r>
        <w:rPr>
          <w:rFonts w:hint="eastAsia"/>
          <w:lang w:eastAsia="zh-CN"/>
        </w:rPr>
        <w:t>标黄为系统字段</w:t>
      </w:r>
    </w:p>
    <w:tbl>
      <w:tblPr>
        <w:tblStyle w:val="34"/>
        <w:tblW w:w="82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45"/>
        <w:gridCol w:w="2505"/>
        <w:gridCol w:w="1592"/>
        <w:gridCol w:w="1080"/>
        <w:gridCol w:w="1080"/>
        <w:gridCol w:w="1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COLID</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COLUMNNAMECHN</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COLTYPE</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REMARK</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250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数据库实例唯一，更新后跳动</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250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PK,实例唯一，自生成后不变</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公告日期</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b/>
                <w:bCs/>
                <w:i w:val="0"/>
                <w:color w:val="FF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20160601精确到日</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内部编码</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INT(7)</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付息兑付类型</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债权登记日</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20160601精确到日</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F5</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除权除息日</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20160601精确到日</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F6</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本期债券利率</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b/>
                <w:bCs/>
                <w:i w:val="0"/>
                <w:color w:val="FF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F7</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auto"/>
                <w:kern w:val="0"/>
                <w:sz w:val="22"/>
                <w:szCs w:val="22"/>
                <w:u w:val="none"/>
                <w:lang w:val="en-US" w:eastAsia="zh-CN" w:bidi="ar"/>
              </w:rPr>
              <w:t>利息所得税税率</w:t>
            </w:r>
            <w:r>
              <w:rPr>
                <w:rFonts w:ascii="微软雅黑" w:hAnsi="微软雅黑" w:eastAsia="微软雅黑" w:cs="微软雅黑"/>
                <w:b w:val="0"/>
                <w:bCs/>
                <w:i w:val="0"/>
                <w:caps w:val="0"/>
                <w:color w:val="auto"/>
                <w:spacing w:val="0"/>
                <w:sz w:val="21"/>
                <w:szCs w:val="21"/>
                <w:shd w:val="clear" w:fill="FFFFFF"/>
              </w:rPr>
              <w:t>(个人、投资基金）</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F8</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付息兑付起始日</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20160601精确到日</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F9</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付息兑付终止日</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20160601精确到日</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F10</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其他兑付时间说明</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r>
              <w:rPr>
                <w:rFonts w:hint="eastAsia" w:ascii="宋体" w:hAnsi="宋体" w:cs="宋体"/>
                <w:i w:val="0"/>
                <w:color w:val="000000"/>
                <w:kern w:val="0"/>
                <w:sz w:val="24"/>
                <w:szCs w:val="24"/>
                <w:u w:val="none"/>
                <w:lang w:val="en-US" w:eastAsia="zh-CN" w:bidi="ar"/>
              </w:rPr>
              <w:t>2</w:t>
            </w:r>
            <w:r>
              <w:rPr>
                <w:rFonts w:hint="eastAsia" w:ascii="宋体" w:hAnsi="宋体" w:eastAsia="宋体" w:cs="宋体"/>
                <w:i w:val="0"/>
                <w:color w:val="000000"/>
                <w:kern w:val="0"/>
                <w:sz w:val="24"/>
                <w:szCs w:val="24"/>
                <w:u w:val="none"/>
                <w:lang w:val="en-US" w:eastAsia="zh-CN" w:bidi="ar"/>
              </w:rPr>
              <w:t>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F11</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本金兑付方式</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F12</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兑付(偿还)本金金额</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F13</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兑付(偿还)本金比例</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F14</w:t>
            </w:r>
          </w:p>
        </w:tc>
        <w:tc>
          <w:tcPr>
            <w:tcW w:w="25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FS</w:t>
            </w:r>
          </w:p>
        </w:tc>
        <w:tc>
          <w:tcPr>
            <w:tcW w:w="250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发布状态</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TINYINT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0-未发布，1-待审核，2-已审核，3-已删除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7"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FA</w:t>
            </w:r>
          </w:p>
        </w:tc>
        <w:tc>
          <w:tcPr>
            <w:tcW w:w="250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修改人员账号</w:t>
            </w:r>
            <w:bookmarkStart w:id="46" w:name="_GoBack"/>
            <w:bookmarkEnd w:id="46"/>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Varchar(64)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FN</w:t>
            </w:r>
          </w:p>
        </w:tc>
        <w:tc>
          <w:tcPr>
            <w:tcW w:w="250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修改人员姓名</w:t>
            </w:r>
          </w:p>
        </w:tc>
        <w:tc>
          <w:tcPr>
            <w:tcW w:w="15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FP</w:t>
            </w:r>
          </w:p>
        </w:tc>
        <w:tc>
          <w:tcPr>
            <w:tcW w:w="250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发布时间</w:t>
            </w:r>
          </w:p>
        </w:tc>
        <w:tc>
          <w:tcPr>
            <w:tcW w:w="159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记录首次入库时间</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FU</w:t>
            </w:r>
          </w:p>
        </w:tc>
        <w:tc>
          <w:tcPr>
            <w:tcW w:w="250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更新时间</w:t>
            </w:r>
          </w:p>
        </w:tc>
        <w:tc>
          <w:tcPr>
            <w:tcW w:w="159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最后修改时间，首次发布时应等于发布时间</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
      <w:pPr>
        <w:pStyle w:val="6"/>
      </w:pPr>
      <w:r>
        <w:rPr>
          <w:rFonts w:hint="eastAsia"/>
          <w:lang w:eastAsia="zh-CN"/>
        </w:rPr>
        <w:t>参数</w:t>
      </w:r>
      <w:r>
        <w:t>类型</w:t>
      </w:r>
    </w:p>
    <w:tbl>
      <w:tblPr>
        <w:tblStyle w:val="34"/>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45"/>
        <w:gridCol w:w="2595"/>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参数类别</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类别名称</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参数分类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A82</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A82</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兑付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A82</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A82</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回售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A82</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赎回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A82</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付息兑付类型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A83</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本金兑付方式</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面值兑付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A83</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本金兑付方式</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份额兑付</w:t>
            </w:r>
          </w:p>
        </w:tc>
      </w:tr>
    </w:tbl>
    <w:p/>
    <w:p>
      <w:pPr>
        <w:pStyle w:val="5"/>
      </w:pPr>
      <w:bookmarkStart w:id="25" w:name="_Toc8760"/>
      <w:bookmarkStart w:id="26" w:name="_Toc7626"/>
      <w:r>
        <w:rPr>
          <w:rFonts w:hint="eastAsia"/>
        </w:rPr>
        <w:t>索引</w:t>
      </w:r>
      <w:r>
        <w:t>设计</w:t>
      </w:r>
      <w:bookmarkEnd w:id="25"/>
      <w:bookmarkEnd w:id="26"/>
    </w:p>
    <w:p>
      <w:pPr>
        <w:pStyle w:val="4"/>
        <w:rPr>
          <w:rFonts w:hint="eastAsia" w:ascii="宋体" w:hAnsi="宋体" w:eastAsia="宋体" w:cs="宋体"/>
          <w:i w:val="0"/>
          <w:color w:val="000000"/>
          <w:kern w:val="0"/>
          <w:sz w:val="22"/>
          <w:szCs w:val="22"/>
          <w:u w:val="none"/>
          <w:lang w:val="en-US" w:eastAsia="zh-CN" w:bidi="ar"/>
        </w:rPr>
      </w:pPr>
      <w:r>
        <w:rPr>
          <w:rFonts w:hint="eastAsia"/>
          <w:lang w:eastAsia="zh-CN"/>
        </w:rPr>
        <w:t>物理主键：</w:t>
      </w:r>
      <w:r>
        <w:rPr>
          <w:rFonts w:hint="eastAsia"/>
          <w:lang w:val="en-US" w:eastAsia="zh-CN"/>
        </w:rPr>
        <w:t>FT(pk)</w:t>
      </w:r>
    </w:p>
    <w:p>
      <w:pPr>
        <w:pStyle w:val="4"/>
        <w:rPr>
          <w:rFonts w:hint="eastAsia"/>
          <w:lang w:val="en-US" w:eastAsia="zh-CN"/>
        </w:rPr>
      </w:pPr>
      <w:r>
        <w:rPr>
          <w:rFonts w:hint="eastAsia"/>
          <w:lang w:val="en-US" w:eastAsia="zh-CN"/>
        </w:rPr>
        <w:t>业务主键：内部编码、付息兑付类型、付息兑付起始日</w:t>
      </w:r>
    </w:p>
    <w:p>
      <w:pPr>
        <w:pStyle w:val="4"/>
        <w:rPr>
          <w:rFonts w:hint="eastAsia"/>
          <w:lang w:val="en-US" w:eastAsia="zh-CN"/>
        </w:rPr>
      </w:pPr>
      <w:r>
        <w:rPr>
          <w:rFonts w:hint="eastAsia"/>
          <w:lang w:val="en-US" w:eastAsia="zh-CN"/>
        </w:rPr>
        <w:t>普通索引：付息兑付类型</w:t>
      </w:r>
    </w:p>
    <w:p>
      <w:pPr>
        <w:pStyle w:val="4"/>
        <w:rPr>
          <w:rFonts w:hint="eastAsia"/>
          <w:lang w:val="en-US" w:eastAsia="zh-CN"/>
        </w:rPr>
      </w:pPr>
      <w:r>
        <w:rPr>
          <w:rFonts w:hint="eastAsia"/>
          <w:lang w:val="en-US" w:eastAsia="zh-CN"/>
        </w:rPr>
        <w:t xml:space="preserve">          </w:t>
      </w:r>
    </w:p>
    <w:p>
      <w:pPr>
        <w:pStyle w:val="5"/>
      </w:pPr>
      <w:bookmarkStart w:id="27" w:name="_Toc29496"/>
      <w:bookmarkStart w:id="28" w:name="_Toc17202"/>
      <w:r>
        <w:rPr>
          <w:rFonts w:hint="eastAsia"/>
        </w:rPr>
        <w:t>存储过程</w:t>
      </w:r>
      <w:bookmarkEnd w:id="27"/>
      <w:bookmarkEnd w:id="28"/>
    </w:p>
    <w:p>
      <w:pPr>
        <w:pStyle w:val="5"/>
        <w:rPr>
          <w:rFonts w:hint="eastAsia"/>
        </w:rPr>
      </w:pPr>
      <w:bookmarkStart w:id="29" w:name="_Toc3547"/>
      <w:bookmarkStart w:id="30" w:name="_Toc22863"/>
      <w:r>
        <w:rPr>
          <w:rFonts w:hint="eastAsia"/>
        </w:rPr>
        <w:t>触发器</w:t>
      </w:r>
      <w:bookmarkEnd w:id="29"/>
      <w:bookmarkEnd w:id="30"/>
    </w:p>
    <w:p>
      <w:pPr>
        <w:pStyle w:val="2"/>
        <w:rPr>
          <w:rFonts w:hint="eastAsia"/>
          <w:lang w:val="en-US" w:eastAsia="zh-CN"/>
        </w:rPr>
      </w:pPr>
      <w:bookmarkStart w:id="31" w:name="_Toc20477"/>
      <w:r>
        <w:rPr>
          <w:rFonts w:hint="eastAsia"/>
          <w:lang w:val="en-US" w:eastAsia="zh-CN"/>
        </w:rPr>
        <w:t>录入工具说明</w:t>
      </w:r>
      <w:bookmarkEnd w:id="31"/>
    </w:p>
    <w:p>
      <w:pPr>
        <w:pStyle w:val="4"/>
        <w:numPr>
          <w:ilvl w:val="0"/>
          <w:numId w:val="2"/>
        </w:numPr>
        <w:rPr>
          <w:rFonts w:hint="eastAsia"/>
          <w:lang w:val="en-US" w:eastAsia="zh-CN"/>
        </w:rPr>
      </w:pPr>
      <w:r>
        <w:rPr>
          <w:rFonts w:hint="eastAsia"/>
          <w:lang w:val="en-US" w:eastAsia="zh-CN"/>
        </w:rPr>
        <w:t>【内部编码】关联债券主表【内部编码】字段</w:t>
      </w:r>
      <w:r>
        <w:rPr>
          <w:rFonts w:hint="eastAsia"/>
          <w:color w:val="FF0000"/>
          <w:lang w:val="en-US" w:eastAsia="zh-CN"/>
        </w:rPr>
        <w:t>通过</w:t>
      </w:r>
      <w:r>
        <w:rPr>
          <w:rFonts w:hint="eastAsia" w:ascii="宋体" w:hAnsi="宋体" w:eastAsia="宋体" w:cs="宋体"/>
          <w:i w:val="0"/>
          <w:color w:val="FF0000"/>
          <w:kern w:val="0"/>
          <w:sz w:val="22"/>
          <w:szCs w:val="22"/>
          <w:u w:val="none"/>
          <w:lang w:val="en-US" w:eastAsia="zh-CN" w:bidi="ar"/>
        </w:rPr>
        <w:t>证券代码</w:t>
      </w:r>
      <w:r>
        <w:rPr>
          <w:rFonts w:hint="eastAsia" w:ascii="宋体" w:hAnsi="宋体" w:cs="宋体"/>
          <w:i w:val="0"/>
          <w:color w:val="FF0000"/>
          <w:kern w:val="0"/>
          <w:sz w:val="22"/>
          <w:szCs w:val="22"/>
          <w:u w:val="none"/>
          <w:lang w:val="en-US" w:eastAsia="zh-CN" w:bidi="ar"/>
        </w:rPr>
        <w:t>和</w:t>
      </w:r>
      <w:r>
        <w:rPr>
          <w:rFonts w:hint="eastAsia"/>
          <w:color w:val="FF0000"/>
          <w:lang w:val="en-US" w:eastAsia="zh-CN"/>
        </w:rPr>
        <w:t>债券简称检索</w:t>
      </w:r>
    </w:p>
    <w:p>
      <w:pPr>
        <w:pStyle w:val="4"/>
        <w:numPr>
          <w:ilvl w:val="0"/>
          <w:numId w:val="0"/>
        </w:numPr>
        <w:rPr>
          <w:rFonts w:hint="eastAsia"/>
          <w:lang w:val="en-US" w:eastAsia="zh-CN"/>
        </w:rPr>
      </w:pPr>
      <w:r>
        <w:rPr>
          <w:rFonts w:hint="eastAsia"/>
          <w:lang w:val="en-US" w:eastAsia="zh-CN"/>
        </w:rPr>
        <w:t>展示格式为</w:t>
      </w:r>
      <w:r>
        <w:rPr>
          <w:rFonts w:hint="default"/>
          <w:lang w:val="en-US" w:eastAsia="zh-CN"/>
        </w:rPr>
        <w:t>’</w:t>
      </w:r>
      <w:r>
        <w:rPr>
          <w:rFonts w:hint="eastAsia"/>
          <w:lang w:val="en-US" w:eastAsia="zh-CN"/>
        </w:rPr>
        <w:t>内部编码</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债券简称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交易代码</w:t>
      </w:r>
      <w:r>
        <w:rPr>
          <w:rFonts w:hint="default"/>
          <w:lang w:val="en-US" w:eastAsia="zh-CN"/>
        </w:rPr>
        <w:t>’</w:t>
      </w:r>
      <w:r>
        <w:rPr>
          <w:rFonts w:hint="eastAsia"/>
          <w:lang w:val="en-US" w:eastAsia="zh-CN"/>
        </w:rPr>
        <w:t>。</w:t>
      </w:r>
    </w:p>
    <w:p>
      <w:pPr>
        <w:pStyle w:val="4"/>
        <w:numPr>
          <w:ilvl w:val="0"/>
          <w:numId w:val="0"/>
        </w:numPr>
        <w:rPr>
          <w:rFonts w:hint="eastAsia"/>
          <w:lang w:val="en-US" w:eastAsia="zh-CN"/>
        </w:rPr>
      </w:pPr>
      <w:r>
        <w:rPr>
          <w:rFonts w:hint="eastAsia"/>
          <w:lang w:val="en-US" w:eastAsia="zh-CN"/>
        </w:rPr>
        <w:t>例如：1000009-15赣煤炭CP001-041551018</w:t>
      </w:r>
    </w:p>
    <w:p>
      <w:pPr>
        <w:pStyle w:val="4"/>
        <w:numPr>
          <w:ilvl w:val="0"/>
          <w:numId w:val="2"/>
        </w:numPr>
        <w:ind w:firstLine="420" w:firstLineChars="200"/>
        <w:rPr>
          <w:rFonts w:hint="eastAsia"/>
        </w:rPr>
      </w:pPr>
      <w:r>
        <w:rPr>
          <w:rFonts w:hint="eastAsia"/>
          <w:lang w:val="en-US" w:eastAsia="zh-CN"/>
        </w:rPr>
        <w:t>查询字段：【</w:t>
      </w:r>
      <w:r>
        <w:rPr>
          <w:rFonts w:hint="eastAsia" w:ascii="宋体" w:hAnsi="宋体" w:eastAsia="宋体" w:cs="宋体"/>
          <w:i w:val="0"/>
          <w:color w:val="000000"/>
          <w:kern w:val="0"/>
          <w:sz w:val="24"/>
          <w:szCs w:val="24"/>
          <w:u w:val="none"/>
          <w:lang w:val="en-US" w:eastAsia="zh-CN" w:bidi="ar"/>
        </w:rPr>
        <w:t>内部编码</w:t>
      </w:r>
      <w:r>
        <w:rPr>
          <w:rFonts w:hint="eastAsia"/>
          <w:lang w:val="en-US" w:eastAsia="zh-CN"/>
        </w:rPr>
        <w:t>】(同上述1控件)、【公告日期】、【付息兑付公告类型】、【债权登记日】、【除息除权日】、【本金兑付方式】、【发布状态】、【修改人姓名】、【更新时间】</w:t>
      </w:r>
    </w:p>
    <w:p>
      <w:pPr>
        <w:pStyle w:val="4"/>
        <w:numPr>
          <w:ilvl w:val="0"/>
          <w:numId w:val="2"/>
        </w:numPr>
        <w:ind w:firstLine="420" w:firstLineChars="200"/>
        <w:rPr>
          <w:rFonts w:hint="eastAsia"/>
          <w:lang w:val="en-US" w:eastAsia="zh-CN"/>
        </w:rPr>
      </w:pPr>
      <w:r>
        <w:rPr>
          <w:rFonts w:hint="eastAsia"/>
          <w:lang w:val="en-US" w:eastAsia="zh-CN"/>
        </w:rPr>
        <w:t>查询结果集字段：同上</w:t>
      </w:r>
    </w:p>
    <w:p>
      <w:pPr>
        <w:ind w:firstLine="420" w:firstLineChars="0"/>
        <w:rPr>
          <w:rFonts w:hint="eastAsia"/>
        </w:rPr>
      </w:pPr>
      <w:r>
        <w:rPr>
          <w:rFonts w:hint="eastAsia"/>
          <w:lang w:val="en-US" w:eastAsia="zh-CN"/>
        </w:rPr>
        <w:t>4、排序规则：</w:t>
      </w:r>
      <w:r>
        <w:rPr>
          <w:rFonts w:hint="eastAsia"/>
          <w:b w:val="0"/>
          <w:bCs w:val="0"/>
          <w:lang w:val="en-US" w:eastAsia="zh-CN"/>
        </w:rPr>
        <w:t>Order by FU desc</w:t>
      </w:r>
    </w:p>
    <w:p>
      <w:pPr>
        <w:pStyle w:val="2"/>
        <w:rPr>
          <w:rFonts w:hint="eastAsia"/>
          <w:lang w:val="en-US" w:eastAsia="zh-CN"/>
        </w:rPr>
      </w:pPr>
      <w:bookmarkStart w:id="32" w:name="_Toc16307"/>
      <w:bookmarkStart w:id="33" w:name="_Toc12015"/>
      <w:r>
        <w:rPr>
          <w:rFonts w:hint="eastAsia"/>
        </w:rPr>
        <w:t>处理</w:t>
      </w:r>
      <w:r>
        <w:t>工具与规则（</w:t>
      </w:r>
      <w:r>
        <w:rPr>
          <w:rFonts w:hint="eastAsia"/>
        </w:rPr>
        <w:t>针对</w:t>
      </w:r>
      <w:r>
        <w:t>录入人员）</w:t>
      </w:r>
      <w:bookmarkEnd w:id="32"/>
      <w:bookmarkEnd w:id="33"/>
    </w:p>
    <w:p>
      <w:pPr>
        <w:pStyle w:val="3"/>
        <w:rPr>
          <w:rFonts w:hint="eastAsia"/>
          <w:lang w:val="en-US" w:eastAsia="zh-CN"/>
        </w:rPr>
      </w:pPr>
      <w:bookmarkStart w:id="34" w:name="_Toc29561"/>
      <w:bookmarkStart w:id="35" w:name="_Toc5826"/>
      <w:r>
        <w:rPr>
          <w:rFonts w:hint="eastAsia"/>
        </w:rPr>
        <w:t>本次</w:t>
      </w:r>
      <w:r>
        <w:t>修改内容</w:t>
      </w:r>
      <w:bookmarkEnd w:id="34"/>
      <w:bookmarkEnd w:id="35"/>
    </w:p>
    <w:p>
      <w:pPr>
        <w:pStyle w:val="5"/>
        <w:spacing w:before="468" w:after="312"/>
      </w:pPr>
      <w:bookmarkStart w:id="36" w:name="_Toc28091"/>
      <w:bookmarkStart w:id="37" w:name="_Toc13910"/>
      <w:r>
        <w:rPr>
          <w:rFonts w:hint="eastAsia"/>
        </w:rPr>
        <w:t>抓取规则</w:t>
      </w:r>
      <w:bookmarkEnd w:id="36"/>
      <w:bookmarkEnd w:id="37"/>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23471120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9256752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ind w:left="420" w:leftChars="200"/>
        <w:rPr>
          <w:rFonts w:hint="eastAsia"/>
        </w:rPr>
      </w:pPr>
    </w:p>
    <w:p>
      <w:pPr>
        <w:pStyle w:val="5"/>
        <w:spacing w:before="468" w:after="312"/>
      </w:pPr>
      <w:bookmarkStart w:id="38" w:name="_Toc24324"/>
      <w:bookmarkStart w:id="39" w:name="_Toc10699"/>
      <w:r>
        <w:rPr>
          <w:rFonts w:hint="eastAsia"/>
        </w:rPr>
        <w:t>历史</w:t>
      </w:r>
      <w:r>
        <w:t>数据</w:t>
      </w:r>
      <w:r>
        <w:rPr>
          <w:rFonts w:hint="eastAsia"/>
        </w:rPr>
        <w:t>清洗规则</w:t>
      </w:r>
      <w:bookmarkEnd w:id="38"/>
      <w:bookmarkEnd w:id="39"/>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45632825"/>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1358983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w:t>
      </w:r>
    </w:p>
    <w:p>
      <w:pPr>
        <w:pStyle w:val="5"/>
        <w:spacing w:before="468" w:after="312"/>
      </w:pPr>
      <w:bookmarkStart w:id="40" w:name="_Toc11690"/>
      <w:bookmarkStart w:id="41" w:name="_Toc11719"/>
      <w:r>
        <w:rPr>
          <w:rFonts w:hint="eastAsia"/>
        </w:rPr>
        <w:t>处理规则</w:t>
      </w:r>
      <w:bookmarkEnd w:id="40"/>
      <w:bookmarkEnd w:id="41"/>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3416932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cs="Times New Roman" w:asciiTheme="minorEastAsia" w:hAnsiTheme="minorEastAsia" w:eastAsiaTheme="minorEastAsia"/>
                    <w:b/>
                    <w:kern w:val="2"/>
                    <w:sz w:val="18"/>
                    <w:szCs w:val="18"/>
                    <w:lang w:val="en-US" w:eastAsia="zh-CN" w:bidi="ar-SA"/>
                  </w:rPr>
                  <w:t>√ 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745331212"/>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lang w:eastAsia="zh-CN"/>
        </w:rPr>
      </w:pPr>
      <w:r>
        <w:rPr>
          <w:rFonts w:hint="eastAsia"/>
          <w:lang w:eastAsia="zh-CN"/>
        </w:rPr>
        <w:t>（</w:t>
      </w:r>
      <w:r>
        <w:rPr>
          <w:rFonts w:hint="eastAsia"/>
          <w:lang w:val="en-US" w:eastAsia="zh-CN"/>
        </w:rPr>
        <w:t>1</w:t>
      </w:r>
      <w:r>
        <w:rPr>
          <w:rFonts w:hint="eastAsia"/>
          <w:lang w:eastAsia="zh-CN"/>
        </w:rPr>
        <w:t>）【内部编码】这个字段主要为了区分跨市场交易的债券，一种债券的在不同的交易流通市场会有不同内部编码，而且不同的交易流通市场付息兑付公告会有所差别，在银行间上市流通的债券付息兑付的公告时间一般比交易流通市场的要早。</w:t>
      </w:r>
    </w:p>
    <w:p>
      <w:pPr>
        <w:rPr>
          <w:rFonts w:hint="eastAsia"/>
          <w:lang w:eastAsia="zh-CN"/>
        </w:rPr>
      </w:pPr>
      <w:r>
        <w:rPr>
          <w:rFonts w:hint="eastAsia"/>
          <w:lang w:eastAsia="zh-CN"/>
        </w:rPr>
        <w:t>（</w:t>
      </w:r>
      <w:r>
        <w:rPr>
          <w:rFonts w:hint="eastAsia"/>
          <w:lang w:val="en-US" w:eastAsia="zh-CN"/>
        </w:rPr>
        <w:t>2</w:t>
      </w:r>
      <w:r>
        <w:rPr>
          <w:rFonts w:hint="eastAsia"/>
          <w:lang w:eastAsia="zh-CN"/>
        </w:rPr>
        <w:t>）有关国债的处理方式，国债主要分为凭证式国债、记账式附息国债、记账式贴现国债、电子式国债。记账式贴现国债的兑付形式主要是到期兑付，兑付价格是按面值兑付，无票面利率，只有参考收益率。储蓄（电子式）国债的的付息兑付方式主要是：按年付息，到期一次性还本。凭证式国债和记账式附息国债、主要有两种：一种是分期付息，到期兑付；另一种是到期一次性还本付息。有关付息兑付中的指标依据付息兑付公告上面的信息。国债的兑付的数据来源主要在中华人民共和国财政部网站</w:t>
      </w:r>
      <w:r>
        <w:rPr>
          <w:rFonts w:hint="eastAsia"/>
          <w:lang w:val="en-US" w:eastAsia="zh-CN"/>
        </w:rPr>
        <w:t>-</w:t>
      </w:r>
      <w:r>
        <w:rPr>
          <w:rFonts w:hint="eastAsia"/>
          <w:lang w:eastAsia="zh-CN"/>
        </w:rPr>
        <w:t>国债管理</w:t>
      </w:r>
      <w:r>
        <w:rPr>
          <w:rFonts w:hint="eastAsia"/>
          <w:lang w:val="en-US" w:eastAsia="zh-CN"/>
        </w:rPr>
        <w:t>-国债兑付上</w:t>
      </w:r>
      <w:r>
        <w:rPr>
          <w:rFonts w:hint="eastAsia"/>
          <w:lang w:eastAsia="zh-CN"/>
        </w:rPr>
        <w:t>：</w:t>
      </w:r>
    </w:p>
    <w:p>
      <w:pPr>
        <w:ind w:firstLine="420"/>
        <w:rPr>
          <w:rFonts w:hint="eastAsia"/>
          <w:lang w:eastAsia="zh-CN"/>
        </w:rPr>
      </w:pPr>
      <w:r>
        <w:rPr>
          <w:rFonts w:hint="eastAsia"/>
          <w:lang w:eastAsia="zh-CN"/>
        </w:rPr>
        <w:fldChar w:fldCharType="begin"/>
      </w:r>
      <w:r>
        <w:rPr>
          <w:rFonts w:hint="eastAsia"/>
          <w:lang w:eastAsia="zh-CN"/>
        </w:rPr>
        <w:instrText xml:space="preserve"> HYPERLINK "http://gks.mof.gov.cn/redianzhuanti/guozaiguanli/gzdf/" </w:instrText>
      </w:r>
      <w:r>
        <w:rPr>
          <w:rFonts w:hint="eastAsia"/>
          <w:lang w:eastAsia="zh-CN"/>
        </w:rPr>
        <w:fldChar w:fldCharType="separate"/>
      </w:r>
      <w:r>
        <w:rPr>
          <w:rStyle w:val="29"/>
          <w:rFonts w:hint="eastAsia"/>
          <w:lang w:eastAsia="zh-CN"/>
        </w:rPr>
        <w:t>http://gks.mof.gov.cn/redianzhuanti/guozaiguanli/gzdf/</w:t>
      </w:r>
      <w:r>
        <w:rPr>
          <w:rFonts w:hint="eastAsia"/>
          <w:lang w:eastAsia="zh-CN"/>
        </w:rPr>
        <w:fldChar w:fldCharType="end"/>
      </w:r>
    </w:p>
    <w:p>
      <w:pPr>
        <w:rPr>
          <w:rFonts w:hint="eastAsia"/>
          <w:lang w:eastAsia="zh-CN"/>
        </w:rPr>
      </w:pPr>
      <w:r>
        <w:rPr>
          <w:rFonts w:hint="eastAsia"/>
          <w:lang w:eastAsia="zh-CN"/>
        </w:rPr>
        <w:t>国债的付息情况来源主要是在上海证劵交易所网站上：</w:t>
      </w:r>
    </w:p>
    <w:p>
      <w:pPr>
        <w:rPr>
          <w:rFonts w:hint="eastAsia"/>
          <w:color w:val="5B9BD5" w:themeColor="accent1"/>
          <w:kern w:val="2"/>
          <w:sz w:val="21"/>
          <w:vertAlign w:val="baseline"/>
          <w:lang w:val="en-US" w:eastAsia="zh-CN" w:bidi="ar-SA"/>
          <w14:textFill>
            <w14:solidFill>
              <w14:schemeClr w14:val="accent1"/>
            </w14:solidFill>
          </w14:textFill>
        </w:rPr>
      </w:pP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"http://www.sse.com.cn/disclosure/overview/"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Style w:val="29"/>
          <w:rFonts w:hint="eastAsia"/>
          <w:color w:val="5B9BD5" w:themeColor="accent1"/>
          <w:kern w:val="2"/>
          <w:sz w:val="21"/>
          <w:vertAlign w:val="baseline"/>
          <w:lang w:val="en-US" w:eastAsia="zh-CN" w:bidi="ar-SA"/>
          <w14:textFill>
            <w14:solidFill>
              <w14:schemeClr w14:val="accent1"/>
            </w14:solidFill>
          </w14:textFill>
        </w:rPr>
        <w:t>http://www.sse.com.cn/disclosure/overview/</w:t>
      </w:r>
      <w:r>
        <w:rPr>
          <w:rFonts w:hint="eastAsia"/>
          <w:color w:val="5B9BD5" w:themeColor="accent1"/>
          <w:kern w:val="2"/>
          <w:sz w:val="21"/>
          <w:vertAlign w:val="baseline"/>
          <w:lang w:val="en-US" w:eastAsia="zh-CN" w:bidi="ar-SA"/>
          <w14:textFill>
            <w14:solidFill>
              <w14:schemeClr w14:val="accent1"/>
            </w14:solidFill>
          </w14:textFill>
        </w:rPr>
        <w:fldChar w:fldCharType="end"/>
      </w:r>
      <w:r>
        <w:rPr>
          <w:rFonts w:hint="eastAsia"/>
          <w:color w:val="5B9BD5" w:themeColor="accent1"/>
          <w:kern w:val="2"/>
          <w:sz w:val="21"/>
          <w:vertAlign w:val="baseline"/>
          <w:lang w:val="en-US" w:eastAsia="zh-CN" w:bidi="ar-SA"/>
          <w14:textFill>
            <w14:solidFill>
              <w14:schemeClr w14:val="accent1"/>
            </w14:solidFill>
          </w14:textFill>
        </w:rPr>
        <w:t xml:space="preserve">   上面的债券公告里</w:t>
      </w:r>
    </w:p>
    <w:p>
      <w:pPr>
        <w:numPr>
          <w:ilvl w:val="0"/>
          <w:numId w:val="3"/>
        </w:numPr>
        <w:rPr>
          <w:rFonts w:hint="eastAsia"/>
          <w:color w:val="auto"/>
          <w:kern w:val="2"/>
          <w:sz w:val="21"/>
          <w:vertAlign w:val="baseline"/>
          <w:lang w:val="en-US" w:eastAsia="zh-CN" w:bidi="ar-SA"/>
        </w:rPr>
      </w:pPr>
      <w:r>
        <w:rPr>
          <w:rFonts w:hint="eastAsia"/>
          <w:color w:val="auto"/>
          <w:kern w:val="2"/>
          <w:sz w:val="21"/>
          <w:vertAlign w:val="baseline"/>
          <w:lang w:val="en-US" w:eastAsia="zh-CN" w:bidi="ar-SA"/>
        </w:rPr>
        <w:t>【付息兑付方式】字段主要是为了区分付息、兑付、付息兑付、赎回、回售等方式。付息主要是处理债券分期付息的情况，兑付方式主要是处理贴现发行的债券。付息兑付处理的是付息与兑付同时发生的情况。有关赎回和回售主要针对的是特殊条款回售权和赎回权，具体的行权方式等特殊条款的内容放在特殊条款里面考虑。回售和赎回是兑付的一种特殊形式，在赎回和回售的过程中，主要存在以下几种公告类型：回售公告(回售实施公告、回售行权提示公告、回售实施结果公告、回售部分债券兑付公告)，赎回公告（赎回选择权公告、赎回选择权提示性公告、赎回实施公告、赎回结果公告），在赎回和回售中的实施公告中包括具体的赎回和回售的登记日期，也就是兑付日期，涉及到规模发生变动可以在规模表中考虑。</w:t>
      </w:r>
    </w:p>
    <w:p>
      <w:pPr>
        <w:numPr>
          <w:ilvl w:val="0"/>
          <w:numId w:val="3"/>
        </w:numPr>
        <w:rPr>
          <w:rFonts w:hint="eastAsia"/>
          <w:color w:val="auto"/>
          <w:kern w:val="2"/>
          <w:sz w:val="21"/>
          <w:vertAlign w:val="baseline"/>
          <w:lang w:val="en-US" w:eastAsia="zh-CN" w:bidi="ar-SA"/>
        </w:rPr>
      </w:pPr>
      <w:r>
        <w:rPr>
          <w:rFonts w:hint="eastAsia"/>
          <w:color w:val="auto"/>
          <w:kern w:val="2"/>
          <w:sz w:val="21"/>
          <w:vertAlign w:val="baseline"/>
          <w:lang w:val="en-US" w:eastAsia="zh-CN" w:bidi="ar-SA"/>
        </w:rPr>
        <w:t>【本金兑付方式】主要针对的是分期兑付的情况，只有</w:t>
      </w:r>
      <w:r>
        <w:rPr>
          <w:rFonts w:hint="eastAsia" w:ascii="宋体" w:hAnsi="宋体" w:eastAsia="宋体" w:cs="宋体"/>
          <w:b w:val="0"/>
          <w:i w:val="0"/>
          <w:caps w:val="0"/>
          <w:color w:val="000000"/>
          <w:spacing w:val="0"/>
          <w:sz w:val="22"/>
          <w:szCs w:val="22"/>
          <w:shd w:val="clear" w:fill="FFFFFF"/>
        </w:rPr>
        <w:t>付息兑付类型为“兑付、付息兑付”且为分期兑付的方式</w:t>
      </w:r>
      <w:r>
        <w:rPr>
          <w:rFonts w:hint="eastAsia" w:ascii="宋体" w:hAnsi="宋体" w:eastAsia="宋体" w:cs="宋体"/>
          <w:b w:val="0"/>
          <w:i w:val="0"/>
          <w:caps w:val="0"/>
          <w:color w:val="000000"/>
          <w:spacing w:val="0"/>
          <w:sz w:val="22"/>
          <w:szCs w:val="22"/>
          <w:shd w:val="clear" w:fill="FFFFFF"/>
          <w:lang w:eastAsia="zh-CN"/>
        </w:rPr>
        <w:t>才会存在。</w:t>
      </w:r>
    </w:p>
    <w:p>
      <w:pPr>
        <w:pStyle w:val="5"/>
        <w:spacing w:before="468" w:after="312"/>
      </w:pPr>
      <w:bookmarkStart w:id="42" w:name="_Toc2777"/>
      <w:bookmarkStart w:id="43" w:name="_Toc3901"/>
      <w:r>
        <w:rPr>
          <w:rFonts w:hint="eastAsia"/>
        </w:rPr>
        <w:t>核查规则</w:t>
      </w:r>
      <w:bookmarkEnd w:id="42"/>
      <w:bookmarkEnd w:id="43"/>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6149419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004633486"/>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数据</w:t>
      </w:r>
      <w:r>
        <w:t>稽核的规则，</w:t>
      </w:r>
      <w:r>
        <w:rPr>
          <w:rFonts w:hint="eastAsia"/>
        </w:rPr>
        <w:t>包括</w:t>
      </w:r>
      <w:r>
        <w:t>但不限于核查时间、频率</w:t>
      </w:r>
      <w:r>
        <w:rPr>
          <w:rFonts w:hint="eastAsia"/>
        </w:rPr>
        <w:t>，处理人员总结</w:t>
      </w:r>
      <w:r>
        <w:t>的核查经验、sql语句整理等等。</w:t>
      </w:r>
    </w:p>
    <w:p>
      <w:pPr>
        <w:pStyle w:val="5"/>
        <w:spacing w:before="468" w:after="312"/>
      </w:pPr>
      <w:bookmarkStart w:id="44" w:name="_Toc8397"/>
      <w:bookmarkStart w:id="45" w:name="_Toc28245"/>
      <w:r>
        <w:rPr>
          <w:rFonts w:hint="eastAsia"/>
        </w:rPr>
        <w:t>数据处理流程</w:t>
      </w:r>
      <w:bookmarkEnd w:id="44"/>
      <w:bookmarkEnd w:id="45"/>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514505867"/>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请选择</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070107060"/>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体">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瀹嬩綋">
    <w:altName w:val="宋体"/>
    <w:panose1 w:val="00000000000000000000"/>
    <w:charset w:val="86"/>
    <w:family w:val="auto"/>
    <w:pitch w:val="default"/>
    <w:sig w:usb0="00000000" w:usb1="00000000" w:usb2="00000000" w:usb3="00000000" w:csb0="00040000" w:csb1="00000000"/>
  </w:font>
  <w:font w:name="å®‹ä½“">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微软雅黑" w:hAnsi="微软雅黑" w:eastAsia="微软雅黑" w:cs="Calibri"/>
        <w:b/>
        <w:bCs/>
        <w:color w:val="ED6C00"/>
        <w:kern w:val="0"/>
        <w:sz w:val="24"/>
        <w:szCs w:val="24"/>
        <w:lang w:val="en-US" w:eastAsia="zh-CN" w:bidi="ar-SA"/>
      </w:rPr>
    </w:pPr>
    <w:r>
      <w:rPr>
        <w:rFonts w:hint="eastAsia" w:ascii="微软雅黑" w:hAnsi="微软雅黑" w:eastAsia="微软雅黑" w:cs="Calibri"/>
        <w:b/>
        <w:bCs/>
        <w:color w:val="ED6C00"/>
        <w:kern w:val="0"/>
        <w:sz w:val="24"/>
        <w:szCs w:val="24"/>
        <w:lang w:val="en-US" w:eastAsia="zh-CN" w:bidi="ar-SA"/>
      </w:rPr>
      <w:t>上海浦东新区张东路1388号科技领袖之都8号楼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4"/>
        <w:szCs w:val="24"/>
      </w:rPr>
    </w:pPr>
    <w:r>
      <w:rPr>
        <w:rFonts w:hint="eastAsia" w:ascii="微软雅黑" w:hAnsi="微软雅黑" w:eastAsia="微软雅黑" w:cs="Calibri"/>
        <w:b/>
        <w:bCs/>
        <w:color w:val="ED6C00"/>
        <w:kern w:val="0"/>
        <w:sz w:val="24"/>
        <w:szCs w:val="24"/>
      </w:rPr>
      <w:t>上海</w:t>
    </w:r>
    <w:r>
      <w:rPr>
        <w:rFonts w:ascii="微软雅黑" w:hAnsi="微软雅黑" w:eastAsia="微软雅黑" w:cs="Calibri"/>
        <w:b/>
        <w:bCs/>
        <w:color w:val="ED6C00"/>
        <w:kern w:val="0"/>
        <w:sz w:val="24"/>
        <w:szCs w:val="24"/>
      </w:rPr>
      <w:t>普兰金融</w:t>
    </w:r>
    <w:r>
      <w:rPr>
        <w:rFonts w:hint="eastAsia" w:ascii="微软雅黑" w:hAnsi="微软雅黑" w:eastAsia="微软雅黑" w:cs="Calibri"/>
        <w:b/>
        <w:bCs/>
        <w:color w:val="ED6C00"/>
        <w:kern w:val="0"/>
        <w:sz w:val="24"/>
        <w:szCs w:val="24"/>
      </w:rPr>
      <w:t>服务有限公司</w:t>
    </w:r>
    <w:r>
      <w:rPr>
        <w:rFonts w:hint="eastAsia" w:ascii="微软雅黑" w:hAnsi="微软雅黑" w:eastAsia="微软雅黑" w:cs="Calibri"/>
        <w:b/>
        <w:bCs/>
        <w:color w:val="ED6C00"/>
        <w:kern w:val="0"/>
        <w:sz w:val="24"/>
        <w:szCs w:val="24"/>
        <w:lang w:val="en-US" w:eastAsia="zh-CN"/>
      </w:rPr>
      <w:t xml:space="preserve">                           </w:t>
    </w:r>
    <w:r>
      <w:rPr>
        <w:rFonts w:hint="eastAsia" w:ascii="楷体_GB2312" w:hAnsi="Tahoma" w:eastAsia="楷体_GB2312" w:cs="Tahoma"/>
        <w:bCs/>
        <w:kern w:val="0"/>
        <w:sz w:val="20"/>
      </w:rPr>
      <w:t>数据中心_数据业务规划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4F58"/>
    <w:multiLevelType w:val="multilevel"/>
    <w:tmpl w:val="56EF4F58"/>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0">
      <w:start w:val="1"/>
      <w:numFmt w:val="decimal"/>
      <w:pStyle w:val="5"/>
      <w:lvlText w:val="%1.%2.%3."/>
      <w:lvlJc w:val="left"/>
      <w:pPr>
        <w:tabs>
          <w:tab w:val="left" w:pos="720"/>
        </w:tabs>
        <w:ind w:left="720" w:leftChars="0" w:hanging="720" w:firstLineChars="0"/>
      </w:pPr>
      <w:rPr>
        <w:rFonts w:hint="default" w:ascii="宋体" w:hAnsi="宋体" w:eastAsia="宋体" w:cs="宋体"/>
      </w:rPr>
    </w:lvl>
    <w:lvl w:ilvl="3" w:tentative="0">
      <w:start w:val="1"/>
      <w:numFmt w:val="decimal"/>
      <w:pStyle w:val="6"/>
      <w:lvlText w:val="%1.%2.%3.%4."/>
      <w:lvlJc w:val="left"/>
      <w:pPr>
        <w:tabs>
          <w:tab w:val="left" w:pos="864"/>
        </w:tabs>
        <w:ind w:left="864" w:leftChars="0" w:hanging="864" w:firstLineChars="0"/>
      </w:pPr>
      <w:rPr>
        <w:rFonts w:hint="default" w:ascii="宋体" w:hAnsi="宋体" w:eastAsia="宋体" w:cs="宋体"/>
      </w:rPr>
    </w:lvl>
    <w:lvl w:ilvl="4" w:tentative="0">
      <w:start w:val="1"/>
      <w:numFmt w:val="decimal"/>
      <w:pStyle w:val="7"/>
      <w:lvlText w:val="%1.%2.%3.%4.%5."/>
      <w:lvlJc w:val="left"/>
      <w:pPr>
        <w:tabs>
          <w:tab w:val="left" w:pos="1008"/>
        </w:tabs>
        <w:ind w:left="1008" w:leftChars="0" w:hanging="1008" w:firstLineChars="0"/>
      </w:pPr>
      <w:rPr>
        <w:rFonts w:hint="default" w:ascii="宋体" w:hAnsi="宋体" w:eastAsia="宋体" w:cs="宋体"/>
      </w:rPr>
    </w:lvl>
    <w:lvl w:ilvl="5" w:tentative="0">
      <w:start w:val="1"/>
      <w:numFmt w:val="decimal"/>
      <w:pStyle w:val="8"/>
      <w:lvlText w:val="%1.%2.%3.%4.%5.%6."/>
      <w:lvlJc w:val="left"/>
      <w:pPr>
        <w:tabs>
          <w:tab w:val="left" w:pos="1151"/>
        </w:tabs>
        <w:ind w:left="1151" w:leftChars="0" w:hanging="1151" w:firstLineChars="0"/>
      </w:pPr>
      <w:rPr>
        <w:rFonts w:hint="default" w:ascii="宋体" w:hAnsi="宋体" w:eastAsia="宋体" w:cs="宋体"/>
      </w:rPr>
    </w:lvl>
    <w:lvl w:ilvl="6" w:tentative="0">
      <w:start w:val="1"/>
      <w:numFmt w:val="decimal"/>
      <w:pStyle w:val="9"/>
      <w:lvlText w:val="%1.%2.%3.%4.%5.%6.%7."/>
      <w:lvlJc w:val="left"/>
      <w:pPr>
        <w:tabs>
          <w:tab w:val="left" w:pos="1296"/>
        </w:tabs>
        <w:ind w:left="1296" w:leftChars="0" w:hanging="1296" w:firstLineChars="0"/>
      </w:pPr>
      <w:rPr>
        <w:rFonts w:hint="default" w:ascii="宋体" w:hAnsi="宋体" w:eastAsia="宋体" w:cs="宋体"/>
      </w:rPr>
    </w:lvl>
    <w:lvl w:ilvl="7" w:tentative="0">
      <w:start w:val="1"/>
      <w:numFmt w:val="decimal"/>
      <w:pStyle w:val="10"/>
      <w:lvlText w:val="%1.%2.%3.%4.%5.%6.%7.%8."/>
      <w:lvlJc w:val="left"/>
      <w:pPr>
        <w:tabs>
          <w:tab w:val="left" w:pos="1440"/>
        </w:tabs>
        <w:ind w:left="1440" w:leftChars="0" w:hanging="1440" w:firstLineChars="0"/>
      </w:pPr>
      <w:rPr>
        <w:rFonts w:hint="default" w:ascii="宋体" w:hAnsi="宋体" w:eastAsia="宋体" w:cs="宋体"/>
      </w:rPr>
    </w:lvl>
    <w:lvl w:ilvl="8" w:tentative="0">
      <w:start w:val="1"/>
      <w:numFmt w:val="decimal"/>
      <w:pStyle w:val="11"/>
      <w:lvlText w:val="%1.%2.%3.%4.%5.%6.%7.%8.%9."/>
      <w:lvlJc w:val="left"/>
      <w:pPr>
        <w:tabs>
          <w:tab w:val="left" w:pos="1583"/>
        </w:tabs>
        <w:ind w:left="1583" w:leftChars="0" w:hanging="1583" w:firstLineChars="0"/>
      </w:pPr>
      <w:rPr>
        <w:rFonts w:hint="default" w:ascii="宋体" w:hAnsi="宋体" w:eastAsia="宋体" w:cs="宋体"/>
      </w:rPr>
    </w:lvl>
  </w:abstractNum>
  <w:abstractNum w:abstractNumId="1">
    <w:nsid w:val="57353367"/>
    <w:multiLevelType w:val="singleLevel"/>
    <w:tmpl w:val="57353367"/>
    <w:lvl w:ilvl="0" w:tentative="0">
      <w:start w:val="1"/>
      <w:numFmt w:val="decimal"/>
      <w:suff w:val="nothing"/>
      <w:lvlText w:val="%1、"/>
      <w:lvlJc w:val="left"/>
    </w:lvl>
  </w:abstractNum>
  <w:abstractNum w:abstractNumId="2">
    <w:nsid w:val="576378BF"/>
    <w:multiLevelType w:val="singleLevel"/>
    <w:tmpl w:val="576378BF"/>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40A69"/>
    <w:rsid w:val="01241E4F"/>
    <w:rsid w:val="015B3C74"/>
    <w:rsid w:val="01751501"/>
    <w:rsid w:val="017F4A9B"/>
    <w:rsid w:val="025A5CB1"/>
    <w:rsid w:val="026A3D04"/>
    <w:rsid w:val="02912F40"/>
    <w:rsid w:val="02C572F9"/>
    <w:rsid w:val="0579291E"/>
    <w:rsid w:val="061D4115"/>
    <w:rsid w:val="062051B0"/>
    <w:rsid w:val="06D363E3"/>
    <w:rsid w:val="0776780F"/>
    <w:rsid w:val="08502DB0"/>
    <w:rsid w:val="087A1844"/>
    <w:rsid w:val="0997582C"/>
    <w:rsid w:val="0A0701D4"/>
    <w:rsid w:val="0A1A34AC"/>
    <w:rsid w:val="0A1D527E"/>
    <w:rsid w:val="0A452967"/>
    <w:rsid w:val="0AAE4AEC"/>
    <w:rsid w:val="0C2A34E2"/>
    <w:rsid w:val="0CE17750"/>
    <w:rsid w:val="0DDE65FB"/>
    <w:rsid w:val="0E98447E"/>
    <w:rsid w:val="0F5471DD"/>
    <w:rsid w:val="10CE6318"/>
    <w:rsid w:val="12160308"/>
    <w:rsid w:val="126903BB"/>
    <w:rsid w:val="14736A94"/>
    <w:rsid w:val="14AD3FAA"/>
    <w:rsid w:val="14E93EF0"/>
    <w:rsid w:val="15A06B8B"/>
    <w:rsid w:val="15A62093"/>
    <w:rsid w:val="19F759F7"/>
    <w:rsid w:val="1A79091E"/>
    <w:rsid w:val="1B266AB7"/>
    <w:rsid w:val="1EEA44A5"/>
    <w:rsid w:val="21D86A88"/>
    <w:rsid w:val="21EE61D5"/>
    <w:rsid w:val="22175E1A"/>
    <w:rsid w:val="24D84978"/>
    <w:rsid w:val="277B3B10"/>
    <w:rsid w:val="27C82253"/>
    <w:rsid w:val="27F778AA"/>
    <w:rsid w:val="28963BA5"/>
    <w:rsid w:val="29652DAC"/>
    <w:rsid w:val="2A1E4926"/>
    <w:rsid w:val="2C1C0D2D"/>
    <w:rsid w:val="2C622203"/>
    <w:rsid w:val="2DC6412A"/>
    <w:rsid w:val="2EA1254C"/>
    <w:rsid w:val="2F1F3019"/>
    <w:rsid w:val="2FD54B7F"/>
    <w:rsid w:val="30ED1107"/>
    <w:rsid w:val="310205E8"/>
    <w:rsid w:val="35C10D3F"/>
    <w:rsid w:val="38091280"/>
    <w:rsid w:val="38D435D1"/>
    <w:rsid w:val="39E845E7"/>
    <w:rsid w:val="3A020E88"/>
    <w:rsid w:val="3A2C7100"/>
    <w:rsid w:val="3AE865BB"/>
    <w:rsid w:val="3B6C5848"/>
    <w:rsid w:val="3BF01D9B"/>
    <w:rsid w:val="3BF87BB3"/>
    <w:rsid w:val="3CAB18B5"/>
    <w:rsid w:val="3CC7390E"/>
    <w:rsid w:val="3D85687C"/>
    <w:rsid w:val="3E1A41AC"/>
    <w:rsid w:val="3E385768"/>
    <w:rsid w:val="3EA9131F"/>
    <w:rsid w:val="3FCD6C05"/>
    <w:rsid w:val="415623B5"/>
    <w:rsid w:val="4185788C"/>
    <w:rsid w:val="41B92C5D"/>
    <w:rsid w:val="42E77C2E"/>
    <w:rsid w:val="43D36F48"/>
    <w:rsid w:val="43EC12FF"/>
    <w:rsid w:val="44A87F9F"/>
    <w:rsid w:val="44D06E2B"/>
    <w:rsid w:val="44EB3421"/>
    <w:rsid w:val="456C4A90"/>
    <w:rsid w:val="46954691"/>
    <w:rsid w:val="46DF6BDC"/>
    <w:rsid w:val="486556CD"/>
    <w:rsid w:val="48D92D93"/>
    <w:rsid w:val="48F3339D"/>
    <w:rsid w:val="49001007"/>
    <w:rsid w:val="49707877"/>
    <w:rsid w:val="4A144698"/>
    <w:rsid w:val="4A81732C"/>
    <w:rsid w:val="4B94190D"/>
    <w:rsid w:val="4C415DB7"/>
    <w:rsid w:val="4C885F2B"/>
    <w:rsid w:val="4D042331"/>
    <w:rsid w:val="4DAF5C7F"/>
    <w:rsid w:val="4E072BD1"/>
    <w:rsid w:val="4F1373C2"/>
    <w:rsid w:val="4F43529A"/>
    <w:rsid w:val="53950C8A"/>
    <w:rsid w:val="541719E0"/>
    <w:rsid w:val="54BA4349"/>
    <w:rsid w:val="57577E3D"/>
    <w:rsid w:val="57856723"/>
    <w:rsid w:val="59051504"/>
    <w:rsid w:val="592F08C0"/>
    <w:rsid w:val="59754CD5"/>
    <w:rsid w:val="59C8345A"/>
    <w:rsid w:val="59F21B44"/>
    <w:rsid w:val="5A413346"/>
    <w:rsid w:val="5A687659"/>
    <w:rsid w:val="5B435D88"/>
    <w:rsid w:val="5D30275D"/>
    <w:rsid w:val="5ECC1F13"/>
    <w:rsid w:val="60080C51"/>
    <w:rsid w:val="602E7B36"/>
    <w:rsid w:val="60314C18"/>
    <w:rsid w:val="62011FCD"/>
    <w:rsid w:val="620F5A75"/>
    <w:rsid w:val="625A6C6C"/>
    <w:rsid w:val="62B00B1B"/>
    <w:rsid w:val="63070E75"/>
    <w:rsid w:val="635E597D"/>
    <w:rsid w:val="64F841C6"/>
    <w:rsid w:val="659A7793"/>
    <w:rsid w:val="65F928DE"/>
    <w:rsid w:val="672F0459"/>
    <w:rsid w:val="68CE0C94"/>
    <w:rsid w:val="69C13844"/>
    <w:rsid w:val="6A610FCE"/>
    <w:rsid w:val="6A870654"/>
    <w:rsid w:val="6AF82D3C"/>
    <w:rsid w:val="6CC101E4"/>
    <w:rsid w:val="6D6E09B8"/>
    <w:rsid w:val="715911C0"/>
    <w:rsid w:val="72D30C6F"/>
    <w:rsid w:val="72EB6D4A"/>
    <w:rsid w:val="73C4063D"/>
    <w:rsid w:val="74452FED"/>
    <w:rsid w:val="744B5DA5"/>
    <w:rsid w:val="747F454E"/>
    <w:rsid w:val="748E63F1"/>
    <w:rsid w:val="75260C08"/>
    <w:rsid w:val="764F03EA"/>
    <w:rsid w:val="77A85D1B"/>
    <w:rsid w:val="78B00D32"/>
    <w:rsid w:val="792B0E7A"/>
    <w:rsid w:val="79960CDC"/>
    <w:rsid w:val="79BF6422"/>
    <w:rsid w:val="7B1E0809"/>
    <w:rsid w:val="7C130D04"/>
    <w:rsid w:val="7DCA5FC0"/>
    <w:rsid w:val="7DF14B33"/>
    <w:rsid w:val="7EBB3BC3"/>
    <w:rsid w:val="7F2C38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34">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7"/>
    <w:basedOn w:val="1"/>
    <w:next w:val="1"/>
    <w:qFormat/>
    <w:uiPriority w:val="0"/>
    <w:pPr>
      <w:ind w:left="2520" w:leftChars="1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2"/>
    <w:basedOn w:val="1"/>
    <w:next w:val="1"/>
    <w:qFormat/>
    <w:uiPriority w:val="0"/>
    <w:pPr>
      <w:ind w:left="420" w:leftChars="200"/>
    </w:pPr>
  </w:style>
  <w:style w:type="paragraph" w:styleId="22">
    <w:name w:val="toc 9"/>
    <w:basedOn w:val="1"/>
    <w:next w:val="1"/>
    <w:qFormat/>
    <w:uiPriority w:val="0"/>
    <w:pPr>
      <w:ind w:left="3360" w:leftChars="1600"/>
    </w:pPr>
  </w:style>
  <w:style w:type="character" w:styleId="24">
    <w:name w:val="Strong"/>
    <w:basedOn w:val="23"/>
    <w:qFormat/>
    <w:uiPriority w:val="0"/>
    <w:rPr>
      <w:b/>
    </w:rPr>
  </w:style>
  <w:style w:type="character" w:styleId="25">
    <w:name w:val="FollowedHyperlink"/>
    <w:basedOn w:val="23"/>
    <w:qFormat/>
    <w:uiPriority w:val="0"/>
    <w:rPr>
      <w:color w:val="338DE6"/>
      <w:u w:val="none"/>
    </w:rPr>
  </w:style>
  <w:style w:type="character" w:styleId="26">
    <w:name w:val="Emphasis"/>
    <w:basedOn w:val="23"/>
    <w:qFormat/>
    <w:uiPriority w:val="0"/>
  </w:style>
  <w:style w:type="character" w:styleId="27">
    <w:name w:val="HTML Definition"/>
    <w:basedOn w:val="23"/>
    <w:qFormat/>
    <w:uiPriority w:val="0"/>
  </w:style>
  <w:style w:type="character" w:styleId="28">
    <w:name w:val="HTML Variable"/>
    <w:basedOn w:val="23"/>
    <w:qFormat/>
    <w:uiPriority w:val="0"/>
  </w:style>
  <w:style w:type="character" w:styleId="29">
    <w:name w:val="Hyperlink"/>
    <w:basedOn w:val="23"/>
    <w:qFormat/>
    <w:uiPriority w:val="0"/>
    <w:rPr>
      <w:color w:val="338DE6"/>
      <w:u w:val="none"/>
    </w:rPr>
  </w:style>
  <w:style w:type="character" w:styleId="30">
    <w:name w:val="HTML Code"/>
    <w:basedOn w:val="23"/>
    <w:qFormat/>
    <w:uiPriority w:val="0"/>
    <w:rPr>
      <w:rFonts w:hint="default" w:ascii="monospace" w:hAnsi="monospace" w:eastAsia="monospace" w:cs="monospace"/>
      <w:sz w:val="21"/>
      <w:szCs w:val="21"/>
    </w:rPr>
  </w:style>
  <w:style w:type="character" w:styleId="31">
    <w:name w:val="HTML Cite"/>
    <w:basedOn w:val="23"/>
    <w:qFormat/>
    <w:uiPriority w:val="0"/>
  </w:style>
  <w:style w:type="character" w:styleId="32">
    <w:name w:val="HTML Keyboard"/>
    <w:basedOn w:val="23"/>
    <w:qFormat/>
    <w:uiPriority w:val="0"/>
    <w:rPr>
      <w:rFonts w:hint="default" w:ascii="monospace" w:hAnsi="monospace" w:eastAsia="monospace" w:cs="monospace"/>
      <w:sz w:val="21"/>
      <w:szCs w:val="21"/>
    </w:rPr>
  </w:style>
  <w:style w:type="character" w:styleId="33">
    <w:name w:val="HTML Sample"/>
    <w:basedOn w:val="23"/>
    <w:qFormat/>
    <w:uiPriority w:val="0"/>
    <w:rPr>
      <w:rFonts w:ascii="monospace" w:hAnsi="monospace" w:eastAsia="monospace" w:cs="monospace"/>
      <w:sz w:val="21"/>
      <w:szCs w:val="21"/>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36">
    <w:name w:val="Placeholder Text"/>
    <w:semiHidden/>
    <w:qFormat/>
    <w:uiPriority w:val="99"/>
    <w:rPr>
      <w:color w:val="808080"/>
    </w:rPr>
  </w:style>
  <w:style w:type="character" w:customStyle="1" w:styleId="37">
    <w:name w:val="fontborder"/>
    <w:basedOn w:val="23"/>
    <w:qFormat/>
    <w:uiPriority w:val="0"/>
    <w:rPr>
      <w:bdr w:val="single" w:color="000000" w:sz="6" w:space="0"/>
    </w:rPr>
  </w:style>
  <w:style w:type="character" w:customStyle="1" w:styleId="38">
    <w:name w:val="fontstrikethrough"/>
    <w:basedOn w:val="23"/>
    <w:qFormat/>
    <w:uiPriority w:val="0"/>
    <w:rPr>
      <w:strike/>
    </w:rPr>
  </w:style>
  <w:style w:type="table" w:customStyle="1" w:styleId="39">
    <w:name w:val="常规1"/>
    <w:basedOn w:val="34"/>
    <w:qFormat/>
    <w:uiPriority w:val="0"/>
    <w:pPr>
      <w:textAlignment w:val="center"/>
    </w:pPr>
    <w:rPr>
      <w:rFonts w:hint="eastAsia" w:ascii="宋体" w:hAnsi="宋体" w:eastAsia="宋体" w:cs="宋体"/>
      <w:color w:val="auto"/>
      <w:sz w:val="24"/>
      <w:szCs w:val="24"/>
      <w:u w:val="none"/>
    </w:rPr>
    <w:tblPr>
      <w:tblLayout w:type="fixed"/>
    </w:tblPr>
    <w:tcPr>
      <w:tcBorders>
        <w:top w:val="nil"/>
        <w:left w:val="nil"/>
        <w:bottom w:val="nil"/>
        <w:right w:val="nil"/>
      </w:tcBorders>
      <w:vAlign w:val="center"/>
    </w:tcPr>
  </w:style>
  <w:style w:type="table" w:customStyle="1" w:styleId="40">
    <w:name w:val="常规_基金费率表1"/>
    <w:basedOn w:val="34"/>
    <w:qFormat/>
    <w:uiPriority w:val="0"/>
    <w:pPr>
      <w:textAlignment w:val="center"/>
    </w:pPr>
    <w:rPr>
      <w:rFonts w:hint="eastAsia" w:ascii="宋体" w:hAnsi="宋体" w:eastAsia="宋体" w:cs="宋体"/>
      <w:color w:val="auto"/>
      <w:sz w:val="18"/>
      <w:szCs w:val="18"/>
      <w:u w:val="none"/>
    </w:rPr>
    <w:tblPr>
      <w:tblLayout w:type="fixed"/>
    </w:tblPr>
    <w:tcPr>
      <w:tcBorders>
        <w:top w:val="nil"/>
        <w:left w:val="nil"/>
        <w:bottom w:val="nil"/>
        <w:right w:val="nil"/>
      </w:tcBorders>
      <w:vAlign w:val="center"/>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2016-03-21T01:17:00Z</dcterms:created>
  <dc:creator>zhuminjian</dc:creator>
  <cp:lastModifiedBy>huangshuo</cp:lastModifiedBy>
  <dcterms:modified xsi:type="dcterms:W3CDTF">2016-10-20T06:10:30Z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