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35"/>
        <w:tblpPr w:leftFromText="182" w:rightFromText="182" w:vertAnchor="page" w:horzAnchor="page" w:tblpXSpec="center" w:tblpY="11403"/>
        <w:tblOverlap w:val="never"/>
        <w:tblW w:w="907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0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50" w:hRule="atLeast"/>
          <w:jc w:val="center"/>
        </w:trPr>
        <w:tc>
          <w:tcPr>
            <w:tcW w:w="9077" w:type="dxa"/>
            <w:vAlign w:val="center"/>
          </w:tcPr>
          <w:sdt>
            <w:sdtPr>
              <w:rPr>
                <w:b/>
                <w:bCs/>
                <w:color w:val="44546A" w:themeColor="text2"/>
                <w:sz w:val="72"/>
                <w:szCs w:val="72"/>
                <w14:textFill>
                  <w14:solidFill>
                    <w14:schemeClr w14:val="tx2"/>
                  </w14:solidFill>
                </w14:textFill>
              </w:rPr>
              <w:alias w:val="标题"/>
              <w:id w:val="1867867681"/>
              <w15:dataBinding w:prefixMappings="xmlns:ns0='http://schemas.openxmlformats.org/package/2006/metadata/core-properties' xmlns:ns1='http://purl.org/dc/elements/1.1/'" w:xpath="/ns0:coreProperties[1]/ns1:title[1]" w:storeItemID="{6C3C8BC8-F283-45AE-878A-BAB7291924A1}"/>
              <w:text/>
            </w:sdtPr>
            <w:sdtEndPr>
              <w:rPr>
                <w:b/>
                <w:bCs/>
                <w:color w:val="F2B600"/>
                <w:sz w:val="72"/>
                <w:szCs w:val="72"/>
              </w:rPr>
            </w:sdtEndPr>
            <w:sdtContent>
              <w:p>
                <w:pPr>
                  <w:jc w:val="center"/>
                  <w:rPr>
                    <w:b/>
                    <w:bCs/>
                    <w:color w:val="F2B600"/>
                    <w:sz w:val="72"/>
                    <w:szCs w:val="72"/>
                  </w:rPr>
                </w:pPr>
                <w:r>
                  <w:rPr>
                    <w:rFonts w:hint="eastAsia"/>
                    <w:b/>
                    <w:bCs/>
                    <w:color w:val="F2B600"/>
                    <w:sz w:val="72"/>
                    <w:szCs w:val="72"/>
                  </w:rPr>
                  <w:t>上海</w:t>
                </w:r>
                <w:r>
                  <w:rPr>
                    <w:b/>
                    <w:bCs/>
                    <w:color w:val="F2B600"/>
                    <w:sz w:val="72"/>
                    <w:szCs w:val="72"/>
                  </w:rPr>
                  <w:t>普兰金融</w:t>
                </w:r>
                <w:r>
                  <w:rPr>
                    <w:rFonts w:hint="eastAsia"/>
                    <w:b/>
                    <w:bCs/>
                    <w:color w:val="F2B600"/>
                    <w:sz w:val="72"/>
                    <w:szCs w:val="72"/>
                  </w:rPr>
                  <w:t>服务有限公司</w:t>
                </w:r>
              </w:p>
            </w:sdtContent>
          </w:sdt>
          <w:sdt>
            <w:sdtPr>
              <w:rPr>
                <w:b/>
                <w:bCs/>
                <w:color w:val="F2B600"/>
                <w:sz w:val="40"/>
                <w:szCs w:val="40"/>
              </w:rPr>
              <w:alias w:val="副标题"/>
              <w:id w:val="1360013413"/>
              <w15:dataBinding w:prefixMappings="xmlns:ns0='http://schemas.openxmlformats.org/package/2006/metadata/core-properties' xmlns:ns1='http://purl.org/dc/elements/1.1/'" w:xpath="/ns0:coreProperties[1]/ns1:subject[1]" w:storeItemID="{6C3C8BC8-F283-45AE-878A-BAB7291924A1}"/>
              <w:text/>
            </w:sdtPr>
            <w:sdtEndPr>
              <w:rPr>
                <w:b/>
                <w:bCs/>
                <w:color w:val="F2B600"/>
                <w:sz w:val="40"/>
                <w:szCs w:val="40"/>
              </w:rPr>
            </w:sdtEndPr>
            <w:sdtContent>
              <w:p>
                <w:pPr>
                  <w:jc w:val="left"/>
                  <w:rPr>
                    <w:b/>
                    <w:bCs/>
                    <w:color w:val="F2B600"/>
                    <w:sz w:val="40"/>
                    <w:szCs w:val="40"/>
                  </w:rPr>
                </w:pPr>
                <w:r>
                  <w:rPr>
                    <w:rFonts w:hint="eastAsia"/>
                    <w:b/>
                    <w:bCs/>
                    <w:color w:val="F2B600"/>
                    <w:sz w:val="40"/>
                    <w:szCs w:val="40"/>
                  </w:rPr>
                  <w:t>数据中心</w:t>
                </w:r>
              </w:p>
            </w:sdtContent>
          </w:sdt>
          <w:p>
            <w:pPr>
              <w:jc w:val="left"/>
              <w:rPr>
                <w:rFonts w:hint="eastAsia"/>
                <w:b/>
                <w:bCs/>
                <w:color w:val="5B9BD5" w:themeColor="accent1"/>
                <w:sz w:val="40"/>
                <w:szCs w:val="40"/>
                <w14:textFill>
                  <w14:solidFill>
                    <w14:schemeClr w14:val="accent1"/>
                  </w14:solidFill>
                </w14:textFill>
              </w:rPr>
            </w:pPr>
            <w:r>
              <w:rPr>
                <w:rFonts w:hint="eastAsia"/>
                <w:b/>
                <w:bCs/>
                <w:color w:val="F2B600"/>
                <w:sz w:val="28"/>
                <w:szCs w:val="28"/>
              </w:rPr>
              <w:t>数据业务规划</w:t>
            </w:r>
          </w:p>
        </w:tc>
      </w:tr>
    </w:tbl>
    <w:p>
      <w:pPr>
        <w:rPr>
          <w:rFonts w:hint="eastAsia"/>
        </w:rPr>
      </w:pPr>
      <w:r>
        <w:rPr>
          <w:rFonts w:hint="eastAsia"/>
          <w:lang w:val="zh-CN" w:eastAsia="zh-CN"/>
        </w:rPr>
        <w:pict>
          <v:shape id="_x0000_s1027" o:spid="_x0000_s1027" o:spt="75" type="#_x0000_t75" style="position:absolute;left:0pt;margin-left:-2.25pt;margin-top:-75.75pt;height:633.05pt;width:596.4pt;mso-position-horizontal-relative:page;mso-position-vertical-relative:page;z-index:-251658240;mso-width-relative:page;mso-height-relative:page;" filled="f" o:preferrelative="t" stroked="f" coordsize="21600,21600">
            <v:path/>
            <v:fill on="f" focussize="0,0"/>
            <v:stroke on="f"/>
            <v:imagedata r:id="rId6" o:title="dcd8b760b3af74b7f6365404"/>
            <o:lock v:ext="edit" grouping="f" rotation="f" text="f" aspectratio="t"/>
          </v:shape>
        </w:pict>
      </w:r>
      <w:r>
        <w:rPr>
          <w:rFonts w:hint="eastAsia"/>
          <w:lang w:val="en-US" w:eastAsia="zh-CN"/>
        </w:rPr>
        <w:t xml:space="preserve"> </w:t>
      </w:r>
      <w:r>
        <w:rPr>
          <w:rFonts w:hint="eastAsia"/>
          <w:lang w:val="en-US" w:eastAsia="zh-CN"/>
        </w:rPr>
        <w:tab/>
      </w:r>
    </w:p>
    <w:p>
      <w:p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19"/>
        <w:tabs>
          <w:tab w:val="right" w:leader="dot" w:pos="8306"/>
        </w:tabs>
        <w:jc w:val="center"/>
        <w:rPr>
          <w:rFonts w:hint="eastAsia"/>
          <w:lang w:eastAsia="zh-CN"/>
        </w:rPr>
      </w:pPr>
      <w:bookmarkStart w:id="0" w:name="_Toc9481"/>
      <w:r>
        <w:rPr>
          <w:rFonts w:hint="eastAsia"/>
          <w:lang w:eastAsia="zh-CN"/>
        </w:rPr>
        <w:t>目</w:t>
      </w:r>
      <w:r>
        <w:rPr>
          <w:rFonts w:hint="eastAsia"/>
          <w:lang w:val="en-US" w:eastAsia="zh-CN"/>
        </w:rPr>
        <w:t xml:space="preserve">     </w:t>
      </w:r>
      <w:r>
        <w:rPr>
          <w:rFonts w:hint="eastAsia"/>
          <w:lang w:eastAsia="zh-CN"/>
        </w:rPr>
        <w:t>录</w:t>
      </w:r>
    </w:p>
    <w:p>
      <w:pPr>
        <w:rPr>
          <w:rFonts w:hint="eastAsia"/>
          <w:lang w:eastAsia="zh-CN"/>
        </w:rPr>
      </w:pPr>
    </w:p>
    <w:p>
      <w:pPr>
        <w:pStyle w:val="19"/>
        <w:tabs>
          <w:tab w:val="right" w:leader="dot" w:pos="8306"/>
        </w:tabs>
        <w:rPr>
          <w:rFonts w:ascii="Times New Roman" w:hAnsi="Times New Roman" w:eastAsia="宋体" w:cs="Times New Roman"/>
          <w:kern w:val="2"/>
          <w:lang w:val="en-US" w:eastAsia="zh-CN" w:bidi="ar-SA"/>
        </w:rPr>
      </w:pPr>
      <w:r>
        <w:fldChar w:fldCharType="begin"/>
      </w:r>
      <w:r>
        <w:instrText xml:space="preserve">TOC \o "1-3" \h \u </w:instrText>
      </w:r>
      <w:r>
        <w:fldChar w:fldCharType="separate"/>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_Toc12106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hint="default" w:ascii="Times New Roman" w:hAnsi="Times New Roman" w:eastAsia="宋体" w:cs="Times New Roman"/>
          <w:kern w:val="44"/>
          <w:lang w:val="en-US" w:eastAsia="zh-CN" w:bidi="ar-SA"/>
        </w:rPr>
        <w:t xml:space="preserve">. </w:t>
      </w:r>
      <w:r>
        <w:rPr>
          <w:rFonts w:hint="eastAsia" w:ascii="Times New Roman" w:hAnsi="Times New Roman" w:eastAsia="宋体" w:cs="Times New Roman"/>
          <w:kern w:val="2"/>
          <w:lang w:val="en-US" w:eastAsia="zh-CN" w:bidi="ar-SA"/>
        </w:rPr>
        <w:t>项目总览与实施情况</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_Toc12106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hint="default" w:ascii="Times New Roman" w:hAnsi="Times New Roman" w:eastAsia="宋体" w:cs="Times New Roman"/>
          <w:kern w:val="44"/>
          <w:lang w:val="en-US" w:eastAsia="zh-CN" w:bidi="ar-SA"/>
        </w:rPr>
        <w:fldChar w:fldCharType="end"/>
      </w:r>
    </w:p>
    <w:p>
      <w:pPr>
        <w:pStyle w:val="22"/>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_Toc31814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hint="default" w:ascii="宋体" w:hAnsi="宋体" w:eastAsia="宋体" w:cs="宋体"/>
          <w:kern w:val="2"/>
          <w:lang w:val="en-US" w:eastAsia="zh-CN" w:bidi="ar-SA"/>
        </w:rPr>
        <w:t xml:space="preserve">.1. </w:t>
      </w:r>
      <w:r>
        <w:rPr>
          <w:rFonts w:hint="eastAsia" w:ascii="Times New Roman" w:hAnsi="Times New Roman" w:eastAsia="宋体" w:cs="Times New Roman"/>
          <w:kern w:val="2"/>
          <w:lang w:val="en-US" w:eastAsia="zh-CN" w:bidi="ar-SA"/>
        </w:rPr>
        <w:t>概览</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_Toc31814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22"/>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_Toc16363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hint="default" w:ascii="宋体" w:hAnsi="宋体" w:eastAsia="宋体" w:cs="宋体"/>
          <w:kern w:val="2"/>
          <w:lang w:val="en-US" w:eastAsia="zh-CN" w:bidi="ar-SA"/>
        </w:rPr>
        <w:t xml:space="preserve">.2. </w:t>
      </w:r>
      <w:r>
        <w:rPr>
          <w:rFonts w:hint="eastAsia" w:ascii="Times New Roman" w:hAnsi="Times New Roman" w:eastAsia="宋体" w:cs="Times New Roman"/>
          <w:kern w:val="2"/>
          <w:lang w:val="en-US" w:eastAsia="zh-CN" w:bidi="ar-SA"/>
        </w:rPr>
        <w:t>需求/项目执行概况</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_Toc16363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9"/>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_Toc3805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Times New Roman" w:hAnsi="Times New Roman" w:eastAsia="宋体" w:cs="Times New Roman"/>
          <w:kern w:val="44"/>
          <w:lang w:val="en-US" w:eastAsia="zh-CN" w:bidi="ar-SA"/>
        </w:rPr>
        <w:t xml:space="preserve">. </w:t>
      </w:r>
      <w:r>
        <w:rPr>
          <w:rFonts w:hint="eastAsia" w:ascii="Times New Roman" w:hAnsi="Times New Roman" w:eastAsia="宋体" w:cs="Times New Roman"/>
          <w:kern w:val="2"/>
          <w:lang w:val="en-US" w:eastAsia="zh-CN" w:bidi="ar-SA"/>
        </w:rPr>
        <w:t>业务研究</w:t>
      </w:r>
      <w:r>
        <w:rPr>
          <w:rFonts w:ascii="Times New Roman" w:hAnsi="Times New Roman" w:eastAsia="宋体" w:cs="Times New Roman"/>
          <w:kern w:val="2"/>
          <w:lang w:val="en-US" w:eastAsia="zh-CN" w:bidi="ar-SA"/>
        </w:rPr>
        <w:t>分析（</w:t>
      </w:r>
      <w:r>
        <w:rPr>
          <w:rFonts w:hint="eastAsia" w:ascii="Times New Roman" w:hAnsi="Times New Roman" w:eastAsia="宋体" w:cs="Times New Roman"/>
          <w:kern w:val="2"/>
          <w:lang w:val="en-US" w:eastAsia="zh-CN" w:bidi="ar-SA"/>
        </w:rPr>
        <w:t>针对</w:t>
      </w:r>
      <w:r>
        <w:rPr>
          <w:rFonts w:ascii="Times New Roman" w:hAnsi="Times New Roman" w:eastAsia="宋体" w:cs="Times New Roman"/>
          <w:kern w:val="2"/>
          <w:lang w:val="en-US" w:eastAsia="zh-CN" w:bidi="ar-SA"/>
        </w:rPr>
        <w:t>规划人员）</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_Toc3805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hint="default" w:ascii="Times New Roman" w:hAnsi="Times New Roman" w:eastAsia="宋体" w:cs="Times New Roman"/>
          <w:kern w:val="44"/>
          <w:lang w:val="en-US" w:eastAsia="zh-CN" w:bidi="ar-SA"/>
        </w:rPr>
        <w:fldChar w:fldCharType="end"/>
      </w:r>
    </w:p>
    <w:p>
      <w:pPr>
        <w:pStyle w:val="22"/>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_Toc18263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.1. </w:t>
      </w:r>
      <w:r>
        <w:rPr>
          <w:rFonts w:hint="eastAsia" w:ascii="Times New Roman" w:hAnsi="Times New Roman" w:eastAsia="宋体" w:cs="Times New Roman"/>
          <w:kern w:val="2"/>
          <w:lang w:val="en-US" w:eastAsia="zh-CN" w:bidi="ar-SA"/>
        </w:rPr>
        <w:t>规划目标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_Toc18263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22"/>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_Toc5417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.2. </w:t>
      </w:r>
      <w:r>
        <w:rPr>
          <w:rFonts w:hint="eastAsia" w:ascii="Times New Roman" w:hAnsi="Times New Roman" w:eastAsia="宋体" w:cs="Times New Roman"/>
          <w:kern w:val="2"/>
          <w:lang w:val="en-US" w:eastAsia="zh-CN" w:bidi="ar-SA"/>
        </w:rPr>
        <w:t>业务研究与分析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_Toc5417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_Toc20578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.2.1. </w:t>
      </w:r>
      <w:r>
        <w:rPr>
          <w:rFonts w:hint="eastAsia" w:ascii="Times New Roman" w:hAnsi="Times New Roman" w:eastAsia="宋体" w:cs="Times New Roman"/>
          <w:kern w:val="2"/>
          <w:lang w:val="en-US" w:eastAsia="zh-CN" w:bidi="ar-SA"/>
        </w:rPr>
        <w:t>业务新动态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_Toc20578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_Toc20824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2.2.1.1发行阶段</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_Toc20824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_Toc5258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2.2.1.2兑付阶段</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_Toc5258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_Toc7913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2.2.1.3特殊条款</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_Toc7913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_Toc20830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.2.2. </w:t>
      </w:r>
      <w:r>
        <w:rPr>
          <w:rFonts w:hint="eastAsia" w:ascii="Times New Roman" w:hAnsi="Times New Roman" w:eastAsia="宋体" w:cs="Times New Roman"/>
          <w:kern w:val="2"/>
          <w:lang w:val="en-US" w:eastAsia="zh-CN" w:bidi="ar-SA"/>
        </w:rPr>
        <w:t>通现有业务阐述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_Toc20830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_Toc7416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.2.3. </w:t>
      </w:r>
      <w:r>
        <w:rPr>
          <w:rFonts w:hint="eastAsia" w:ascii="Times New Roman" w:hAnsi="Times New Roman" w:eastAsia="宋体" w:cs="Times New Roman"/>
          <w:kern w:val="2"/>
          <w:lang w:val="en-US" w:eastAsia="zh-CN" w:bidi="ar-SA"/>
        </w:rPr>
        <w:t>修改的必要性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_Toc7416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_Toc18989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.2.4. </w:t>
      </w:r>
      <w:r>
        <w:rPr>
          <w:rFonts w:hint="eastAsia" w:ascii="Times New Roman" w:hAnsi="Times New Roman" w:eastAsia="宋体" w:cs="Times New Roman"/>
          <w:kern w:val="2"/>
          <w:lang w:val="en-US" w:eastAsia="zh-CN" w:bidi="ar-SA"/>
        </w:rPr>
        <w:t>录入库方案</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_Toc18989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_Toc10163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.2.5. </w:t>
      </w:r>
      <w:r>
        <w:rPr>
          <w:rFonts w:hint="eastAsia" w:ascii="Times New Roman" w:hAnsi="Times New Roman" w:eastAsia="宋体" w:cs="Times New Roman"/>
          <w:kern w:val="2"/>
          <w:lang w:val="en-US" w:eastAsia="zh-CN" w:bidi="ar-SA"/>
        </w:rPr>
        <w:t>数据库产品方案</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_Toc10163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_Toc24608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.2.6. </w:t>
      </w:r>
      <w:r>
        <w:rPr>
          <w:rFonts w:hint="eastAsia" w:ascii="Times New Roman" w:hAnsi="Times New Roman" w:eastAsia="宋体" w:cs="Times New Roman"/>
          <w:kern w:val="2"/>
          <w:lang w:val="en-US" w:eastAsia="zh-CN" w:bidi="ar-SA"/>
        </w:rPr>
        <w:t>终端产品方案</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_Toc24608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22"/>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_Toc651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hint="default" w:ascii="宋体" w:hAnsi="宋体" w:eastAsia="宋体" w:cs="宋体"/>
          <w:kern w:val="2"/>
          <w:lang w:val="en-US" w:eastAsia="zh-CN" w:bidi="ar-SA"/>
        </w:rPr>
        <w:t xml:space="preserve">.3. </w:t>
      </w:r>
      <w:r>
        <w:rPr>
          <w:rFonts w:hint="eastAsia" w:ascii="Times New Roman" w:hAnsi="Times New Roman" w:eastAsia="宋体" w:cs="Times New Roman"/>
          <w:kern w:val="2"/>
          <w:lang w:val="en-US" w:eastAsia="zh-CN" w:bidi="ar-SA"/>
        </w:rPr>
        <w:t>方案的审定</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_Toc651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9"/>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_Toc15401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Times New Roman" w:hAnsi="Times New Roman" w:eastAsia="宋体" w:cs="Times New Roman"/>
          <w:kern w:val="44"/>
          <w:lang w:val="en-US" w:eastAsia="zh-CN" w:bidi="ar-SA"/>
        </w:rPr>
        <w:t xml:space="preserve">. </w:t>
      </w:r>
      <w:r>
        <w:rPr>
          <w:rFonts w:hint="eastAsia" w:ascii="Times New Roman" w:hAnsi="Times New Roman" w:eastAsia="宋体" w:cs="Times New Roman"/>
          <w:kern w:val="2"/>
          <w:lang w:val="en-US" w:eastAsia="zh-CN" w:bidi="ar-SA"/>
        </w:rPr>
        <w:t>开发</w:t>
      </w:r>
      <w:r>
        <w:rPr>
          <w:rFonts w:ascii="Times New Roman" w:hAnsi="Times New Roman" w:eastAsia="宋体" w:cs="Times New Roman"/>
          <w:kern w:val="2"/>
          <w:lang w:val="en-US" w:eastAsia="zh-CN" w:bidi="ar-SA"/>
        </w:rPr>
        <w:t>与</w:t>
      </w:r>
      <w:r>
        <w:rPr>
          <w:rFonts w:hint="eastAsia" w:ascii="Times New Roman" w:hAnsi="Times New Roman" w:eastAsia="宋体" w:cs="Times New Roman"/>
          <w:kern w:val="2"/>
          <w:lang w:val="en-US" w:eastAsia="zh-CN" w:bidi="ar-SA"/>
        </w:rPr>
        <w:t>实施（针对</w:t>
      </w:r>
      <w:r>
        <w:rPr>
          <w:rFonts w:ascii="Times New Roman" w:hAnsi="Times New Roman" w:eastAsia="宋体" w:cs="Times New Roman"/>
          <w:kern w:val="2"/>
          <w:lang w:val="en-US" w:eastAsia="zh-CN" w:bidi="ar-SA"/>
        </w:rPr>
        <w:t>开发人员）</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_Toc15401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Times New Roman" w:hAnsi="Times New Roman" w:eastAsia="宋体" w:cs="Times New Roman"/>
          <w:kern w:val="44"/>
          <w:lang w:val="en-US" w:eastAsia="zh-CN" w:bidi="ar-SA"/>
        </w:rPr>
        <w:fldChar w:fldCharType="end"/>
      </w:r>
    </w:p>
    <w:p>
      <w:pPr>
        <w:pStyle w:val="22"/>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_Toc24802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 </w:t>
      </w:r>
      <w:r>
        <w:rPr>
          <w:rFonts w:hint="eastAsia" w:ascii="Times New Roman" w:hAnsi="Times New Roman" w:eastAsia="宋体" w:cs="Times New Roman"/>
          <w:kern w:val="2"/>
          <w:lang w:val="en-US" w:eastAsia="zh-CN" w:bidi="ar-SA"/>
        </w:rPr>
        <w:t>本次</w:t>
      </w:r>
      <w:r>
        <w:rPr>
          <w:rFonts w:ascii="Times New Roman" w:hAnsi="Times New Roman" w:eastAsia="宋体" w:cs="Times New Roman"/>
          <w:kern w:val="2"/>
          <w:lang w:val="en-US" w:eastAsia="zh-CN" w:bidi="ar-SA"/>
        </w:rPr>
        <w:t>修改内容</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_Toc24802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_Toc8560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.1.1. </w:t>
      </w:r>
      <w:r>
        <w:rPr>
          <w:rFonts w:hint="eastAsia" w:ascii="Times New Roman" w:hAnsi="Times New Roman" w:eastAsia="宋体" w:cs="Times New Roman"/>
          <w:kern w:val="2"/>
          <w:lang w:val="en-US" w:eastAsia="zh-CN" w:bidi="ar-SA"/>
        </w:rPr>
        <w:t>表</w:t>
      </w:r>
      <w:r>
        <w:rPr>
          <w:rFonts w:ascii="Times New Roman" w:hAnsi="Times New Roman" w:eastAsia="宋体" w:cs="Times New Roman"/>
          <w:kern w:val="2"/>
          <w:lang w:val="en-US" w:eastAsia="zh-CN" w:bidi="ar-SA"/>
        </w:rPr>
        <w:t>基本信息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_Toc8560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_Toc10568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.1.2. </w:t>
      </w:r>
      <w:r>
        <w:rPr>
          <w:rFonts w:hint="eastAsia" w:ascii="Times New Roman" w:hAnsi="Times New Roman" w:eastAsia="宋体" w:cs="Times New Roman"/>
          <w:kern w:val="2"/>
          <w:lang w:val="en-US" w:eastAsia="zh-CN" w:bidi="ar-SA"/>
        </w:rPr>
        <w:t>字段</w:t>
      </w:r>
      <w:r>
        <w:rPr>
          <w:rFonts w:ascii="Times New Roman" w:hAnsi="Times New Roman" w:eastAsia="宋体" w:cs="Times New Roman"/>
          <w:kern w:val="2"/>
          <w:lang w:val="en-US" w:eastAsia="zh-CN" w:bidi="ar-SA"/>
        </w:rPr>
        <w:t>基本信息</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_Toc10568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_Toc29734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.1.3. </w:t>
      </w:r>
      <w:r>
        <w:rPr>
          <w:rFonts w:hint="eastAsia" w:ascii="Times New Roman" w:hAnsi="Times New Roman" w:eastAsia="宋体" w:cs="Times New Roman"/>
          <w:kern w:val="2"/>
          <w:lang w:val="en-US" w:eastAsia="zh-CN" w:bidi="ar-SA"/>
        </w:rPr>
        <w:t>索引</w:t>
      </w:r>
      <w:r>
        <w:rPr>
          <w:rFonts w:ascii="Times New Roman" w:hAnsi="Times New Roman" w:eastAsia="宋体" w:cs="Times New Roman"/>
          <w:kern w:val="2"/>
          <w:lang w:val="en-US" w:eastAsia="zh-CN" w:bidi="ar-SA"/>
        </w:rPr>
        <w:t>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_Toc29734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_Toc28552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.1.4. </w:t>
      </w:r>
      <w:r>
        <w:rPr>
          <w:rFonts w:hint="eastAsia" w:ascii="Times New Roman" w:hAnsi="Times New Roman" w:eastAsia="宋体" w:cs="Times New Roman"/>
          <w:kern w:val="2"/>
          <w:lang w:val="en-US" w:eastAsia="zh-CN" w:bidi="ar-SA"/>
        </w:rPr>
        <w:t>存储过程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_Toc28552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_Toc8162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hint="default" w:ascii="宋体" w:hAnsi="宋体" w:eastAsia="宋体" w:cs="宋体"/>
          <w:kern w:val="2"/>
          <w:lang w:val="en-US" w:eastAsia="zh-CN" w:bidi="ar-SA"/>
        </w:rPr>
        <w:t xml:space="preserve">.1.5. </w:t>
      </w:r>
      <w:r>
        <w:rPr>
          <w:rFonts w:hint="eastAsia" w:ascii="Times New Roman" w:hAnsi="Times New Roman" w:eastAsia="宋体" w:cs="Times New Roman"/>
          <w:kern w:val="2"/>
          <w:lang w:val="en-US" w:eastAsia="zh-CN" w:bidi="ar-SA"/>
        </w:rPr>
        <w:t>触发器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_Toc8162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9"/>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_Toc17414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hint="default" w:ascii="Times New Roman" w:hAnsi="Times New Roman" w:eastAsia="宋体" w:cs="Times New Roman"/>
          <w:kern w:val="44"/>
          <w:lang w:val="en-US" w:eastAsia="zh-CN" w:bidi="ar-SA"/>
        </w:rPr>
        <w:t xml:space="preserve">. </w:t>
      </w:r>
      <w:r>
        <w:rPr>
          <w:rFonts w:hint="eastAsia" w:ascii="Times New Roman" w:hAnsi="Times New Roman" w:eastAsia="宋体" w:cs="Times New Roman"/>
          <w:kern w:val="2"/>
          <w:lang w:val="en-US" w:eastAsia="zh-CN" w:bidi="ar-SA"/>
        </w:rPr>
        <w:t>录入工具说明</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_Toc17414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eastAsia="宋体" w:cs="Times New Roman"/>
          <w:kern w:val="44"/>
          <w:lang w:val="en-US" w:eastAsia="zh-CN" w:bidi="ar-SA"/>
        </w:rPr>
        <w:fldChar w:fldCharType="end"/>
      </w:r>
    </w:p>
    <w:p>
      <w:pPr>
        <w:pStyle w:val="19"/>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_Toc8692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hint="default" w:ascii="Times New Roman" w:hAnsi="Times New Roman" w:eastAsia="宋体" w:cs="Times New Roman"/>
          <w:kern w:val="44"/>
          <w:lang w:val="en-US" w:eastAsia="zh-CN" w:bidi="ar-SA"/>
        </w:rPr>
        <w:t xml:space="preserve">. </w:t>
      </w:r>
      <w:r>
        <w:rPr>
          <w:rFonts w:hint="eastAsia" w:ascii="Times New Roman" w:hAnsi="Times New Roman" w:eastAsia="宋体" w:cs="Times New Roman"/>
          <w:kern w:val="2"/>
          <w:lang w:val="en-US" w:eastAsia="zh-CN" w:bidi="ar-SA"/>
        </w:rPr>
        <w:t>处理</w:t>
      </w:r>
      <w:r>
        <w:rPr>
          <w:rFonts w:ascii="Times New Roman" w:hAnsi="Times New Roman" w:eastAsia="宋体" w:cs="Times New Roman"/>
          <w:kern w:val="2"/>
          <w:lang w:val="en-US" w:eastAsia="zh-CN" w:bidi="ar-SA"/>
        </w:rPr>
        <w:t>工具与规则（</w:t>
      </w:r>
      <w:r>
        <w:rPr>
          <w:rFonts w:hint="eastAsia" w:ascii="Times New Roman" w:hAnsi="Times New Roman" w:eastAsia="宋体" w:cs="Times New Roman"/>
          <w:kern w:val="2"/>
          <w:lang w:val="en-US" w:eastAsia="zh-CN" w:bidi="ar-SA"/>
        </w:rPr>
        <w:t>针对</w:t>
      </w:r>
      <w:r>
        <w:rPr>
          <w:rFonts w:ascii="Times New Roman" w:hAnsi="Times New Roman" w:eastAsia="宋体" w:cs="Times New Roman"/>
          <w:kern w:val="2"/>
          <w:lang w:val="en-US" w:eastAsia="zh-CN" w:bidi="ar-SA"/>
        </w:rPr>
        <w:t>录入人员）</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_Toc8692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default" w:ascii="Times New Roman" w:hAnsi="Times New Roman" w:eastAsia="宋体" w:cs="Times New Roman"/>
          <w:kern w:val="44"/>
          <w:lang w:val="en-US" w:eastAsia="zh-CN" w:bidi="ar-SA"/>
        </w:rPr>
        <w:fldChar w:fldCharType="end"/>
      </w:r>
    </w:p>
    <w:p>
      <w:pPr>
        <w:pStyle w:val="22"/>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_Toc11082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hint="default" w:ascii="宋体" w:hAnsi="宋体" w:eastAsia="宋体" w:cs="宋体"/>
          <w:kern w:val="2"/>
          <w:lang w:val="en-US" w:eastAsia="zh-CN" w:bidi="ar-SA"/>
        </w:rPr>
        <w:t xml:space="preserve">.1. </w:t>
      </w:r>
      <w:r>
        <w:rPr>
          <w:rFonts w:hint="eastAsia" w:ascii="Times New Roman" w:hAnsi="Times New Roman" w:eastAsia="宋体" w:cs="Times New Roman"/>
          <w:kern w:val="2"/>
          <w:lang w:val="en-US" w:eastAsia="zh-CN" w:bidi="ar-SA"/>
        </w:rPr>
        <w:t>本次</w:t>
      </w:r>
      <w:r>
        <w:rPr>
          <w:rFonts w:ascii="Times New Roman" w:hAnsi="Times New Roman" w:eastAsia="宋体" w:cs="Times New Roman"/>
          <w:kern w:val="2"/>
          <w:lang w:val="en-US" w:eastAsia="zh-CN" w:bidi="ar-SA"/>
        </w:rPr>
        <w:t>修改内容</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_Toc11082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_Toc24408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hint="default" w:ascii="宋体" w:hAnsi="宋体" w:eastAsia="宋体" w:cs="宋体"/>
          <w:kern w:val="2"/>
          <w:lang w:val="en-US" w:eastAsia="zh-CN" w:bidi="ar-SA"/>
        </w:rPr>
        <w:t xml:space="preserve">.1.1. </w:t>
      </w:r>
      <w:r>
        <w:rPr>
          <w:rFonts w:hint="eastAsia" w:ascii="Times New Roman" w:hAnsi="Times New Roman" w:eastAsia="宋体" w:cs="Times New Roman"/>
          <w:kern w:val="2"/>
          <w:lang w:val="en-US" w:eastAsia="zh-CN" w:bidi="ar-SA"/>
        </w:rPr>
        <w:t>抓取规则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_Toc24408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_Toc26284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hint="default" w:ascii="宋体" w:hAnsi="宋体" w:eastAsia="宋体" w:cs="宋体"/>
          <w:kern w:val="2"/>
          <w:lang w:val="en-US" w:eastAsia="zh-CN" w:bidi="ar-SA"/>
        </w:rPr>
        <w:t xml:space="preserve">.1.2. </w:t>
      </w:r>
      <w:r>
        <w:rPr>
          <w:rFonts w:hint="eastAsia" w:ascii="Times New Roman" w:hAnsi="Times New Roman" w:eastAsia="宋体" w:cs="Times New Roman"/>
          <w:kern w:val="2"/>
          <w:lang w:val="en-US" w:eastAsia="zh-CN" w:bidi="ar-SA"/>
        </w:rPr>
        <w:t>历史</w:t>
      </w:r>
      <w:r>
        <w:rPr>
          <w:rFonts w:ascii="Times New Roman" w:hAnsi="Times New Roman" w:eastAsia="宋体" w:cs="Times New Roman"/>
          <w:kern w:val="2"/>
          <w:lang w:val="en-US" w:eastAsia="zh-CN" w:bidi="ar-SA"/>
        </w:rPr>
        <w:t>数据</w:t>
      </w:r>
      <w:r>
        <w:rPr>
          <w:rFonts w:hint="eastAsia" w:ascii="Times New Roman" w:hAnsi="Times New Roman" w:eastAsia="宋体" w:cs="Times New Roman"/>
          <w:kern w:val="2"/>
          <w:lang w:val="en-US" w:eastAsia="zh-CN" w:bidi="ar-SA"/>
        </w:rPr>
        <w:t>清洗规则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_Toc26284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_Toc27433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hint="default" w:ascii="宋体" w:hAnsi="宋体" w:eastAsia="宋体" w:cs="宋体"/>
          <w:kern w:val="2"/>
          <w:lang w:val="en-US" w:eastAsia="zh-CN" w:bidi="ar-SA"/>
        </w:rPr>
        <w:t xml:space="preserve">.1.3. </w:t>
      </w:r>
      <w:r>
        <w:rPr>
          <w:rFonts w:hint="eastAsia" w:ascii="Times New Roman" w:hAnsi="Times New Roman" w:eastAsia="宋体" w:cs="Times New Roman"/>
          <w:kern w:val="2"/>
          <w:lang w:val="en-US" w:eastAsia="zh-CN" w:bidi="ar-SA"/>
        </w:rPr>
        <w:t>处理规则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_Toc27433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_Toc16242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hint="default" w:ascii="宋体" w:hAnsi="宋体" w:eastAsia="宋体" w:cs="宋体"/>
          <w:kern w:val="2"/>
          <w:lang w:val="en-US" w:eastAsia="zh-CN" w:bidi="ar-SA"/>
        </w:rPr>
        <w:t xml:space="preserve">.1.4. </w:t>
      </w:r>
      <w:r>
        <w:rPr>
          <w:rFonts w:hint="eastAsia" w:ascii="Times New Roman" w:hAnsi="Times New Roman" w:eastAsia="宋体" w:cs="Times New Roman"/>
          <w:kern w:val="2"/>
          <w:lang w:val="en-US" w:eastAsia="zh-CN" w:bidi="ar-SA"/>
        </w:rPr>
        <w:t>核查规则</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_Toc16242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pPr>
        <w:pStyle w:val="15"/>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_Toc18888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w:t>
      </w:r>
      <w:r>
        <w:rPr>
          <w:rFonts w:hint="default" w:ascii="宋体" w:hAnsi="宋体" w:eastAsia="宋体" w:cs="宋体"/>
          <w:kern w:val="2"/>
          <w:lang w:val="en-US" w:eastAsia="zh-CN" w:bidi="ar-SA"/>
        </w:rPr>
        <w:t xml:space="preserve">.1.5. </w:t>
      </w:r>
      <w:r>
        <w:rPr>
          <w:rFonts w:hint="eastAsia" w:ascii="Times New Roman" w:hAnsi="Times New Roman" w:eastAsia="宋体" w:cs="Times New Roman"/>
          <w:kern w:val="2"/>
          <w:lang w:val="en-US" w:eastAsia="zh-CN" w:bidi="ar-SA"/>
        </w:rPr>
        <w:t>数据处理流程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_Toc18888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hint="default" w:ascii="宋体" w:hAnsi="宋体" w:eastAsia="宋体" w:cs="宋体"/>
          <w:kern w:val="2"/>
          <w:lang w:val="en-US" w:eastAsia="zh-CN" w:bidi="ar-SA"/>
        </w:rPr>
        <w:fldChar w:fldCharType="end"/>
      </w:r>
    </w:p>
    <w:p>
      <w:r>
        <w:rPr>
          <w:rFonts w:ascii="Times New Roman" w:hAnsi="Times New Roman" w:eastAsia="宋体" w:cs="Times New Roman"/>
          <w:kern w:val="2"/>
          <w:lang w:val="en-US" w:eastAsia="zh-CN" w:bidi="ar-SA"/>
        </w:rPr>
        <w:fldChar w:fldCharType="end"/>
      </w:r>
    </w:p>
    <w:p/>
    <w:p/>
    <w:p/>
    <w:p/>
    <w:p/>
    <w:p/>
    <w:p/>
    <w:p/>
    <w:p/>
    <w:p/>
    <w:p/>
    <w:p/>
    <w:p/>
    <w:p/>
    <w:bookmarkEnd w:id="0"/>
    <w:p>
      <w:pPr>
        <w:pStyle w:val="2"/>
        <w:rPr>
          <w:rFonts w:hint="eastAsia"/>
        </w:rPr>
      </w:pPr>
      <w:bookmarkStart w:id="1" w:name="_Toc12106"/>
      <w:r>
        <w:rPr>
          <w:rFonts w:hint="eastAsia"/>
          <w:lang w:eastAsia="zh-CN"/>
        </w:rPr>
        <w:t>项目总览与实施情况</w:t>
      </w:r>
      <w:bookmarkEnd w:id="1"/>
    </w:p>
    <w:p>
      <w:pPr>
        <w:pStyle w:val="3"/>
      </w:pPr>
      <w:bookmarkStart w:id="2" w:name="_Toc22920"/>
      <w:bookmarkStart w:id="3" w:name="_Toc31814"/>
      <w:r>
        <w:rPr>
          <w:rFonts w:hint="eastAsia"/>
        </w:rPr>
        <w:t>概览</w:t>
      </w:r>
      <w:bookmarkEnd w:id="2"/>
      <w:bookmarkEnd w:id="3"/>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asciiTheme="minorEastAsia" w:hAnsiTheme="minorEastAsia" w:eastAsiaTheme="minorEastAsia"/>
                <w:b/>
                <w:sz w:val="18"/>
                <w:szCs w:val="18"/>
                <w:lang w:eastAsia="zh-CN"/>
              </w:rPr>
            </w:pPr>
            <w:r>
              <w:rPr>
                <w:rFonts w:hint="eastAsia" w:asciiTheme="minorEastAsia" w:hAnsiTheme="minorEastAsia" w:eastAsiaTheme="minorEastAsia"/>
                <w:b/>
                <w:sz w:val="18"/>
                <w:szCs w:val="18"/>
                <w:lang w:eastAsia="zh-CN"/>
              </w:rPr>
              <w:t>项目名称</w:t>
            </w:r>
          </w:p>
        </w:tc>
        <w:tc>
          <w:tcPr>
            <w:tcW w:w="6392" w:type="dxa"/>
            <w:gridSpan w:val="3"/>
          </w:tcPr>
          <w:p>
            <w:pPr>
              <w:jc w:val="both"/>
              <w:rPr>
                <w:rFonts w:ascii="Times New Roman" w:hAnsi="Times New Roman" w:eastAsia="宋体"/>
                <w:kern w:val="2"/>
                <w:sz w:val="21"/>
                <w:vertAlign w:val="baseline"/>
                <w:lang w:val="en-US" w:eastAsia="zh-CN" w:bidi="ar-SA"/>
              </w:rPr>
            </w:pPr>
            <w:r>
              <w:rPr>
                <w:rFonts w:hint="eastAsia"/>
                <w:kern w:val="2"/>
                <w:sz w:val="21"/>
                <w:vertAlign w:val="baseline"/>
                <w:lang w:val="en-US" w:eastAsia="zh-CN" w:bidi="ar-SA"/>
              </w:rPr>
              <w:t>P12013债券规模变动表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项目总负责人</w:t>
            </w:r>
          </w:p>
        </w:tc>
        <w:tc>
          <w:tcPr>
            <w:tcW w:w="2130" w:type="dxa"/>
          </w:tcPr>
          <w:p>
            <w:pPr>
              <w:rPr>
                <w:rFonts w:hint="eastAsia" w:eastAsia="宋体"/>
                <w:vertAlign w:val="baseline"/>
                <w:lang w:eastAsia="zh-CN"/>
              </w:rPr>
            </w:pPr>
            <w:r>
              <w:rPr>
                <w:rFonts w:hint="eastAsia"/>
                <w:vertAlign w:val="baseline"/>
                <w:lang w:eastAsia="zh-CN"/>
              </w:rPr>
              <w:t>孙海峰</w:t>
            </w:r>
          </w:p>
        </w:tc>
        <w:tc>
          <w:tcPr>
            <w:tcW w:w="2131" w:type="dxa"/>
          </w:tcPr>
          <w:p>
            <w:pPr>
              <w:rPr>
                <w:vertAlign w:val="baseline"/>
              </w:rPr>
            </w:pPr>
            <w:r>
              <w:rPr>
                <w:rFonts w:hint="eastAsia" w:asciiTheme="minorEastAsia" w:hAnsiTheme="minorEastAsia" w:eastAsiaTheme="minorEastAsia"/>
                <w:b/>
                <w:sz w:val="18"/>
                <w:szCs w:val="18"/>
              </w:rPr>
              <w:t>需求优先级</w:t>
            </w:r>
          </w:p>
        </w:tc>
        <w:tc>
          <w:tcPr>
            <w:tcW w:w="2131" w:type="dxa"/>
          </w:tcPr>
          <w:p>
            <w:pPr>
              <w:jc w:val="both"/>
              <w:rPr>
                <w:rFonts w:hint="eastAsia" w:eastAsia="宋体"/>
                <w:vertAlign w:val="baseline"/>
                <w:lang w:eastAsia="zh-CN"/>
              </w:rPr>
            </w:pPr>
            <w:r>
              <w:rPr>
                <w:rFonts w:hint="eastAsia"/>
                <w:vertAlign w:val="baseline"/>
                <w:lang w:eastAsia="zh-CN"/>
              </w:rPr>
              <w:t>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需求提出人</w:t>
            </w:r>
          </w:p>
        </w:tc>
        <w:tc>
          <w:tcPr>
            <w:tcW w:w="2130" w:type="dxa"/>
          </w:tcPr>
          <w:p>
            <w:pPr>
              <w:rPr>
                <w:rFonts w:hint="eastAsia" w:eastAsia="宋体"/>
                <w:vertAlign w:val="baseline"/>
                <w:lang w:eastAsia="zh-CN"/>
              </w:rPr>
            </w:pPr>
            <w:r>
              <w:rPr>
                <w:rFonts w:hint="eastAsia"/>
                <w:vertAlign w:val="baseline"/>
                <w:lang w:eastAsia="zh-CN"/>
              </w:rPr>
              <w:t>徐松</w:t>
            </w:r>
          </w:p>
        </w:tc>
        <w:tc>
          <w:tcPr>
            <w:tcW w:w="2131" w:type="dxa"/>
          </w:tcPr>
          <w:p>
            <w:pPr>
              <w:rPr>
                <w:vertAlign w:val="baseline"/>
              </w:rPr>
            </w:pPr>
            <w:r>
              <w:rPr>
                <w:rFonts w:hint="eastAsia" w:asciiTheme="minorEastAsia" w:hAnsiTheme="minorEastAsia" w:eastAsiaTheme="minorEastAsia"/>
                <w:b/>
                <w:sz w:val="18"/>
                <w:szCs w:val="18"/>
              </w:rPr>
              <w:t>需求提出日期</w:t>
            </w:r>
          </w:p>
        </w:tc>
        <w:tc>
          <w:tcPr>
            <w:tcW w:w="2131" w:type="dxa"/>
          </w:tcPr>
          <w:p>
            <w:pPr>
              <w:rPr>
                <w:rFonts w:hint="eastAsia" w:eastAsia="宋体"/>
                <w:vertAlign w:val="baseline"/>
                <w:lang w:val="en-US" w:eastAsia="zh-CN"/>
              </w:rPr>
            </w:pPr>
            <w:r>
              <w:rPr>
                <w:rFonts w:hint="eastAsia"/>
                <w:vertAlign w:val="baseline"/>
                <w:lang w:val="en-US" w:eastAsia="zh-CN"/>
              </w:rPr>
              <w:t>2016/8/8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需求接收人</w:t>
            </w:r>
          </w:p>
        </w:tc>
        <w:tc>
          <w:tcPr>
            <w:tcW w:w="2130" w:type="dxa"/>
          </w:tcPr>
          <w:p>
            <w:pPr>
              <w:rPr>
                <w:vertAlign w:val="baseline"/>
              </w:rPr>
            </w:pPr>
          </w:p>
        </w:tc>
        <w:tc>
          <w:tcPr>
            <w:tcW w:w="2131" w:type="dxa"/>
          </w:tcPr>
          <w:p>
            <w:pPr>
              <w:rPr>
                <w:vertAlign w:val="baseline"/>
              </w:rPr>
            </w:pPr>
            <w:r>
              <w:rPr>
                <w:rFonts w:hint="eastAsia" w:asciiTheme="minorEastAsia" w:hAnsiTheme="minorEastAsia" w:eastAsiaTheme="minorEastAsia"/>
                <w:b/>
                <w:sz w:val="18"/>
                <w:szCs w:val="18"/>
              </w:rPr>
              <w:t>承诺发放日期</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需求编号</w:t>
            </w:r>
          </w:p>
        </w:tc>
        <w:tc>
          <w:tcPr>
            <w:tcW w:w="2130" w:type="dxa"/>
          </w:tcPr>
          <w:p>
            <w:pPr>
              <w:rPr>
                <w:vertAlign w:val="baseline"/>
              </w:rPr>
            </w:pPr>
          </w:p>
        </w:tc>
        <w:tc>
          <w:tcPr>
            <w:tcW w:w="2131" w:type="dxa"/>
          </w:tcPr>
          <w:p>
            <w:pPr>
              <w:rPr>
                <w:vertAlign w:val="baseline"/>
              </w:rPr>
            </w:pPr>
            <w:r>
              <w:rPr>
                <w:rFonts w:hint="eastAsia" w:asciiTheme="minorEastAsia" w:hAnsiTheme="minorEastAsia" w:eastAsiaTheme="minorEastAsia"/>
                <w:b/>
                <w:sz w:val="18"/>
                <w:szCs w:val="18"/>
              </w:rPr>
              <w:t>业务类型</w:t>
            </w:r>
          </w:p>
        </w:tc>
        <w:tc>
          <w:tcPr>
            <w:tcW w:w="2131" w:type="dxa"/>
          </w:tcPr>
          <w:p>
            <w:pPr>
              <w:rPr>
                <w:rFonts w:hint="eastAsia" w:eastAsia="宋体"/>
                <w:vertAlign w:val="baseline"/>
                <w:lang w:eastAsia="zh-CN"/>
              </w:rPr>
            </w:pPr>
            <w:r>
              <w:rPr>
                <w:rFonts w:hint="eastAsia"/>
                <w:vertAlign w:val="baseline"/>
                <w:lang w:eastAsia="zh-CN"/>
              </w:rPr>
              <w:t>债券类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需求部门</w:t>
            </w:r>
          </w:p>
        </w:tc>
        <w:tc>
          <w:tcPr>
            <w:tcW w:w="2130" w:type="dxa"/>
          </w:tcPr>
          <w:p>
            <w:pPr>
              <w:rPr>
                <w:rFonts w:hint="eastAsia" w:eastAsia="宋体"/>
                <w:vertAlign w:val="baseline"/>
                <w:lang w:eastAsia="zh-CN"/>
              </w:rPr>
            </w:pPr>
            <w:r>
              <w:rPr>
                <w:rFonts w:hint="eastAsia"/>
                <w:vertAlign w:val="baseline"/>
                <w:lang w:eastAsia="zh-CN"/>
              </w:rPr>
              <w:t>数据中心</w:t>
            </w:r>
          </w:p>
        </w:tc>
        <w:tc>
          <w:tcPr>
            <w:tcW w:w="2131" w:type="dxa"/>
          </w:tcPr>
          <w:p>
            <w:pPr>
              <w:rPr>
                <w:vertAlign w:val="baseline"/>
              </w:rPr>
            </w:pPr>
            <w:r>
              <w:rPr>
                <w:rFonts w:hint="eastAsia" w:asciiTheme="minorEastAsia" w:hAnsiTheme="minorEastAsia" w:eastAsiaTheme="minorEastAsia"/>
                <w:b/>
                <w:sz w:val="18"/>
                <w:szCs w:val="18"/>
              </w:rPr>
              <w:t>需求类型</w:t>
            </w:r>
          </w:p>
        </w:tc>
        <w:tc>
          <w:tcPr>
            <w:tcW w:w="2131" w:type="dxa"/>
          </w:tcPr>
          <w:p>
            <w:pPr>
              <w:rPr>
                <w:rFonts w:hint="eastAsia" w:eastAsia="宋体"/>
                <w:vertAlign w:val="baseline"/>
                <w:lang w:eastAsia="zh-CN"/>
              </w:rPr>
            </w:pPr>
            <w:r>
              <w:rPr>
                <w:rFonts w:hint="eastAsia"/>
                <w:vertAlign w:val="baseline"/>
                <w:lang w:eastAsia="zh-CN"/>
              </w:rPr>
              <w:t>内部需求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需求说明</w:t>
            </w:r>
          </w:p>
        </w:tc>
        <w:tc>
          <w:tcPr>
            <w:tcW w:w="6392" w:type="dxa"/>
            <w:gridSpan w:val="3"/>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关联的库表</w:t>
            </w:r>
          </w:p>
        </w:tc>
        <w:tc>
          <w:tcPr>
            <w:tcW w:w="6392" w:type="dxa"/>
            <w:gridSpan w:val="3"/>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关联的文档</w:t>
            </w:r>
          </w:p>
        </w:tc>
        <w:tc>
          <w:tcPr>
            <w:tcW w:w="6392" w:type="dxa"/>
            <w:gridSpan w:val="3"/>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关联组/部门</w:t>
            </w:r>
          </w:p>
        </w:tc>
        <w:tc>
          <w:tcPr>
            <w:tcW w:w="6392" w:type="dxa"/>
            <w:gridSpan w:val="3"/>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备    注</w:t>
            </w:r>
          </w:p>
        </w:tc>
        <w:tc>
          <w:tcPr>
            <w:tcW w:w="6392" w:type="dxa"/>
            <w:gridSpan w:val="3"/>
          </w:tcPr>
          <w:p>
            <w:pPr>
              <w:rPr>
                <w:vertAlign w:val="baseline"/>
              </w:rPr>
            </w:pPr>
          </w:p>
        </w:tc>
      </w:tr>
    </w:tbl>
    <w:p>
      <w:pPr>
        <w:pStyle w:val="3"/>
      </w:pPr>
      <w:bookmarkStart w:id="4" w:name="_Toc16363"/>
      <w:r>
        <w:rPr>
          <w:rFonts w:hint="eastAsia"/>
        </w:rPr>
        <w:t>需求/项目执行概况</w:t>
      </w:r>
      <w:bookmarkEnd w:id="4"/>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业务规划人员</w:t>
            </w:r>
          </w:p>
        </w:tc>
        <w:tc>
          <w:tcPr>
            <w:tcW w:w="2130" w:type="dxa"/>
          </w:tcPr>
          <w:p>
            <w:pPr>
              <w:rPr>
                <w:rFonts w:hint="eastAsia" w:eastAsia="宋体"/>
                <w:vertAlign w:val="baseline"/>
                <w:lang w:eastAsia="zh-CN"/>
              </w:rPr>
            </w:pPr>
            <w:r>
              <w:rPr>
                <w:rFonts w:hint="eastAsia"/>
                <w:vertAlign w:val="baseline"/>
                <w:lang w:eastAsia="zh-CN"/>
              </w:rPr>
              <w:t>徐松</w:t>
            </w:r>
          </w:p>
        </w:tc>
        <w:tc>
          <w:tcPr>
            <w:tcW w:w="2131" w:type="dxa"/>
          </w:tcPr>
          <w:p>
            <w:pPr>
              <w:rPr>
                <w:vertAlign w:val="baseline"/>
              </w:rPr>
            </w:pPr>
            <w:r>
              <w:rPr>
                <w:rFonts w:hint="eastAsia" w:asciiTheme="minorEastAsia" w:hAnsiTheme="minorEastAsia" w:eastAsiaTheme="minorEastAsia"/>
                <w:b/>
                <w:sz w:val="18"/>
                <w:szCs w:val="18"/>
              </w:rPr>
              <w:t>开始规划日期</w:t>
            </w:r>
          </w:p>
        </w:tc>
        <w:tc>
          <w:tcPr>
            <w:tcW w:w="2131" w:type="dxa"/>
          </w:tcPr>
          <w:p>
            <w:pPr>
              <w:rPr>
                <w:rFonts w:hint="eastAsia" w:eastAsia="宋体"/>
                <w:vertAlign w:val="baseline"/>
                <w:lang w:val="en-US" w:eastAsia="zh-CN"/>
              </w:rPr>
            </w:pPr>
            <w:r>
              <w:rPr>
                <w:rFonts w:hint="eastAsia"/>
                <w:vertAlign w:val="baseline"/>
                <w:lang w:val="en-US" w:eastAsia="zh-CN"/>
              </w:rPr>
              <w:t>20160801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评审/参与人员</w:t>
            </w:r>
          </w:p>
        </w:tc>
        <w:tc>
          <w:tcPr>
            <w:tcW w:w="2130" w:type="dxa"/>
          </w:tcPr>
          <w:p>
            <w:pPr>
              <w:rPr>
                <w:rFonts w:hint="eastAsia" w:eastAsia="宋体"/>
                <w:vertAlign w:val="baseline"/>
                <w:lang w:eastAsia="zh-CN"/>
              </w:rPr>
            </w:pPr>
            <w:r>
              <w:rPr>
                <w:rFonts w:hint="eastAsia"/>
                <w:vertAlign w:val="baseline"/>
                <w:lang w:eastAsia="zh-CN"/>
              </w:rPr>
              <w:t>郑钰</w:t>
            </w:r>
          </w:p>
        </w:tc>
        <w:tc>
          <w:tcPr>
            <w:tcW w:w="2131" w:type="dxa"/>
          </w:tcPr>
          <w:p>
            <w:pPr>
              <w:rPr>
                <w:vertAlign w:val="baseline"/>
              </w:rPr>
            </w:pPr>
            <w:r>
              <w:rPr>
                <w:rFonts w:hint="eastAsia" w:asciiTheme="minorEastAsia" w:hAnsiTheme="minorEastAsia" w:eastAsiaTheme="minorEastAsia"/>
                <w:b/>
                <w:sz w:val="18"/>
                <w:szCs w:val="18"/>
              </w:rPr>
              <w:t>评审/参与结论</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文档审核人员</w:t>
            </w:r>
          </w:p>
        </w:tc>
        <w:tc>
          <w:tcPr>
            <w:tcW w:w="2130" w:type="dxa"/>
          </w:tcPr>
          <w:p>
            <w:pPr>
              <w:rPr>
                <w:rFonts w:hint="eastAsia" w:eastAsia="宋体"/>
                <w:vertAlign w:val="baseline"/>
                <w:lang w:eastAsia="zh-CN"/>
              </w:rPr>
            </w:pPr>
            <w:r>
              <w:rPr>
                <w:rFonts w:hint="eastAsia"/>
                <w:vertAlign w:val="baseline"/>
                <w:lang w:eastAsia="zh-CN"/>
              </w:rPr>
              <w:t>孙海峰</w:t>
            </w:r>
          </w:p>
        </w:tc>
        <w:tc>
          <w:tcPr>
            <w:tcW w:w="2131" w:type="dxa"/>
          </w:tcPr>
          <w:p>
            <w:pPr>
              <w:rPr>
                <w:vertAlign w:val="baseline"/>
              </w:rPr>
            </w:pPr>
            <w:r>
              <w:rPr>
                <w:rFonts w:hint="eastAsia" w:asciiTheme="minorEastAsia" w:hAnsiTheme="minorEastAsia" w:eastAsiaTheme="minorEastAsia"/>
                <w:b/>
                <w:sz w:val="18"/>
                <w:szCs w:val="18"/>
              </w:rPr>
              <w:t>审核通过日期</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lang w:eastAsia="zh-CN"/>
              </w:rPr>
              <w:t>开发</w:t>
            </w:r>
            <w:r>
              <w:rPr>
                <w:rFonts w:hint="eastAsia" w:asciiTheme="minorEastAsia" w:hAnsiTheme="minorEastAsia" w:eastAsiaTheme="minorEastAsia"/>
                <w:b/>
                <w:sz w:val="18"/>
                <w:szCs w:val="18"/>
              </w:rPr>
              <w:t>人员</w:t>
            </w:r>
          </w:p>
        </w:tc>
        <w:tc>
          <w:tcPr>
            <w:tcW w:w="2130" w:type="dxa"/>
          </w:tcPr>
          <w:p>
            <w:pPr>
              <w:rPr>
                <w:vertAlign w:val="baseline"/>
              </w:rPr>
            </w:pPr>
          </w:p>
        </w:tc>
        <w:tc>
          <w:tcPr>
            <w:tcW w:w="2131" w:type="dxa"/>
          </w:tcPr>
          <w:p>
            <w:pPr>
              <w:rPr>
                <w:vertAlign w:val="baseline"/>
              </w:rPr>
            </w:pPr>
            <w:r>
              <w:rPr>
                <w:rFonts w:hint="eastAsia" w:asciiTheme="minorEastAsia" w:hAnsiTheme="minorEastAsia" w:eastAsiaTheme="minorEastAsia"/>
                <w:b/>
                <w:sz w:val="18"/>
                <w:szCs w:val="18"/>
                <w:lang w:eastAsia="zh-CN"/>
              </w:rPr>
              <w:t>开发开始</w:t>
            </w:r>
            <w:r>
              <w:rPr>
                <w:rFonts w:hint="eastAsia" w:asciiTheme="minorEastAsia" w:hAnsiTheme="minorEastAsia" w:eastAsiaTheme="minorEastAsia"/>
                <w:b/>
                <w:sz w:val="18"/>
                <w:szCs w:val="18"/>
              </w:rPr>
              <w:t>日期</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asciiTheme="minorEastAsia" w:hAnsiTheme="minorEastAsia" w:eastAsiaTheme="minorEastAsia"/>
                <w:b/>
                <w:sz w:val="18"/>
                <w:szCs w:val="18"/>
                <w:lang w:eastAsia="zh-CN"/>
              </w:rPr>
            </w:pPr>
            <w:r>
              <w:rPr>
                <w:rFonts w:hint="eastAsia" w:asciiTheme="minorEastAsia" w:hAnsiTheme="minorEastAsia" w:eastAsiaTheme="minorEastAsia"/>
                <w:b/>
                <w:sz w:val="18"/>
                <w:szCs w:val="18"/>
                <w:lang w:eastAsia="zh-CN"/>
              </w:rPr>
              <w:t>开发阶段</w:t>
            </w:r>
          </w:p>
        </w:tc>
        <w:tc>
          <w:tcPr>
            <w:tcW w:w="2130" w:type="dxa"/>
          </w:tcPr>
          <w:p>
            <w:pPr>
              <w:rPr>
                <w:vertAlign w:val="baseline"/>
              </w:rPr>
            </w:pPr>
          </w:p>
        </w:tc>
        <w:tc>
          <w:tcPr>
            <w:tcW w:w="2131" w:type="dxa"/>
          </w:tcPr>
          <w:p>
            <w:pPr>
              <w:rPr>
                <w:rFonts w:hint="eastAsia" w:asciiTheme="minorEastAsia" w:hAnsiTheme="minorEastAsia" w:eastAsiaTheme="minorEastAsia"/>
                <w:b/>
                <w:sz w:val="18"/>
                <w:szCs w:val="18"/>
                <w:lang w:eastAsia="zh-CN"/>
              </w:rPr>
            </w:pPr>
            <w:r>
              <w:rPr>
                <w:rFonts w:hint="eastAsia" w:asciiTheme="minorEastAsia" w:hAnsiTheme="minorEastAsia" w:eastAsiaTheme="minorEastAsia"/>
                <w:b/>
                <w:sz w:val="18"/>
                <w:szCs w:val="18"/>
                <w:lang w:eastAsia="zh-CN"/>
              </w:rPr>
              <w:t>开发结束日期</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各项测试人员</w:t>
            </w:r>
          </w:p>
        </w:tc>
        <w:tc>
          <w:tcPr>
            <w:tcW w:w="2130" w:type="dxa"/>
          </w:tcPr>
          <w:p>
            <w:pPr>
              <w:rPr>
                <w:vertAlign w:val="baseline"/>
              </w:rPr>
            </w:pPr>
          </w:p>
        </w:tc>
        <w:tc>
          <w:tcPr>
            <w:tcW w:w="2131" w:type="dxa"/>
          </w:tcPr>
          <w:p>
            <w:pPr>
              <w:rPr>
                <w:vertAlign w:val="baseline"/>
              </w:rPr>
            </w:pPr>
            <w:r>
              <w:rPr>
                <w:rFonts w:hint="eastAsia" w:asciiTheme="minorEastAsia" w:hAnsiTheme="minorEastAsia" w:eastAsiaTheme="minorEastAsia"/>
                <w:b/>
                <w:sz w:val="18"/>
                <w:szCs w:val="18"/>
              </w:rPr>
              <w:t>实施评估结果</w:t>
            </w:r>
          </w:p>
        </w:tc>
        <w:tc>
          <w:tcPr>
            <w:tcW w:w="2131"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vertAlign w:val="baseline"/>
              </w:rPr>
            </w:pPr>
            <w:r>
              <w:rPr>
                <w:rFonts w:hint="eastAsia" w:asciiTheme="minorEastAsia" w:hAnsiTheme="minorEastAsia" w:eastAsiaTheme="minorEastAsia"/>
                <w:b/>
                <w:sz w:val="18"/>
                <w:szCs w:val="18"/>
              </w:rPr>
              <w:t>备    注</w:t>
            </w:r>
          </w:p>
        </w:tc>
        <w:tc>
          <w:tcPr>
            <w:tcW w:w="2130" w:type="dxa"/>
          </w:tcPr>
          <w:p>
            <w:pPr>
              <w:rPr>
                <w:vertAlign w:val="baseline"/>
              </w:rPr>
            </w:pPr>
          </w:p>
        </w:tc>
        <w:tc>
          <w:tcPr>
            <w:tcW w:w="2131" w:type="dxa"/>
          </w:tcPr>
          <w:p>
            <w:pPr>
              <w:rPr>
                <w:vertAlign w:val="baseline"/>
              </w:rPr>
            </w:pPr>
          </w:p>
        </w:tc>
        <w:tc>
          <w:tcPr>
            <w:tcW w:w="2131" w:type="dxa"/>
          </w:tcPr>
          <w:p>
            <w:pPr>
              <w:rPr>
                <w:vertAlign w:val="baseline"/>
              </w:rPr>
            </w:pPr>
          </w:p>
        </w:tc>
      </w:tr>
    </w:tbl>
    <w:p/>
    <w:p/>
    <w:p/>
    <w:p/>
    <w:p/>
    <w:p/>
    <w:p/>
    <w:p/>
    <w:p/>
    <w:p/>
    <w:p/>
    <w:p/>
    <w:p/>
    <w:p>
      <w:pPr>
        <w:pStyle w:val="2"/>
      </w:pPr>
      <w:bookmarkStart w:id="5" w:name="_Toc3805"/>
      <w:r>
        <w:rPr>
          <w:rFonts w:hint="eastAsia"/>
        </w:rPr>
        <w:t>业务研究</w:t>
      </w:r>
      <w:r>
        <w:t>分析（</w:t>
      </w:r>
      <w:r>
        <w:rPr>
          <w:rFonts w:hint="eastAsia"/>
        </w:rPr>
        <w:t>针对</w:t>
      </w:r>
      <w:r>
        <w:t>规划人员）</w:t>
      </w:r>
      <w:bookmarkEnd w:id="5"/>
    </w:p>
    <w:p>
      <w:pPr>
        <w:pStyle w:val="3"/>
        <w:rPr>
          <w:rFonts w:hint="eastAsia" w:eastAsia="宋体"/>
          <w:sz w:val="24"/>
          <w:szCs w:val="24"/>
          <w:lang w:val="en-US" w:eastAsia="zh-CN"/>
        </w:rPr>
      </w:pPr>
      <w:bookmarkStart w:id="6" w:name="_Toc18263"/>
      <w:r>
        <w:rPr>
          <w:rFonts w:hint="eastAsia"/>
          <w:lang w:eastAsia="zh-CN"/>
        </w:rPr>
        <w:t>规划目标</w:t>
      </w:r>
      <w:bookmarkEnd w:id="6"/>
    </w:p>
    <w:p>
      <w:pPr>
        <w:pStyle w:val="4"/>
        <w:rPr>
          <w:rFonts w:hint="eastAsia"/>
          <w:lang w:val="en-US" w:eastAsia="zh-CN"/>
        </w:rPr>
      </w:pPr>
      <w:r>
        <w:rPr>
          <w:rFonts w:hint="eastAsia"/>
          <w:lang w:val="en-US" w:eastAsia="zh-CN"/>
        </w:rPr>
        <w:t>建立债券规模变动表数据库，了解债券从发行到摘牌这个过程中债券规模发生变化的情况，记录下债券规模每一次发生变动的详细情况。可以对债券在流通过程中的情况有个更详细的了解。</w:t>
      </w:r>
    </w:p>
    <w:p>
      <w:pPr>
        <w:pStyle w:val="3"/>
        <w:rPr>
          <w:rFonts w:hint="eastAsia"/>
        </w:rPr>
      </w:pPr>
      <w:bookmarkStart w:id="7" w:name="_Toc6104"/>
      <w:bookmarkStart w:id="8" w:name="_Toc5417"/>
      <w:r>
        <w:rPr>
          <w:rFonts w:hint="eastAsia"/>
        </w:rPr>
        <w:t>业务研究与分析</w:t>
      </w:r>
      <w:bookmarkEnd w:id="7"/>
      <w:bookmarkEnd w:id="8"/>
    </w:p>
    <w:p>
      <w:pPr>
        <w:pStyle w:val="5"/>
        <w:rPr>
          <w:rFonts w:hint="eastAsia"/>
          <w:b/>
          <w:bCs/>
        </w:rPr>
      </w:pPr>
      <w:bookmarkStart w:id="9" w:name="_Toc20578"/>
      <w:r>
        <w:rPr>
          <w:rFonts w:hint="eastAsia"/>
          <w:lang w:eastAsia="zh-CN"/>
        </w:rPr>
        <w:t>业务新动态</w:t>
      </w:r>
      <w:bookmarkEnd w:id="9"/>
    </w:p>
    <w:p>
      <w:pPr>
        <w:pStyle w:val="4"/>
        <w:rPr>
          <w:rFonts w:hint="eastAsia" w:eastAsia="宋体"/>
          <w:lang w:eastAsia="zh-CN"/>
        </w:rPr>
      </w:pPr>
      <w:r>
        <w:rPr>
          <w:rFonts w:hint="eastAsia"/>
          <w:lang w:eastAsia="zh-CN"/>
        </w:rPr>
        <w:t>债券规模变动表是把债券的发行、兑付等情况考虑进去，债券的发行、债券的兑付、特殊条款行权时等情况会使债券的规模发生变化，了解各种情况对债券规模产生的影响，详细记录债券规模变动的详细情况。</w:t>
      </w:r>
    </w:p>
    <w:p>
      <w:pPr>
        <w:pStyle w:val="4"/>
        <w:rPr>
          <w:rFonts w:hint="eastAsia"/>
        </w:rPr>
      </w:pPr>
      <w:r>
        <w:rPr>
          <w:rFonts w:hint="eastAsia"/>
          <w:lang w:eastAsia="zh-CN"/>
        </w:rPr>
        <w:t>债券规模变动主要从三个方面进行考虑，一是债券发行阶段，债券发行阶段是债券规模从无到有的过程；二是债券兑付阶段，债券兑付阶段是债券规模从有到无的过程；三是特殊条款行权，特殊条款行权债券规模是从多到少的过程。</w:t>
      </w:r>
    </w:p>
    <w:p>
      <w:pPr>
        <w:pStyle w:val="5"/>
        <w:numPr>
          <w:numId w:val="0"/>
        </w:numPr>
        <w:tabs>
          <w:tab w:val="clear" w:pos="720"/>
        </w:tabs>
        <w:ind w:leftChars="0"/>
        <w:rPr>
          <w:rFonts w:hint="eastAsia"/>
          <w:lang w:val="en-US" w:eastAsia="zh-CN"/>
        </w:rPr>
      </w:pPr>
      <w:bookmarkStart w:id="10" w:name="_Toc20824"/>
      <w:r>
        <w:rPr>
          <w:rFonts w:hint="eastAsia"/>
          <w:lang w:val="en-US" w:eastAsia="zh-CN"/>
        </w:rPr>
        <w:t>2.2.1.1发行阶段</w:t>
      </w:r>
      <w:bookmarkEnd w:id="10"/>
    </w:p>
    <w:p>
      <w:pPr>
        <w:pStyle w:val="4"/>
        <w:rPr>
          <w:rFonts w:hint="eastAsia"/>
          <w:lang w:val="en-US" w:eastAsia="zh-CN"/>
        </w:rPr>
      </w:pPr>
      <w:r>
        <w:rPr>
          <w:rFonts w:hint="eastAsia"/>
          <w:lang w:val="en-US" w:eastAsia="zh-CN"/>
        </w:rPr>
        <w:t>数据来源：</w:t>
      </w:r>
    </w:p>
    <w:p>
      <w:pPr>
        <w:pStyle w:val="4"/>
        <w:rPr>
          <w:rFonts w:hint="eastAsia"/>
          <w:color w:val="5B9BD5" w:themeColor="accent1"/>
          <w:kern w:val="2"/>
          <w:sz w:val="21"/>
          <w:vertAlign w:val="baseline"/>
          <w:lang w:val="en-US" w:eastAsia="zh-CN" w:bidi="ar-SA"/>
          <w14:textFill>
            <w14:solidFill>
              <w14:schemeClr w14:val="accent1"/>
            </w14:solidFill>
          </w14:textFill>
        </w:rPr>
      </w:pPr>
      <w:r>
        <w:rPr>
          <w:rFonts w:hint="eastAsia"/>
          <w:kern w:val="2"/>
          <w:sz w:val="21"/>
          <w:vertAlign w:val="baseline"/>
          <w:lang w:val="en-US" w:eastAsia="zh-CN" w:bidi="ar-SA"/>
        </w:rPr>
        <w:t>中国货币网：</w:t>
      </w:r>
      <w:r>
        <w:rPr>
          <w:rFonts w:hint="eastAsia"/>
          <w:color w:val="5B9BD5" w:themeColor="accent1"/>
          <w:kern w:val="2"/>
          <w:sz w:val="21"/>
          <w:vertAlign w:val="baseline"/>
          <w:lang w:val="en-US" w:eastAsia="zh-CN" w:bidi="ar-SA"/>
          <w14:textFill>
            <w14:solidFill>
              <w14:schemeClr w14:val="accent1"/>
            </w14:solidFill>
          </w14:textFill>
        </w:rPr>
        <w:t>http://www.chinamoney.com.cn/fe/Channel/8489</w:t>
      </w:r>
    </w:p>
    <w:p>
      <w:pPr>
        <w:pStyle w:val="4"/>
        <w:rPr>
          <w:rFonts w:hint="eastAsia"/>
          <w:color w:val="5B9BD5" w:themeColor="accent1"/>
          <w:kern w:val="2"/>
          <w:sz w:val="21"/>
          <w:vertAlign w:val="baseline"/>
          <w:lang w:val="en-US" w:eastAsia="zh-CN" w:bidi="ar-SA"/>
          <w14:textFill>
            <w14:solidFill>
              <w14:schemeClr w14:val="accent1"/>
            </w14:solidFill>
          </w14:textFill>
        </w:rPr>
      </w:pPr>
      <w:r>
        <w:rPr>
          <w:rFonts w:hint="eastAsia"/>
          <w:color w:val="auto"/>
          <w:kern w:val="2"/>
          <w:sz w:val="21"/>
          <w:vertAlign w:val="baseline"/>
          <w:lang w:val="en-US" w:eastAsia="zh-CN" w:bidi="ar-SA"/>
        </w:rPr>
        <w:t>中国债券信息网：</w:t>
      </w:r>
      <w:r>
        <w:rPr>
          <w:rFonts w:hint="eastAsia"/>
          <w:color w:val="5B9BD5" w:themeColor="accent1"/>
          <w:kern w:val="2"/>
          <w:sz w:val="21"/>
          <w:vertAlign w:val="baseline"/>
          <w:lang w:val="en-US" w:eastAsia="zh-CN" w:bidi="ar-SA"/>
          <w14:textFill>
            <w14:solidFill>
              <w14:schemeClr w14:val="accent1"/>
            </w14:solidFill>
          </w14:textFill>
        </w:rPr>
        <w:t xml:space="preserve">http://www.chinabond.com.cn/Channel/4268436   </w:t>
      </w:r>
    </w:p>
    <w:p>
      <w:pPr>
        <w:pStyle w:val="4"/>
        <w:rPr>
          <w:rFonts w:hint="eastAsia"/>
          <w:color w:val="5B9BD5" w:themeColor="accent1"/>
          <w:kern w:val="2"/>
          <w:sz w:val="21"/>
          <w:vertAlign w:val="baseline"/>
          <w:lang w:val="en-US" w:eastAsia="zh-CN" w:bidi="ar-SA"/>
          <w14:textFill>
            <w14:solidFill>
              <w14:schemeClr w14:val="accent1"/>
            </w14:solidFill>
          </w14:textFill>
        </w:rPr>
      </w:pPr>
      <w:r>
        <w:rPr>
          <w:rFonts w:hint="eastAsia"/>
          <w:color w:val="auto"/>
          <w:kern w:val="2"/>
          <w:sz w:val="21"/>
          <w:vertAlign w:val="baseline"/>
          <w:lang w:val="en-US" w:eastAsia="zh-CN" w:bidi="ar-SA"/>
        </w:rPr>
        <w:t>上海清算所：</w:t>
      </w:r>
      <w:r>
        <w:rPr>
          <w:rFonts w:hint="eastAsia"/>
          <w:color w:val="5B9BD5" w:themeColor="accent1"/>
          <w:kern w:val="2"/>
          <w:sz w:val="21"/>
          <w:vertAlign w:val="baseline"/>
          <w:lang w:val="en-US" w:eastAsia="zh-CN" w:bidi="ar-SA"/>
          <w14:textFill>
            <w14:solidFill>
              <w14:schemeClr w14:val="accent1"/>
            </w14:solidFill>
          </w14:textFill>
        </w:rPr>
        <w:t>http://www.shclearing.com/xxpl/fxqkbg/</w:t>
      </w:r>
    </w:p>
    <w:p>
      <w:pPr>
        <w:pStyle w:val="4"/>
        <w:rPr>
          <w:rFonts w:hint="eastAsia"/>
          <w:color w:val="5B9BD5" w:themeColor="accent1"/>
          <w:kern w:val="2"/>
          <w:sz w:val="21"/>
          <w:vertAlign w:val="baseline"/>
          <w:lang w:val="en-US" w:eastAsia="zh-CN" w:bidi="ar-SA"/>
          <w14:textFill>
            <w14:solidFill>
              <w14:schemeClr w14:val="accent1"/>
            </w14:solidFill>
          </w14:textFill>
        </w:rPr>
      </w:pPr>
      <w:r>
        <w:rPr>
          <w:rFonts w:hint="eastAsia"/>
          <w:kern w:val="2"/>
          <w:sz w:val="21"/>
          <w:vertAlign w:val="baseline"/>
          <w:lang w:val="en-US" w:eastAsia="zh-CN" w:bidi="ar-SA"/>
        </w:rPr>
        <w:t>上海证券交易所：</w:t>
      </w:r>
      <w:r>
        <w:rPr>
          <w:rFonts w:hint="eastAsia"/>
          <w:color w:val="5B9BD5" w:themeColor="accent1"/>
          <w:kern w:val="2"/>
          <w:sz w:val="21"/>
          <w:vertAlign w:val="baseline"/>
          <w:lang w:val="en-US" w:eastAsia="zh-CN" w:bidi="ar-SA"/>
          <w14:textFill>
            <w14:solidFill>
              <w14:schemeClr w14:val="accent1"/>
            </w14:solidFill>
          </w14:textFill>
        </w:rPr>
        <w:fldChar w:fldCharType="begin"/>
      </w:r>
      <w:r>
        <w:rPr>
          <w:rFonts w:hint="eastAsia"/>
          <w:color w:val="5B9BD5" w:themeColor="accent1"/>
          <w:kern w:val="2"/>
          <w:sz w:val="21"/>
          <w:vertAlign w:val="baseline"/>
          <w:lang w:val="en-US" w:eastAsia="zh-CN" w:bidi="ar-SA"/>
          <w14:textFill>
            <w14:solidFill>
              <w14:schemeClr w14:val="accent1"/>
            </w14:solidFill>
          </w14:textFill>
        </w:rPr>
        <w:instrText xml:space="preserve"> HYPERLINK "http://www.sse.com.cn/disclosure/bond/announcement/common/" </w:instrText>
      </w:r>
      <w:r>
        <w:rPr>
          <w:rFonts w:hint="eastAsia"/>
          <w:color w:val="5B9BD5" w:themeColor="accent1"/>
          <w:kern w:val="2"/>
          <w:sz w:val="21"/>
          <w:vertAlign w:val="baseline"/>
          <w:lang w:val="en-US" w:eastAsia="zh-CN" w:bidi="ar-SA"/>
          <w14:textFill>
            <w14:solidFill>
              <w14:schemeClr w14:val="accent1"/>
            </w14:solidFill>
          </w14:textFill>
        </w:rPr>
        <w:fldChar w:fldCharType="separate"/>
      </w:r>
      <w:r>
        <w:rPr>
          <w:rStyle w:val="30"/>
          <w:rFonts w:hint="eastAsia"/>
          <w:color w:val="5B9BD5" w:themeColor="accent1"/>
          <w:kern w:val="2"/>
          <w:sz w:val="21"/>
          <w:vertAlign w:val="baseline"/>
          <w:lang w:val="en-US" w:eastAsia="zh-CN" w:bidi="ar-SA"/>
          <w14:textFill>
            <w14:solidFill>
              <w14:schemeClr w14:val="accent1"/>
            </w14:solidFill>
          </w14:textFill>
        </w:rPr>
        <w:t>http://www.sse.com.cn/disclosure/bond/announcement/common/</w:t>
      </w:r>
      <w:r>
        <w:rPr>
          <w:rFonts w:hint="eastAsia"/>
          <w:color w:val="5B9BD5" w:themeColor="accent1"/>
          <w:kern w:val="2"/>
          <w:sz w:val="21"/>
          <w:vertAlign w:val="baseline"/>
          <w:lang w:val="en-US" w:eastAsia="zh-CN" w:bidi="ar-SA"/>
          <w14:textFill>
            <w14:solidFill>
              <w14:schemeClr w14:val="accent1"/>
            </w14:solidFill>
          </w14:textFill>
        </w:rPr>
        <w:fldChar w:fldCharType="end"/>
      </w:r>
    </w:p>
    <w:p>
      <w:pPr>
        <w:pStyle w:val="4"/>
        <w:rPr>
          <w:rFonts w:hint="eastAsia"/>
          <w:lang w:val="en-US" w:eastAsia="zh-CN"/>
        </w:rPr>
      </w:pPr>
      <w:r>
        <w:rPr>
          <w:rFonts w:hint="eastAsia"/>
          <w:b w:val="0"/>
          <w:bCs w:val="0"/>
          <w:color w:val="auto"/>
          <w:kern w:val="2"/>
          <w:sz w:val="21"/>
          <w:vertAlign w:val="baseline"/>
          <w:lang w:val="en-US" w:eastAsia="zh-CN" w:bidi="ar-SA"/>
        </w:rPr>
        <w:t>深圳证券交易所：</w:t>
      </w:r>
      <w:r>
        <w:rPr>
          <w:rFonts w:hint="eastAsia"/>
          <w:color w:val="5B9BD5" w:themeColor="accent1"/>
          <w:kern w:val="2"/>
          <w:sz w:val="21"/>
          <w:vertAlign w:val="baseline"/>
          <w:lang w:val="en-US" w:eastAsia="zh-CN" w:bidi="ar-SA"/>
          <w14:textFill>
            <w14:solidFill>
              <w14:schemeClr w14:val="accent1"/>
            </w14:solidFill>
          </w14:textFill>
        </w:rPr>
        <w:t>http://disclosure.szse.cn/m/zqgg.htm</w:t>
      </w:r>
    </w:p>
    <w:p>
      <w:pPr>
        <w:pStyle w:val="4"/>
        <w:rPr>
          <w:rFonts w:hint="eastAsia"/>
          <w:lang w:val="en-US" w:eastAsia="zh-CN"/>
        </w:rPr>
      </w:pPr>
      <w:r>
        <w:rPr>
          <w:rFonts w:hint="eastAsia"/>
          <w:lang w:val="en-US" w:eastAsia="zh-CN"/>
        </w:rPr>
        <w:t>债券的发行阶段是债券规模增加的过程，债券规模从无到有。债券发行包括首发和续发两种情况。债券首发使债券规模从无到有，债券续发使债券规模在首发规模的基础上进一步增加。国债、政策性银行债、央行票据存在首发续发问题，央行票据的续发问题主要是在首期发行到期日开始续发，国债和政策性银行债的续发问题主要是在债券没到期之前进行续发。规模变动的日期为债券的上市日。在债券的发行阶段，债券是从无到有的过程，债券的规模、面值都会发生变化。</w:t>
      </w:r>
    </w:p>
    <w:p>
      <w:pPr>
        <w:pStyle w:val="5"/>
        <w:numPr>
          <w:numId w:val="0"/>
        </w:numPr>
        <w:tabs>
          <w:tab w:val="clear" w:pos="720"/>
        </w:tabs>
        <w:ind w:leftChars="0"/>
        <w:rPr>
          <w:rFonts w:hint="eastAsia"/>
          <w:lang w:val="en-US" w:eastAsia="zh-CN"/>
        </w:rPr>
      </w:pPr>
      <w:bookmarkStart w:id="11" w:name="_Toc5258"/>
      <w:r>
        <w:rPr>
          <w:rFonts w:hint="eastAsia"/>
          <w:lang w:val="en-US" w:eastAsia="zh-CN"/>
        </w:rPr>
        <w:t>2.2.1.2兑付阶段</w:t>
      </w:r>
      <w:bookmarkEnd w:id="11"/>
    </w:p>
    <w:p>
      <w:pPr>
        <w:pStyle w:val="4"/>
        <w:rPr>
          <w:rFonts w:hint="eastAsia"/>
          <w:lang w:eastAsia="zh-CN"/>
        </w:rPr>
      </w:pPr>
      <w:r>
        <w:rPr>
          <w:rFonts w:hint="eastAsia"/>
          <w:lang w:eastAsia="zh-CN"/>
        </w:rPr>
        <w:t>在银行间市场上市流通的债券数据来源：</w:t>
      </w:r>
    </w:p>
    <w:p>
      <w:pPr>
        <w:pStyle w:val="4"/>
        <w:rPr>
          <w:rFonts w:hint="eastAsia"/>
          <w:color w:val="5B9BD5" w:themeColor="accent1"/>
          <w:kern w:val="2"/>
          <w:sz w:val="21"/>
          <w:vertAlign w:val="baseline"/>
          <w:lang w:val="en-US" w:eastAsia="zh-CN" w:bidi="ar-SA"/>
          <w14:textFill>
            <w14:solidFill>
              <w14:schemeClr w14:val="accent1"/>
            </w14:solidFill>
          </w14:textFill>
        </w:rPr>
      </w:pPr>
      <w:r>
        <w:rPr>
          <w:rFonts w:hint="eastAsia"/>
          <w:kern w:val="2"/>
          <w:sz w:val="21"/>
          <w:vertAlign w:val="baseline"/>
          <w:lang w:val="en-US" w:eastAsia="zh-CN" w:bidi="ar-SA"/>
        </w:rPr>
        <w:t>中国债劵信息网：</w:t>
      </w:r>
      <w:r>
        <w:rPr>
          <w:rFonts w:hint="eastAsia"/>
          <w:color w:val="5B9BD5" w:themeColor="accent1"/>
          <w:kern w:val="2"/>
          <w:sz w:val="21"/>
          <w:vertAlign w:val="baseline"/>
          <w:lang w:val="en-US" w:eastAsia="zh-CN" w:bidi="ar-SA"/>
          <w14:textFill>
            <w14:solidFill>
              <w14:schemeClr w14:val="accent1"/>
            </w14:solidFill>
          </w14:textFill>
        </w:rPr>
        <w:t>http://www.chinabond.com.cn/Channel/21000</w:t>
      </w:r>
    </w:p>
    <w:p>
      <w:pPr>
        <w:pStyle w:val="4"/>
        <w:rPr>
          <w:rFonts w:hint="eastAsia"/>
          <w:kern w:val="2"/>
          <w:sz w:val="21"/>
          <w:vertAlign w:val="baseline"/>
          <w:lang w:val="en-US" w:eastAsia="zh-CN" w:bidi="ar-SA"/>
        </w:rPr>
      </w:pPr>
      <w:r>
        <w:rPr>
          <w:rFonts w:hint="eastAsia"/>
          <w:kern w:val="2"/>
          <w:sz w:val="21"/>
          <w:vertAlign w:val="baseline"/>
          <w:lang w:val="en-US" w:eastAsia="zh-CN" w:bidi="ar-SA"/>
        </w:rPr>
        <w:t>上海清算所：</w:t>
      </w:r>
      <w:r>
        <w:rPr>
          <w:rFonts w:hint="eastAsia"/>
          <w:color w:val="5B9BD5" w:themeColor="accent1"/>
          <w:kern w:val="2"/>
          <w:sz w:val="21"/>
          <w:vertAlign w:val="baseline"/>
          <w:lang w:val="en-US" w:eastAsia="zh-CN" w:bidi="ar-SA"/>
          <w14:textFill>
            <w14:solidFill>
              <w14:schemeClr w14:val="accent1"/>
            </w14:solidFill>
          </w14:textFill>
        </w:rPr>
        <w:t>http://www.shclearing.com/xxpl/dfzx/</w:t>
      </w:r>
    </w:p>
    <w:p>
      <w:pPr>
        <w:pStyle w:val="4"/>
        <w:rPr>
          <w:rFonts w:hint="eastAsia"/>
          <w:color w:val="5B9BD5" w:themeColor="accent1"/>
          <w:kern w:val="2"/>
          <w:sz w:val="21"/>
          <w:vertAlign w:val="baseline"/>
          <w:lang w:val="en-US" w:eastAsia="zh-CN" w:bidi="ar-SA"/>
          <w14:textFill>
            <w14:solidFill>
              <w14:schemeClr w14:val="accent1"/>
            </w14:solidFill>
          </w14:textFill>
        </w:rPr>
      </w:pPr>
      <w:r>
        <w:rPr>
          <w:rFonts w:hint="eastAsia"/>
          <w:kern w:val="2"/>
          <w:sz w:val="21"/>
          <w:vertAlign w:val="baseline"/>
          <w:lang w:val="en-US" w:eastAsia="zh-CN" w:bidi="ar-SA"/>
        </w:rPr>
        <w:t>中国货币网：</w:t>
      </w:r>
      <w:r>
        <w:rPr>
          <w:rFonts w:hint="eastAsia"/>
          <w:color w:val="5B9BD5" w:themeColor="accent1"/>
          <w:kern w:val="2"/>
          <w:sz w:val="21"/>
          <w:vertAlign w:val="baseline"/>
          <w:lang w:val="en-US" w:eastAsia="zh-CN" w:bidi="ar-SA"/>
          <w14:textFill>
            <w14:solidFill>
              <w14:schemeClr w14:val="accent1"/>
            </w14:solidFill>
          </w14:textFill>
        </w:rPr>
        <w:t>http://www.chinamoney.com.cn/fe/Channel/8298</w:t>
      </w:r>
    </w:p>
    <w:p>
      <w:pPr>
        <w:pStyle w:val="4"/>
        <w:rPr>
          <w:rFonts w:hint="eastAsia"/>
          <w:color w:val="5B9BD5" w:themeColor="accent1"/>
          <w:kern w:val="2"/>
          <w:sz w:val="21"/>
          <w:vertAlign w:val="baseline"/>
          <w:lang w:val="en-US" w:eastAsia="zh-CN" w:bidi="ar-SA"/>
          <w14:textFill>
            <w14:solidFill>
              <w14:schemeClr w14:val="accent1"/>
            </w14:solidFill>
          </w14:textFill>
        </w:rPr>
      </w:pPr>
      <w:r>
        <w:rPr>
          <w:rFonts w:hint="eastAsia"/>
          <w:color w:val="000000" w:themeColor="text1"/>
          <w:kern w:val="2"/>
          <w:sz w:val="21"/>
          <w:vertAlign w:val="baseline"/>
          <w:lang w:val="en-US" w:eastAsia="zh-CN" w:bidi="ar-SA"/>
          <w14:textFill>
            <w14:solidFill>
              <w14:schemeClr w14:val="tx1"/>
            </w14:solidFill>
          </w14:textFill>
        </w:rPr>
        <w:t>中国人民共和国财政部</w:t>
      </w:r>
      <w:r>
        <w:rPr>
          <w:rFonts w:hint="eastAsia"/>
          <w:color w:val="5B9BD5" w:themeColor="accent1"/>
          <w:kern w:val="2"/>
          <w:sz w:val="21"/>
          <w:vertAlign w:val="baseline"/>
          <w:lang w:val="en-US" w:eastAsia="zh-CN" w:bidi="ar-SA"/>
          <w14:textFill>
            <w14:solidFill>
              <w14:schemeClr w14:val="accent1"/>
            </w14:solidFill>
          </w14:textFill>
        </w:rPr>
        <w:t>：http://gks.mof.gov.cn/redianzhuanti/guozaiguanli/</w:t>
      </w:r>
    </w:p>
    <w:p>
      <w:pPr>
        <w:pStyle w:val="4"/>
        <w:rPr>
          <w:rFonts w:hint="eastAsia"/>
          <w:color w:val="000000" w:themeColor="text1"/>
          <w:kern w:val="2"/>
          <w:sz w:val="21"/>
          <w:vertAlign w:val="baseline"/>
          <w:lang w:val="en-US" w:eastAsia="zh-CN" w:bidi="ar-SA"/>
          <w14:textFill>
            <w14:solidFill>
              <w14:schemeClr w14:val="tx1"/>
            </w14:solidFill>
          </w14:textFill>
        </w:rPr>
      </w:pPr>
      <w:r>
        <w:rPr>
          <w:rFonts w:hint="eastAsia"/>
          <w:color w:val="000000" w:themeColor="text1"/>
          <w:kern w:val="2"/>
          <w:sz w:val="21"/>
          <w:vertAlign w:val="baseline"/>
          <w:lang w:val="en-US" w:eastAsia="zh-CN" w:bidi="ar-SA"/>
          <w14:textFill>
            <w14:solidFill>
              <w14:schemeClr w14:val="tx1"/>
            </w14:solidFill>
          </w14:textFill>
        </w:rPr>
        <w:t>在交易所流通上市的债券数据来源：</w:t>
      </w:r>
    </w:p>
    <w:p>
      <w:pPr>
        <w:pStyle w:val="4"/>
        <w:rPr>
          <w:rFonts w:hint="eastAsia"/>
          <w:kern w:val="2"/>
          <w:sz w:val="21"/>
          <w:vertAlign w:val="baseline"/>
          <w:lang w:val="en-US" w:eastAsia="zh-CN" w:bidi="ar-SA"/>
        </w:rPr>
      </w:pPr>
      <w:r>
        <w:rPr>
          <w:rFonts w:hint="eastAsia"/>
          <w:kern w:val="2"/>
          <w:sz w:val="21"/>
          <w:vertAlign w:val="baseline"/>
          <w:lang w:val="en-US" w:eastAsia="zh-CN" w:bidi="ar-SA"/>
        </w:rPr>
        <w:t>上海证劵交易所：</w:t>
      </w:r>
      <w:r>
        <w:rPr>
          <w:rFonts w:hint="eastAsia"/>
          <w:color w:val="5B9BD5" w:themeColor="accent1"/>
          <w:kern w:val="2"/>
          <w:sz w:val="21"/>
          <w:vertAlign w:val="baseline"/>
          <w:lang w:val="en-US" w:eastAsia="zh-CN" w:bidi="ar-SA"/>
          <w14:textFill>
            <w14:solidFill>
              <w14:schemeClr w14:val="accent1"/>
            </w14:solidFill>
          </w14:textFill>
        </w:rPr>
        <w:t>http://www.sse.com.cn/disclosure/overview/</w:t>
      </w:r>
    </w:p>
    <w:p>
      <w:pPr>
        <w:pStyle w:val="4"/>
        <w:rPr>
          <w:rFonts w:hint="eastAsia"/>
          <w:lang w:val="en-US" w:eastAsia="zh-CN"/>
        </w:rPr>
      </w:pPr>
      <w:r>
        <w:rPr>
          <w:rFonts w:hint="eastAsia"/>
          <w:kern w:val="2"/>
          <w:sz w:val="21"/>
          <w:vertAlign w:val="baseline"/>
          <w:lang w:val="en-US" w:eastAsia="zh-CN" w:bidi="ar-SA"/>
        </w:rPr>
        <w:t>深圳证劵交易所：</w:t>
      </w:r>
      <w:r>
        <w:rPr>
          <w:rFonts w:hint="eastAsia"/>
          <w:color w:val="5B9BD5" w:themeColor="accent1"/>
          <w:kern w:val="2"/>
          <w:sz w:val="21"/>
          <w:vertAlign w:val="baseline"/>
          <w:lang w:val="en-US" w:eastAsia="zh-CN" w:bidi="ar-SA"/>
          <w14:textFill>
            <w14:solidFill>
              <w14:schemeClr w14:val="accent1"/>
            </w14:solidFill>
          </w14:textFill>
        </w:rPr>
        <w:fldChar w:fldCharType="begin"/>
      </w:r>
      <w:r>
        <w:rPr>
          <w:rFonts w:hint="eastAsia"/>
          <w:color w:val="5B9BD5" w:themeColor="accent1"/>
          <w:kern w:val="2"/>
          <w:sz w:val="21"/>
          <w:vertAlign w:val="baseline"/>
          <w:lang w:val="en-US" w:eastAsia="zh-CN" w:bidi="ar-SA"/>
          <w14:textFill>
            <w14:solidFill>
              <w14:schemeClr w14:val="accent1"/>
            </w14:solidFill>
          </w14:textFill>
        </w:rPr>
        <w:instrText xml:space="preserve"> HYPERLINK "http://disclosure.szse.cn/m/zqgg.htm" </w:instrText>
      </w:r>
      <w:r>
        <w:rPr>
          <w:rFonts w:hint="eastAsia"/>
          <w:color w:val="5B9BD5" w:themeColor="accent1"/>
          <w:kern w:val="2"/>
          <w:sz w:val="21"/>
          <w:vertAlign w:val="baseline"/>
          <w:lang w:val="en-US" w:eastAsia="zh-CN" w:bidi="ar-SA"/>
          <w14:textFill>
            <w14:solidFill>
              <w14:schemeClr w14:val="accent1"/>
            </w14:solidFill>
          </w14:textFill>
        </w:rPr>
        <w:fldChar w:fldCharType="separate"/>
      </w:r>
      <w:r>
        <w:rPr>
          <w:rStyle w:val="30"/>
          <w:rFonts w:hint="eastAsia"/>
          <w:color w:val="5B9BD5" w:themeColor="accent1"/>
          <w:kern w:val="2"/>
          <w:sz w:val="21"/>
          <w:vertAlign w:val="baseline"/>
          <w:lang w:val="en-US" w:eastAsia="zh-CN" w:bidi="ar-SA"/>
          <w14:textFill>
            <w14:solidFill>
              <w14:schemeClr w14:val="accent1"/>
            </w14:solidFill>
          </w14:textFill>
        </w:rPr>
        <w:t>http://disclosure.szse.cn/m/zqgg.htm</w:t>
      </w:r>
      <w:r>
        <w:rPr>
          <w:rFonts w:hint="eastAsia"/>
          <w:color w:val="5B9BD5" w:themeColor="accent1"/>
          <w:kern w:val="2"/>
          <w:sz w:val="21"/>
          <w:vertAlign w:val="baseline"/>
          <w:lang w:val="en-US" w:eastAsia="zh-CN" w:bidi="ar-SA"/>
          <w14:textFill>
            <w14:solidFill>
              <w14:schemeClr w14:val="accent1"/>
            </w14:solidFill>
          </w14:textFill>
        </w:rPr>
        <w:fldChar w:fldCharType="end"/>
      </w:r>
    </w:p>
    <w:p>
      <w:pPr>
        <w:pStyle w:val="4"/>
        <w:rPr>
          <w:rFonts w:hint="eastAsia"/>
          <w:lang w:val="en-US" w:eastAsia="zh-CN"/>
        </w:rPr>
      </w:pPr>
      <w:r>
        <w:rPr>
          <w:rFonts w:hint="eastAsia"/>
          <w:lang w:val="en-US" w:eastAsia="zh-CN"/>
        </w:rPr>
        <w:t>债券兑付阶段是债券规模逐渐减少的过程，是从有到无的过程。兑付阶段的兑付主要包括债券兑付、债券分期兑付、债券延期兑付、债券延期分期兑付。债券兑付主要包括债券到期一次性兑付和提前兑付的情况。债券延期兑付和债券延期分期兑付是债券已经发生了实质性违约。债券的分期兑付包括按面值兑付和按份额兑付。按面值兑付，债券面值发生变化，面值减少。按份额兑付主要是指债券面值不变，债券的份额发生减少。</w:t>
      </w:r>
    </w:p>
    <w:p>
      <w:pPr>
        <w:pStyle w:val="5"/>
        <w:numPr>
          <w:numId w:val="0"/>
        </w:numPr>
        <w:tabs>
          <w:tab w:val="clear" w:pos="720"/>
        </w:tabs>
        <w:ind w:leftChars="0"/>
        <w:rPr>
          <w:rFonts w:hint="eastAsia"/>
          <w:lang w:val="en-US" w:eastAsia="zh-CN"/>
        </w:rPr>
      </w:pPr>
      <w:bookmarkStart w:id="12" w:name="_Toc7913"/>
      <w:r>
        <w:rPr>
          <w:rFonts w:hint="eastAsia"/>
          <w:lang w:val="en-US" w:eastAsia="zh-CN"/>
        </w:rPr>
        <w:t>2.2.1.3特殊条款</w:t>
      </w:r>
      <w:bookmarkEnd w:id="12"/>
    </w:p>
    <w:p>
      <w:pPr>
        <w:pStyle w:val="4"/>
        <w:ind w:left="0" w:leftChars="0" w:firstLine="0" w:firstLineChars="0"/>
        <w:rPr>
          <w:rFonts w:hint="eastAsia"/>
          <w:lang w:val="en-US" w:eastAsia="zh-CN"/>
        </w:rPr>
      </w:pPr>
      <w:r>
        <w:rPr>
          <w:rFonts w:hint="eastAsia"/>
          <w:lang w:val="en-US" w:eastAsia="zh-CN"/>
        </w:rPr>
        <w:t>数据源：</w:t>
      </w:r>
    </w:p>
    <w:p>
      <w:pPr>
        <w:pStyle w:val="4"/>
        <w:ind w:left="0" w:leftChars="0" w:firstLine="0" w:firstLineChars="0"/>
        <w:rPr>
          <w:rFonts w:hint="eastAsia"/>
          <w:lang w:val="en-US" w:eastAsia="zh-CN"/>
        </w:rPr>
      </w:pPr>
      <w:r>
        <w:rPr>
          <w:rFonts w:hint="eastAsia"/>
          <w:lang w:val="en-US" w:eastAsia="zh-CN"/>
        </w:rPr>
        <w:t>中国债券信息网：</w:t>
      </w:r>
      <w:r>
        <w:rPr>
          <w:rFonts w:hint="eastAsia"/>
          <w:lang w:val="en-US" w:eastAsia="zh-CN"/>
        </w:rPr>
        <w:fldChar w:fldCharType="begin"/>
      </w:r>
      <w:r>
        <w:rPr>
          <w:rFonts w:hint="eastAsia"/>
          <w:lang w:val="en-US" w:eastAsia="zh-CN"/>
        </w:rPr>
        <w:instrText xml:space="preserve"> HYPERLINK "http://www.chinabond.com.cn/Channel/9429904" </w:instrText>
      </w:r>
      <w:r>
        <w:rPr>
          <w:rFonts w:hint="eastAsia"/>
          <w:lang w:val="en-US" w:eastAsia="zh-CN"/>
        </w:rPr>
        <w:fldChar w:fldCharType="separate"/>
      </w:r>
      <w:r>
        <w:rPr>
          <w:rStyle w:val="30"/>
          <w:rFonts w:hint="eastAsia"/>
          <w:lang w:val="en-US" w:eastAsia="zh-CN"/>
        </w:rPr>
        <w:t>http://www.chinabond.com.cn/Channel/9429904</w:t>
      </w:r>
      <w:r>
        <w:rPr>
          <w:rFonts w:hint="eastAsia"/>
          <w:lang w:val="en-US" w:eastAsia="zh-CN"/>
        </w:rPr>
        <w:fldChar w:fldCharType="end"/>
      </w:r>
    </w:p>
    <w:p>
      <w:pPr>
        <w:pStyle w:val="4"/>
        <w:ind w:left="0" w:leftChars="0" w:firstLine="0" w:firstLine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"http://www.chinabond.com.cn/Channel/21000" </w:instrText>
      </w:r>
      <w:r>
        <w:rPr>
          <w:rFonts w:hint="eastAsia"/>
          <w:lang w:val="en-US" w:eastAsia="zh-CN"/>
        </w:rPr>
        <w:fldChar w:fldCharType="separate"/>
      </w:r>
      <w:r>
        <w:rPr>
          <w:rStyle w:val="30"/>
          <w:rFonts w:hint="eastAsia"/>
          <w:lang w:val="en-US" w:eastAsia="zh-CN"/>
        </w:rPr>
        <w:t>http://www.chinabond.com.cn/Channel/21000</w:t>
      </w:r>
      <w:r>
        <w:rPr>
          <w:rFonts w:hint="eastAsia"/>
          <w:lang w:val="en-US" w:eastAsia="zh-CN"/>
        </w:rPr>
        <w:fldChar w:fldCharType="end"/>
      </w:r>
      <w:r>
        <w:rPr>
          <w:rFonts w:hint="eastAsia"/>
          <w:lang w:val="en-US" w:eastAsia="zh-CN"/>
        </w:rPr>
        <w:t xml:space="preserve">    付息兑付与行权公告中</w:t>
      </w:r>
    </w:p>
    <w:p>
      <w:pPr>
        <w:pStyle w:val="4"/>
        <w:ind w:left="0" w:leftChars="0" w:firstLine="0" w:firstLineChars="0"/>
        <w:rPr>
          <w:rFonts w:hint="eastAsia"/>
          <w:lang w:val="en-US" w:eastAsia="zh-CN"/>
        </w:rPr>
      </w:pPr>
      <w:r>
        <w:rPr>
          <w:rFonts w:hint="eastAsia"/>
          <w:lang w:val="en-US" w:eastAsia="zh-CN"/>
        </w:rPr>
        <w:t>中国货币网：</w:t>
      </w:r>
      <w:r>
        <w:rPr>
          <w:rFonts w:hint="eastAsia"/>
          <w:lang w:val="en-US" w:eastAsia="zh-CN"/>
        </w:rPr>
        <w:fldChar w:fldCharType="begin"/>
      </w:r>
      <w:r>
        <w:rPr>
          <w:rFonts w:hint="eastAsia"/>
          <w:lang w:val="en-US" w:eastAsia="zh-CN"/>
        </w:rPr>
        <w:instrText xml:space="preserve"> HYPERLINK "http://www.chinamoney.com.cn/fe/Channel/8298" </w:instrText>
      </w:r>
      <w:r>
        <w:rPr>
          <w:rFonts w:hint="eastAsia"/>
          <w:lang w:val="en-US" w:eastAsia="zh-CN"/>
        </w:rPr>
        <w:fldChar w:fldCharType="separate"/>
      </w:r>
      <w:r>
        <w:rPr>
          <w:rStyle w:val="30"/>
          <w:rFonts w:hint="eastAsia"/>
          <w:lang w:val="en-US" w:eastAsia="zh-CN"/>
        </w:rPr>
        <w:t>http://www.chinamoney.com.cn/fe/Channel/8298</w:t>
      </w:r>
      <w:r>
        <w:rPr>
          <w:rFonts w:hint="eastAsia"/>
          <w:lang w:val="en-US" w:eastAsia="zh-CN"/>
        </w:rPr>
        <w:fldChar w:fldCharType="end"/>
      </w:r>
    </w:p>
    <w:p>
      <w:pPr>
        <w:pStyle w:val="4"/>
        <w:ind w:left="0" w:leftChars="0" w:firstLine="0" w:firstLineChars="0"/>
        <w:rPr>
          <w:rFonts w:hint="eastAsia"/>
          <w:lang w:val="en-US" w:eastAsia="zh-CN"/>
        </w:rPr>
      </w:pPr>
      <w:r>
        <w:rPr>
          <w:rFonts w:hint="eastAsia"/>
          <w:lang w:val="en-US" w:eastAsia="zh-CN"/>
        </w:rPr>
        <w:t>上海清算所：</w:t>
      </w:r>
      <w:r>
        <w:rPr>
          <w:rFonts w:hint="eastAsia"/>
          <w:lang w:val="en-US" w:eastAsia="zh-CN"/>
        </w:rPr>
        <w:fldChar w:fldCharType="begin"/>
      </w:r>
      <w:r>
        <w:rPr>
          <w:rFonts w:hint="eastAsia"/>
          <w:lang w:val="en-US" w:eastAsia="zh-CN"/>
        </w:rPr>
        <w:instrText xml:space="preserve"> HYPERLINK "http://www.shclearing.com/xxpl/dfzx/index_5.html" </w:instrText>
      </w:r>
      <w:r>
        <w:rPr>
          <w:rFonts w:hint="eastAsia"/>
          <w:lang w:val="en-US" w:eastAsia="zh-CN"/>
        </w:rPr>
        <w:fldChar w:fldCharType="separate"/>
      </w:r>
      <w:r>
        <w:rPr>
          <w:rStyle w:val="30"/>
          <w:rFonts w:hint="eastAsia"/>
          <w:lang w:val="en-US" w:eastAsia="zh-CN"/>
        </w:rPr>
        <w:t>http://www.shclearing.com/xxpl/dfzx/index_5.html</w:t>
      </w:r>
      <w:r>
        <w:rPr>
          <w:rFonts w:hint="eastAsia"/>
          <w:lang w:val="en-US" w:eastAsia="zh-CN"/>
        </w:rPr>
        <w:fldChar w:fldCharType="end"/>
      </w:r>
    </w:p>
    <w:p>
      <w:pPr>
        <w:pStyle w:val="4"/>
        <w:ind w:left="0" w:leftChars="0" w:firstLine="0" w:firstLineChars="0"/>
        <w:rPr>
          <w:rFonts w:hint="eastAsia"/>
          <w:lang w:val="en-US" w:eastAsia="zh-CN"/>
        </w:rPr>
      </w:pPr>
      <w:r>
        <w:rPr>
          <w:rFonts w:hint="eastAsia"/>
          <w:lang w:val="en-US" w:eastAsia="zh-CN"/>
        </w:rPr>
        <w:t>上海证券交易所：</w:t>
      </w:r>
      <w:r>
        <w:rPr>
          <w:rFonts w:hint="eastAsia"/>
          <w:lang w:val="en-US" w:eastAsia="zh-CN"/>
        </w:rPr>
        <w:fldChar w:fldCharType="begin"/>
      </w:r>
      <w:r>
        <w:rPr>
          <w:rFonts w:hint="eastAsia"/>
          <w:lang w:val="en-US" w:eastAsia="zh-CN"/>
        </w:rPr>
        <w:instrText xml:space="preserve"> HYPERLINK "http://www.sse.com.cn/disclosure/bond/announcement/corporate/" </w:instrText>
      </w:r>
      <w:r>
        <w:rPr>
          <w:rFonts w:hint="eastAsia"/>
          <w:lang w:val="en-US" w:eastAsia="zh-CN"/>
        </w:rPr>
        <w:fldChar w:fldCharType="separate"/>
      </w:r>
      <w:r>
        <w:rPr>
          <w:rStyle w:val="30"/>
          <w:rFonts w:hint="eastAsia"/>
          <w:lang w:val="en-US" w:eastAsia="zh-CN"/>
        </w:rPr>
        <w:t>http://www.sse.com.cn/disclosure/bond/announcement/corporate/</w:t>
      </w:r>
      <w:r>
        <w:rPr>
          <w:rFonts w:hint="eastAsia"/>
          <w:lang w:val="en-US" w:eastAsia="zh-CN"/>
        </w:rPr>
        <w:fldChar w:fldCharType="end"/>
      </w:r>
    </w:p>
    <w:p>
      <w:pPr>
        <w:pStyle w:val="4"/>
        <w:ind w:left="0" w:leftChars="0" w:firstLine="0" w:firstLineChars="0"/>
        <w:rPr>
          <w:rFonts w:hint="eastAsia"/>
          <w:lang w:val="en-US" w:eastAsia="zh-CN"/>
        </w:rPr>
      </w:pPr>
      <w:r>
        <w:rPr>
          <w:rFonts w:hint="eastAsia"/>
          <w:lang w:val="en-US" w:eastAsia="zh-CN"/>
        </w:rPr>
        <w:t>深圳证券交易所：</w:t>
      </w:r>
      <w:r>
        <w:rPr>
          <w:rFonts w:hint="eastAsia"/>
          <w:lang w:val="en-US" w:eastAsia="zh-CN"/>
        </w:rPr>
        <w:fldChar w:fldCharType="begin"/>
      </w:r>
      <w:r>
        <w:rPr>
          <w:rFonts w:hint="eastAsia"/>
          <w:lang w:val="en-US" w:eastAsia="zh-CN"/>
        </w:rPr>
        <w:instrText xml:space="preserve"> HYPERLINK "http://disclosure.szse.cn/m/zqgg.htm" </w:instrText>
      </w:r>
      <w:r>
        <w:rPr>
          <w:rFonts w:hint="eastAsia"/>
          <w:lang w:val="en-US" w:eastAsia="zh-CN"/>
        </w:rPr>
        <w:fldChar w:fldCharType="separate"/>
      </w:r>
      <w:r>
        <w:rPr>
          <w:rStyle w:val="30"/>
          <w:rFonts w:hint="eastAsia"/>
          <w:lang w:val="en-US" w:eastAsia="zh-CN"/>
        </w:rPr>
        <w:t>http://disclosure.szse.cn/m/zqgg.htm</w:t>
      </w:r>
      <w:r>
        <w:rPr>
          <w:rFonts w:hint="eastAsia"/>
          <w:lang w:val="en-US" w:eastAsia="zh-CN"/>
        </w:rPr>
        <w:fldChar w:fldCharType="end"/>
      </w:r>
    </w:p>
    <w:p>
      <w:pPr>
        <w:pStyle w:val="4"/>
        <w:rPr>
          <w:rFonts w:hint="eastAsia"/>
          <w:lang w:val="en-US" w:eastAsia="zh-CN"/>
        </w:rPr>
      </w:pPr>
      <w:r>
        <w:rPr>
          <w:rFonts w:hint="eastAsia"/>
          <w:lang w:val="en-US" w:eastAsia="zh-CN"/>
        </w:rPr>
        <w:t>特殊条款分为发行人特殊条款和投资者特殊条款，特殊条款主要是授予债券发行人或债券持有者某项权利。主要包括：投资者回售选择权、发行人赎回选择权、减记条款、债券转换等。特殊条款行权时，会券的使债规模会发生变化主要有以下几种：债券回售、债券赎回、债券转换、债券转售、债券注销、债券减记。债券回售、债券赎回、债券注销、债券减记行权时，债券规模减少。债券转售行权时，债券规模增加。债券转换行权时，可以让一种债券的规模减少，另外一种债券的规模增加。债券转换中债券转出时债券规模减少，债券转入时债券规模增加。债券减记条款是让债券的规模直接变为0。</w:t>
      </w:r>
    </w:p>
    <w:p>
      <w:pPr>
        <w:pStyle w:val="5"/>
        <w:rPr>
          <w:rFonts w:hint="eastAsia"/>
          <w:lang w:val="en-US" w:eastAsia="zh-CN"/>
        </w:rPr>
      </w:pPr>
      <w:bookmarkStart w:id="13" w:name="_Toc20830"/>
      <w:r>
        <w:rPr>
          <w:rFonts w:hint="eastAsia"/>
          <w:lang w:eastAsia="zh-CN"/>
        </w:rPr>
        <w:t>现有业务阐述</w:t>
      </w:r>
      <w:bookmarkEnd w:id="13"/>
    </w:p>
    <w:p>
      <w:pPr>
        <w:pStyle w:val="5"/>
        <w:rPr>
          <w:rFonts w:hint="eastAsia"/>
        </w:rPr>
      </w:pPr>
      <w:bookmarkStart w:id="14" w:name="_Toc7416"/>
      <w:r>
        <w:rPr>
          <w:rFonts w:hint="eastAsia"/>
          <w:lang w:eastAsia="zh-CN"/>
        </w:rPr>
        <w:t>修改的必要性</w:t>
      </w:r>
      <w:bookmarkEnd w:id="14"/>
    </w:p>
    <w:p>
      <w:pPr>
        <w:pStyle w:val="5"/>
        <w:rPr>
          <w:rFonts w:hint="eastAsia"/>
          <w:lang w:val="en-US" w:eastAsia="zh-CN"/>
        </w:rPr>
      </w:pPr>
      <w:bookmarkStart w:id="15" w:name="_Toc18989"/>
      <w:r>
        <w:rPr>
          <w:rFonts w:hint="eastAsia"/>
          <w:lang w:eastAsia="zh-CN"/>
        </w:rPr>
        <w:t>录入库方案</w:t>
      </w:r>
      <w:bookmarkEnd w:id="15"/>
    </w:p>
    <w:p>
      <w:pPr>
        <w:pStyle w:val="4"/>
        <w:rPr>
          <w:rFonts w:hint="eastAsia"/>
          <w:color w:val="auto"/>
          <w:lang w:val="en-US" w:eastAsia="zh-CN"/>
        </w:rPr>
      </w:pPr>
      <w:r>
        <w:rPr>
          <w:rFonts w:hint="eastAsia"/>
          <w:color w:val="auto"/>
          <w:lang w:val="en-US" w:eastAsia="zh-CN"/>
        </w:rPr>
        <w:t>考虑债券规模变动表中业务字段的简洁性，考虑数据已经描述的很清晰了，建议用横表来处理。</w:t>
      </w:r>
    </w:p>
    <w:p>
      <w:pPr>
        <w:pStyle w:val="4"/>
        <w:rPr>
          <w:rFonts w:hint="eastAsia"/>
          <w:lang w:val="en-US" w:eastAsia="zh-CN"/>
        </w:rPr>
      </w:pPr>
    </w:p>
    <w:p>
      <w:pPr>
        <w:pStyle w:val="5"/>
        <w:rPr>
          <w:rFonts w:hint="eastAsia"/>
          <w:lang w:val="en-US" w:eastAsia="zh-CN"/>
        </w:rPr>
      </w:pPr>
      <w:bookmarkStart w:id="16" w:name="_Toc10163"/>
      <w:r>
        <w:rPr>
          <w:rFonts w:hint="eastAsia"/>
          <w:lang w:eastAsia="zh-CN"/>
        </w:rPr>
        <w:t>数据库产品方案</w:t>
      </w:r>
      <w:bookmarkEnd w:id="16"/>
    </w:p>
    <w:p>
      <w:pPr>
        <w:pStyle w:val="5"/>
        <w:rPr>
          <w:rFonts w:hint="eastAsia"/>
          <w:lang w:val="en-US" w:eastAsia="zh-CN"/>
        </w:rPr>
      </w:pPr>
      <w:bookmarkStart w:id="17" w:name="_Toc24608"/>
      <w:r>
        <w:rPr>
          <w:rFonts w:hint="eastAsia"/>
          <w:lang w:eastAsia="zh-CN"/>
        </w:rPr>
        <w:t>终端产品方案</w:t>
      </w:r>
      <w:bookmarkEnd w:id="17"/>
    </w:p>
    <w:p>
      <w:pPr>
        <w:pStyle w:val="4"/>
        <w:rPr>
          <w:rFonts w:hint="eastAsia"/>
          <w:lang w:val="en-US" w:eastAsia="zh-CN"/>
        </w:rPr>
      </w:pPr>
    </w:p>
    <w:p>
      <w:pPr>
        <w:pStyle w:val="3"/>
        <w:rPr>
          <w:rFonts w:hint="eastAsia"/>
        </w:rPr>
      </w:pPr>
      <w:bookmarkStart w:id="18" w:name="_Toc651"/>
      <w:bookmarkStart w:id="19" w:name="_Toc1803"/>
      <w:r>
        <w:rPr>
          <w:rFonts w:hint="eastAsia"/>
        </w:rPr>
        <w:t>方案的审定</w:t>
      </w:r>
      <w:bookmarkEnd w:id="18"/>
      <w:bookmarkEnd w:id="19"/>
    </w:p>
    <w:tbl>
      <w:tblPr>
        <w:tblStyle w:val="3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7"/>
        <w:gridCol w:w="708"/>
        <w:gridCol w:w="854"/>
        <w:gridCol w:w="5240"/>
        <w:gridCol w:w="1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NO</w:t>
            </w:r>
          </w:p>
        </w:tc>
        <w:tc>
          <w:tcPr>
            <w:tcW w:w="708"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部门</w:t>
            </w:r>
          </w:p>
        </w:tc>
        <w:tc>
          <w:tcPr>
            <w:tcW w:w="854"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人员</w:t>
            </w:r>
          </w:p>
        </w:tc>
        <w:tc>
          <w:tcPr>
            <w:tcW w:w="5240"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论  点</w:t>
            </w:r>
          </w:p>
        </w:tc>
        <w:tc>
          <w:tcPr>
            <w:tcW w:w="1948"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1</w:t>
            </w:r>
          </w:p>
        </w:tc>
        <w:tc>
          <w:tcPr>
            <w:tcW w:w="708" w:type="dxa"/>
          </w:tcPr>
          <w:p>
            <w:pPr>
              <w:pStyle w:val="4"/>
              <w:ind w:firstLine="0" w:firstLineChars="0"/>
              <w:rPr>
                <w:rFonts w:asciiTheme="minorEastAsia" w:hAnsiTheme="minorEastAsia" w:eastAsiaTheme="minorEastAsia"/>
              </w:rPr>
            </w:pPr>
          </w:p>
        </w:tc>
        <w:tc>
          <w:tcPr>
            <w:tcW w:w="854" w:type="dxa"/>
          </w:tcPr>
          <w:p>
            <w:pPr>
              <w:pStyle w:val="4"/>
              <w:ind w:firstLine="0" w:firstLineChars="0"/>
              <w:rPr>
                <w:rFonts w:asciiTheme="minorEastAsia" w:hAnsiTheme="minorEastAsia" w:eastAsiaTheme="minorEastAsia"/>
              </w:rPr>
            </w:pPr>
          </w:p>
        </w:tc>
        <w:tc>
          <w:tcPr>
            <w:tcW w:w="5240" w:type="dxa"/>
          </w:tcPr>
          <w:p>
            <w:pPr>
              <w:pStyle w:val="4"/>
              <w:ind w:firstLine="0" w:firstLineChars="0"/>
              <w:rPr>
                <w:rFonts w:asciiTheme="minorEastAsia" w:hAnsiTheme="minorEastAsia" w:eastAsiaTheme="minorEastAsia"/>
              </w:rPr>
            </w:pPr>
          </w:p>
        </w:tc>
        <w:tc>
          <w:tcPr>
            <w:tcW w:w="1948" w:type="dxa"/>
          </w:tcPr>
          <w:p>
            <w:pPr>
              <w:pStyle w:val="4"/>
              <w:ind w:firstLine="0" w:firstLineChars="0"/>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2</w:t>
            </w:r>
          </w:p>
        </w:tc>
        <w:tc>
          <w:tcPr>
            <w:tcW w:w="708" w:type="dxa"/>
          </w:tcPr>
          <w:p>
            <w:pPr>
              <w:pStyle w:val="4"/>
              <w:ind w:firstLine="0" w:firstLineChars="0"/>
              <w:rPr>
                <w:rFonts w:asciiTheme="minorEastAsia" w:hAnsiTheme="minorEastAsia" w:eastAsiaTheme="minorEastAsia"/>
              </w:rPr>
            </w:pPr>
          </w:p>
        </w:tc>
        <w:tc>
          <w:tcPr>
            <w:tcW w:w="854" w:type="dxa"/>
          </w:tcPr>
          <w:p>
            <w:pPr>
              <w:pStyle w:val="4"/>
              <w:ind w:firstLine="0" w:firstLineChars="0"/>
              <w:rPr>
                <w:rFonts w:asciiTheme="minorEastAsia" w:hAnsiTheme="minorEastAsia" w:eastAsiaTheme="minorEastAsia"/>
              </w:rPr>
            </w:pPr>
          </w:p>
        </w:tc>
        <w:tc>
          <w:tcPr>
            <w:tcW w:w="5240" w:type="dxa"/>
          </w:tcPr>
          <w:p>
            <w:pPr>
              <w:pStyle w:val="4"/>
              <w:ind w:firstLine="0" w:firstLineChars="0"/>
              <w:rPr>
                <w:rFonts w:asciiTheme="minorEastAsia" w:hAnsiTheme="minorEastAsia" w:eastAsiaTheme="minorEastAsia"/>
              </w:rPr>
            </w:pPr>
          </w:p>
        </w:tc>
        <w:tc>
          <w:tcPr>
            <w:tcW w:w="1948" w:type="dxa"/>
          </w:tcPr>
          <w:p>
            <w:pPr>
              <w:pStyle w:val="4"/>
              <w:ind w:firstLine="0" w:firstLineChars="0"/>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7" w:type="dxa"/>
          </w:tcPr>
          <w:p>
            <w:pPr>
              <w:pStyle w:val="4"/>
              <w:ind w:firstLine="0" w:firstLineChars="0"/>
              <w:jc w:val="center"/>
              <w:rPr>
                <w:rFonts w:asciiTheme="minorEastAsia" w:hAnsiTheme="minorEastAsia" w:eastAsiaTheme="minorEastAsia"/>
              </w:rPr>
            </w:pPr>
            <w:r>
              <w:rPr>
                <w:rFonts w:hint="eastAsia" w:asciiTheme="minorEastAsia" w:hAnsiTheme="minorEastAsia" w:eastAsiaTheme="minorEastAsia"/>
              </w:rPr>
              <w:t>3</w:t>
            </w:r>
          </w:p>
        </w:tc>
        <w:tc>
          <w:tcPr>
            <w:tcW w:w="708" w:type="dxa"/>
          </w:tcPr>
          <w:p>
            <w:pPr>
              <w:pStyle w:val="4"/>
              <w:ind w:firstLine="0" w:firstLineChars="0"/>
              <w:rPr>
                <w:rFonts w:asciiTheme="minorEastAsia" w:hAnsiTheme="minorEastAsia" w:eastAsiaTheme="minorEastAsia"/>
              </w:rPr>
            </w:pPr>
          </w:p>
        </w:tc>
        <w:tc>
          <w:tcPr>
            <w:tcW w:w="854" w:type="dxa"/>
          </w:tcPr>
          <w:p>
            <w:pPr>
              <w:pStyle w:val="4"/>
              <w:ind w:firstLine="0" w:firstLineChars="0"/>
              <w:rPr>
                <w:rFonts w:asciiTheme="minorEastAsia" w:hAnsiTheme="minorEastAsia" w:eastAsiaTheme="minorEastAsia"/>
              </w:rPr>
            </w:pPr>
          </w:p>
        </w:tc>
        <w:tc>
          <w:tcPr>
            <w:tcW w:w="5240" w:type="dxa"/>
          </w:tcPr>
          <w:p>
            <w:pPr>
              <w:pStyle w:val="4"/>
              <w:ind w:firstLine="0" w:firstLineChars="0"/>
              <w:rPr>
                <w:rFonts w:asciiTheme="minorEastAsia" w:hAnsiTheme="minorEastAsia" w:eastAsiaTheme="minorEastAsia"/>
              </w:rPr>
            </w:pPr>
          </w:p>
        </w:tc>
        <w:tc>
          <w:tcPr>
            <w:tcW w:w="1948" w:type="dxa"/>
          </w:tcPr>
          <w:p>
            <w:pPr>
              <w:pStyle w:val="4"/>
              <w:ind w:firstLine="0" w:firstLineChars="0"/>
              <w:rPr>
                <w:rFonts w:asciiTheme="minorEastAsia" w:hAnsiTheme="minorEastAsia" w:eastAsiaTheme="minorEastAsia"/>
              </w:rPr>
            </w:pPr>
          </w:p>
        </w:tc>
      </w:tr>
    </w:tbl>
    <w:p>
      <w:pPr>
        <w:pStyle w:val="4"/>
        <w:rPr>
          <w:rFonts w:hint="eastAsia"/>
        </w:rPr>
      </w:pPr>
    </w:p>
    <w:p>
      <w:pPr>
        <w:pStyle w:val="4"/>
        <w:ind w:left="0" w:leftChars="0" w:firstLine="0" w:firstLineChars="0"/>
        <w:rPr>
          <w:rFonts w:hint="eastAsia"/>
        </w:rPr>
      </w:pPr>
    </w:p>
    <w:p>
      <w:pPr>
        <w:pStyle w:val="4"/>
        <w:rPr>
          <w:rFonts w:hint="eastAsia"/>
        </w:rPr>
      </w:pPr>
    </w:p>
    <w:p>
      <w:pPr>
        <w:pStyle w:val="4"/>
        <w:rPr>
          <w:rFonts w:hint="eastAsia"/>
        </w:rPr>
      </w:pPr>
    </w:p>
    <w:p>
      <w:pPr>
        <w:pStyle w:val="4"/>
        <w:rPr>
          <w:rFonts w:hint="eastAsia"/>
        </w:rPr>
      </w:pPr>
    </w:p>
    <w:p>
      <w:pPr>
        <w:pStyle w:val="2"/>
      </w:pPr>
      <w:bookmarkStart w:id="20" w:name="_Toc19404"/>
      <w:bookmarkStart w:id="21" w:name="_Toc15401"/>
      <w:r>
        <w:rPr>
          <w:rFonts w:hint="eastAsia"/>
        </w:rPr>
        <w:t>开发</w:t>
      </w:r>
      <w:r>
        <w:t>与</w:t>
      </w:r>
      <w:r>
        <w:rPr>
          <w:rFonts w:hint="eastAsia"/>
        </w:rPr>
        <w:t>实施（针对</w:t>
      </w:r>
      <w:r>
        <w:t>开发人员）</w:t>
      </w:r>
      <w:bookmarkEnd w:id="20"/>
      <w:bookmarkEnd w:id="21"/>
    </w:p>
    <w:p>
      <w:pPr>
        <w:pStyle w:val="3"/>
      </w:pPr>
      <w:bookmarkStart w:id="22" w:name="_Toc31276"/>
      <w:bookmarkStart w:id="23" w:name="_Toc24802"/>
      <w:r>
        <w:rPr>
          <w:rFonts w:hint="eastAsia"/>
        </w:rPr>
        <w:t>本次</w:t>
      </w:r>
      <w:r>
        <w:t>修改内容</w:t>
      </w:r>
      <w:bookmarkEnd w:id="22"/>
      <w:bookmarkEnd w:id="23"/>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152877744"/>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asciiTheme="minorEastAsia" w:hAnsiTheme="minorEastAsia" w:eastAsiaTheme="minorEastAsia"/>
                    <w:b/>
                    <w:kern w:val="2"/>
                    <w:sz w:val="18"/>
                    <w:szCs w:val="18"/>
                    <w:lang w:val="en-US" w:eastAsia="zh-CN" w:bidi="ar-SA"/>
                  </w:rPr>
                  <w:t>√ 不适用</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953518270"/>
              <w:lock w:val="sdtLocked"/>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pStyle w:val="5"/>
      </w:pPr>
      <w:bookmarkStart w:id="24" w:name="_Toc7695"/>
      <w:bookmarkStart w:id="25" w:name="_Toc8560"/>
      <w:r>
        <w:rPr>
          <w:rFonts w:hint="eastAsia"/>
        </w:rPr>
        <w:t>表</w:t>
      </w:r>
      <w:r>
        <w:t>基本信息</w:t>
      </w:r>
      <w:bookmarkEnd w:id="24"/>
      <w:bookmarkEnd w:id="25"/>
    </w:p>
    <w:tbl>
      <w:tblPr>
        <w:tblStyle w:val="36"/>
        <w:tblW w:w="92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
        <w:gridCol w:w="1350"/>
        <w:gridCol w:w="5115"/>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4" w:type="dxa"/>
          </w:tcPr>
          <w:p>
            <w:pPr>
              <w:pStyle w:val="4"/>
              <w:ind w:firstLine="0" w:firstLineChars="0"/>
              <w:rPr>
                <w:rFonts w:hint="eastAsia"/>
              </w:rPr>
            </w:pPr>
            <w:r>
              <w:rPr>
                <w:rFonts w:hint="eastAsia"/>
              </w:rPr>
              <w:t>表</w:t>
            </w:r>
            <w:r>
              <w:t>编号</w:t>
            </w:r>
          </w:p>
        </w:tc>
        <w:tc>
          <w:tcPr>
            <w:tcW w:w="1350" w:type="dxa"/>
          </w:tcPr>
          <w:p>
            <w:pPr>
              <w:pStyle w:val="4"/>
              <w:ind w:firstLine="0" w:firstLineChars="0"/>
              <w:rPr>
                <w:rFonts w:hint="eastAsia"/>
              </w:rPr>
            </w:pPr>
            <w:r>
              <w:rPr>
                <w:rFonts w:hint="eastAsia"/>
              </w:rPr>
              <w:t>表名</w:t>
            </w:r>
            <w:r>
              <w:rPr>
                <w:rFonts w:hint="eastAsia"/>
                <w:lang w:eastAsia="zh-CN"/>
              </w:rPr>
              <w:t>称</w:t>
            </w:r>
          </w:p>
        </w:tc>
        <w:tc>
          <w:tcPr>
            <w:tcW w:w="5115" w:type="dxa"/>
          </w:tcPr>
          <w:p>
            <w:pPr>
              <w:pStyle w:val="4"/>
              <w:ind w:firstLine="0" w:firstLineChars="0"/>
              <w:rPr>
                <w:rFonts w:hint="eastAsia"/>
              </w:rPr>
            </w:pPr>
            <w:r>
              <w:rPr>
                <w:rFonts w:hint="eastAsia"/>
              </w:rPr>
              <w:t>表描述</w:t>
            </w:r>
          </w:p>
        </w:tc>
        <w:tc>
          <w:tcPr>
            <w:tcW w:w="1860" w:type="dxa"/>
            <w:textDirection w:val="lrTb"/>
            <w:vAlign w:val="top"/>
          </w:tcPr>
          <w:p>
            <w:pPr>
              <w:pStyle w:val="4"/>
              <w:ind w:firstLine="0" w:firstLineChars="0"/>
            </w:pPr>
            <w:r>
              <w:rPr>
                <w:rFonts w:hint="eastAsia"/>
              </w:rPr>
              <w:t>表</w:t>
            </w:r>
            <w:r>
              <w:t>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4" w:type="dxa"/>
          </w:tcPr>
          <w:p>
            <w:pPr>
              <w:pStyle w:val="4"/>
              <w:ind w:firstLine="0" w:firstLineChars="0"/>
              <w:rPr>
                <w:rFonts w:hint="eastAsia" w:eastAsia="宋体"/>
                <w:lang w:val="en-US" w:eastAsia="zh-CN"/>
              </w:rPr>
            </w:pPr>
            <w:r>
              <w:rPr>
                <w:rFonts w:hint="eastAsia"/>
                <w:lang w:val="en-US" w:eastAsia="zh-CN"/>
              </w:rPr>
              <w:t>P12013</w:t>
            </w:r>
          </w:p>
        </w:tc>
        <w:tc>
          <w:tcPr>
            <w:tcW w:w="1350" w:type="dxa"/>
          </w:tcPr>
          <w:p>
            <w:pPr>
              <w:pStyle w:val="4"/>
              <w:ind w:firstLine="0" w:firstLineChars="0"/>
              <w:rPr>
                <w:rFonts w:hint="eastAsia" w:eastAsia="宋体"/>
                <w:lang w:eastAsia="zh-CN"/>
              </w:rPr>
            </w:pPr>
            <w:r>
              <w:rPr>
                <w:rFonts w:hint="eastAsia"/>
                <w:lang w:eastAsia="zh-CN"/>
              </w:rPr>
              <w:t>债券规模变动表</w:t>
            </w:r>
          </w:p>
        </w:tc>
        <w:tc>
          <w:tcPr>
            <w:tcW w:w="5115" w:type="dxa"/>
          </w:tcPr>
          <w:p>
            <w:pPr>
              <w:pStyle w:val="4"/>
              <w:ind w:firstLine="0" w:firstLineChars="0"/>
              <w:rPr>
                <w:rFonts w:hint="eastAsia" w:eastAsia="宋体"/>
                <w:lang w:eastAsia="zh-CN"/>
              </w:rPr>
            </w:pPr>
            <w:r>
              <w:rPr>
                <w:rFonts w:hint="eastAsia"/>
                <w:lang w:eastAsia="zh-CN"/>
              </w:rPr>
              <w:t>主要是记录债券从发行到摘牌这个过程中债券规模变动的详细情况。</w:t>
            </w:r>
          </w:p>
        </w:tc>
        <w:tc>
          <w:tcPr>
            <w:tcW w:w="1860" w:type="dxa"/>
            <w:textDirection w:val="lrTb"/>
            <w:vAlign w:val="top"/>
          </w:tcPr>
          <w:p>
            <w:pPr>
              <w:pStyle w:val="4"/>
              <w:ind w:firstLine="0" w:firstLineChars="0"/>
              <w:rPr>
                <w:rFonts w:hint="eastAsia" w:eastAsia="宋体"/>
                <w:lang w:eastAsia="zh-CN"/>
              </w:rPr>
            </w:pPr>
            <w:r>
              <w:rPr>
                <w:rFonts w:hint="eastAsia"/>
                <w:lang w:eastAsia="zh-CN"/>
              </w:rPr>
              <w:t>债券类</w:t>
            </w:r>
          </w:p>
        </w:tc>
      </w:tr>
    </w:tbl>
    <w:p>
      <w:pPr>
        <w:pStyle w:val="5"/>
      </w:pPr>
      <w:bookmarkStart w:id="26" w:name="_Toc10568"/>
      <w:bookmarkStart w:id="27" w:name="_Toc30351"/>
      <w:r>
        <w:rPr>
          <w:rFonts w:hint="eastAsia"/>
        </w:rPr>
        <w:t>字段</w:t>
      </w:r>
      <w:r>
        <w:t>基本信息</w:t>
      </w:r>
      <w:bookmarkEnd w:id="26"/>
      <w:bookmarkEnd w:id="27"/>
    </w:p>
    <w:p>
      <w:pPr>
        <w:pStyle w:val="6"/>
      </w:pPr>
      <w:r>
        <w:rPr>
          <w:rFonts w:hint="eastAsia"/>
          <w:lang w:eastAsia="zh-CN"/>
        </w:rPr>
        <w:t>字段属性</w:t>
      </w:r>
    </w:p>
    <w:p>
      <w:pPr>
        <w:rPr>
          <w:rFonts w:hint="eastAsia" w:eastAsia="宋体"/>
          <w:lang w:eastAsia="zh-CN"/>
        </w:rPr>
      </w:pPr>
      <w:r>
        <w:rPr>
          <w:rFonts w:hint="eastAsia"/>
          <w:lang w:eastAsia="zh-CN"/>
        </w:rPr>
        <w:t>标黄为系统字段</w:t>
      </w:r>
    </w:p>
    <w:tbl>
      <w:tblPr>
        <w:tblStyle w:val="35"/>
        <w:tblW w:w="886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40"/>
        <w:gridCol w:w="1830"/>
        <w:gridCol w:w="1680"/>
        <w:gridCol w:w="1080"/>
        <w:gridCol w:w="1770"/>
        <w:gridCol w:w="16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COLID</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COLUMNNAMECHN</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COLTYPE</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REMARK</w:t>
            </w: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4"/>
                <w:szCs w:val="24"/>
                <w:u w:val="none"/>
              </w:rPr>
            </w:pPr>
            <w:r>
              <w:rPr>
                <w:rFonts w:hint="eastAsia" w:ascii="宋体" w:hAnsi="宋体" w:eastAsia="宋体" w:cs="宋体"/>
                <w:b/>
                <w:i w:val="0"/>
                <w:color w:val="000000"/>
                <w:kern w:val="0"/>
                <w:sz w:val="24"/>
                <w:szCs w:val="24"/>
                <w:u w:val="none"/>
                <w:lang w:val="en-US" w:eastAsia="zh-CN" w:bidi="ar"/>
              </w:rPr>
              <w:t>ENUM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140"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FV</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FV</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BIGINT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NOT 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数据库实例唯一，数据变化后发生跳动</w:t>
            </w: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140"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FT</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FT</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BIGINT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NOT 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数据库实例唯一，pk，自生成后不变</w:t>
            </w: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F1</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主内部编码</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NOT 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关联P12001.F1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F2</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债券名称</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VARCHAR(200)</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FF0000"/>
                <w:kern w:val="0"/>
                <w:sz w:val="22"/>
                <w:szCs w:val="22"/>
                <w:u w:val="none"/>
                <w:lang w:val="en-US" w:eastAsia="zh-CN" w:bidi="ar"/>
              </w:rPr>
              <w:t>自动</w:t>
            </w:r>
            <w:r>
              <w:rPr>
                <w:rFonts w:hint="eastAsia" w:ascii="宋体" w:hAnsi="宋体" w:cs="宋体"/>
                <w:i w:val="0"/>
                <w:color w:val="FF0000"/>
                <w:kern w:val="0"/>
                <w:sz w:val="22"/>
                <w:szCs w:val="22"/>
                <w:u w:val="none"/>
                <w:lang w:val="en-US" w:eastAsia="zh-CN" w:bidi="ar"/>
              </w:rPr>
              <w:t>生成</w:t>
            </w: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F3</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公告日期</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INT(8)</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精确到具体日期</w:t>
            </w: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样例20160801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F4</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变动日期</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INT(8)</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NOT 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精确到具体日期</w:t>
            </w: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样例20160801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F5</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变动原因说明</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VARCHAR(50)</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NOT 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F6</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NOT 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F7</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变动规模(元)</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DECIMAL(22,6)</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NOT 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F8</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变动后规模(元)</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DECIMAL(22,6)</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NOT 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F9</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变动后面值(元)</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DECIMAL(8,4)</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NOT 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F10</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备注</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VARCHAR(500)</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F11</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是否有效</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NOT 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080"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FS</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发布状态</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TINYINT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0-未发布，1-待审核，2-已审核，3-已删除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FA</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修改人员账号</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VARCHAR(64)</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FN</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修改人员姓名</w:t>
            </w:r>
          </w:p>
        </w:tc>
        <w:tc>
          <w:tcPr>
            <w:tcW w:w="16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VARCHAR(50)</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FP</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发布时间</w:t>
            </w:r>
          </w:p>
        </w:tc>
        <w:tc>
          <w:tcPr>
            <w:tcW w:w="16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BIGINT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8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4"/>
                <w:szCs w:val="24"/>
                <w:u w:val="none"/>
              </w:rPr>
            </w:pPr>
            <w:r>
              <w:rPr>
                <w:rFonts w:hint="eastAsia" w:ascii="宋体" w:hAnsi="宋体" w:eastAsia="宋体" w:cs="宋体"/>
                <w:i w:val="0"/>
                <w:color w:val="auto"/>
                <w:kern w:val="0"/>
                <w:sz w:val="24"/>
                <w:szCs w:val="24"/>
                <w:u w:val="none"/>
                <w:lang w:val="en-US" w:eastAsia="zh-CN" w:bidi="ar"/>
              </w:rPr>
              <w:t>FU</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auto"/>
                <w:sz w:val="22"/>
                <w:szCs w:val="22"/>
                <w:u w:val="none"/>
              </w:rPr>
            </w:pPr>
            <w:r>
              <w:rPr>
                <w:rFonts w:hint="eastAsia" w:ascii="宋体" w:hAnsi="宋体" w:eastAsia="宋体" w:cs="宋体"/>
                <w:i w:val="0"/>
                <w:color w:val="auto"/>
                <w:kern w:val="0"/>
                <w:sz w:val="22"/>
                <w:szCs w:val="22"/>
                <w:u w:val="none"/>
                <w:lang w:val="en-US" w:eastAsia="zh-CN" w:bidi="ar"/>
              </w:rPr>
              <w:t>更新时间</w:t>
            </w:r>
          </w:p>
        </w:tc>
        <w:tc>
          <w:tcPr>
            <w:tcW w:w="1680"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BIGINT</w:t>
            </w:r>
          </w:p>
        </w:tc>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NULL</w:t>
            </w:r>
          </w:p>
        </w:tc>
        <w:tc>
          <w:tcPr>
            <w:tcW w:w="177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66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r>
    </w:tbl>
    <w:p/>
    <w:p>
      <w:pPr>
        <w:pStyle w:val="6"/>
      </w:pPr>
      <w:r>
        <w:rPr>
          <w:rFonts w:hint="eastAsia"/>
          <w:lang w:eastAsia="zh-CN"/>
        </w:rPr>
        <w:t>参数</w:t>
      </w:r>
      <w:r>
        <w:t>类型</w:t>
      </w:r>
    </w:p>
    <w:tbl>
      <w:tblPr>
        <w:tblStyle w:val="35"/>
        <w:tblW w:w="72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80"/>
        <w:gridCol w:w="1611"/>
        <w:gridCol w:w="1575"/>
        <w:gridCol w:w="1140"/>
        <w:gridCol w:w="1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参数类别</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类别名称</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参数分类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value</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label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债券发行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w:t>
            </w:r>
            <w:r>
              <w:rPr>
                <w:rFonts w:hint="eastAsia" w:ascii="宋体" w:hAnsi="宋体" w:cs="宋体"/>
                <w:i w:val="0"/>
                <w:strike w:val="0"/>
                <w:dstrike w:val="0"/>
                <w:color w:val="000000"/>
                <w:kern w:val="0"/>
                <w:sz w:val="22"/>
                <w:szCs w:val="22"/>
                <w:u w:val="none"/>
                <w:lang w:val="en-US" w:eastAsia="zh-CN" w:bidi="ar"/>
              </w:rPr>
              <w:t>续发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债券回售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债券赎回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债券分期兑付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债券延期分期兑付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债券兑付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债券延期兑付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债券转换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债券转售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债券注销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债券减记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A107</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cs="宋体"/>
                <w:i w:val="0"/>
                <w:color w:val="000000"/>
                <w:kern w:val="0"/>
                <w:sz w:val="22"/>
                <w:szCs w:val="22"/>
                <w:u w:val="none"/>
                <w:lang w:val="en-US" w:eastAsia="zh-CN" w:bidi="ar"/>
              </w:rPr>
              <w:t>规模</w:t>
            </w:r>
            <w:r>
              <w:rPr>
                <w:rFonts w:hint="eastAsia" w:ascii="宋体" w:hAnsi="宋体" w:eastAsia="宋体" w:cs="宋体"/>
                <w:i w:val="0"/>
                <w:color w:val="000000"/>
                <w:kern w:val="0"/>
                <w:sz w:val="22"/>
                <w:szCs w:val="22"/>
                <w:u w:val="none"/>
                <w:lang w:val="en-US" w:eastAsia="zh-CN" w:bidi="ar"/>
              </w:rPr>
              <w:t>变动类型</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99</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A66</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是否有效</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0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A66</w:t>
            </w:r>
          </w:p>
        </w:tc>
        <w:tc>
          <w:tcPr>
            <w:tcW w:w="16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是否有效</w:t>
            </w: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w:t>
            </w:r>
          </w:p>
        </w:tc>
        <w:tc>
          <w:tcPr>
            <w:tcW w:w="11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183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bl>
    <w:p/>
    <w:p>
      <w:pPr>
        <w:pStyle w:val="5"/>
      </w:pPr>
      <w:bookmarkStart w:id="28" w:name="_Toc7626"/>
      <w:bookmarkStart w:id="29" w:name="_Toc29734"/>
      <w:r>
        <w:rPr>
          <w:rFonts w:hint="eastAsia"/>
        </w:rPr>
        <w:t>索引</w:t>
      </w:r>
      <w:r>
        <w:t>设计</w:t>
      </w:r>
      <w:bookmarkEnd w:id="28"/>
      <w:bookmarkEnd w:id="29"/>
    </w:p>
    <w:p>
      <w:pPr>
        <w:pStyle w:val="4"/>
        <w:rPr>
          <w:rFonts w:hint="eastAsia"/>
          <w:lang w:eastAsia="zh-CN"/>
        </w:rPr>
      </w:pPr>
      <w:r>
        <w:rPr>
          <w:rFonts w:hint="eastAsia"/>
          <w:lang w:eastAsia="zh-CN"/>
        </w:rPr>
        <w:t>物理主键：</w:t>
      </w:r>
      <w:r>
        <w:rPr>
          <w:rFonts w:hint="eastAsia"/>
          <w:lang w:val="en-US" w:eastAsia="zh-CN"/>
        </w:rPr>
        <w:t>FT(pk)</w:t>
      </w:r>
    </w:p>
    <w:p>
      <w:pPr>
        <w:pStyle w:val="4"/>
        <w:rPr>
          <w:rFonts w:hint="eastAsia"/>
          <w:lang w:eastAsia="zh-CN"/>
        </w:rPr>
      </w:pPr>
      <w:r>
        <w:rPr>
          <w:rFonts w:hint="eastAsia"/>
          <w:lang w:eastAsia="zh-CN"/>
        </w:rPr>
        <w:t>业务主键：主内部编码，变动日期</w:t>
      </w:r>
    </w:p>
    <w:p>
      <w:pPr>
        <w:pStyle w:val="4"/>
        <w:rPr>
          <w:rFonts w:hint="eastAsia"/>
          <w:lang w:eastAsia="zh-CN"/>
        </w:rPr>
      </w:pPr>
      <w:r>
        <w:rPr>
          <w:rFonts w:hint="eastAsia"/>
          <w:lang w:eastAsia="zh-CN"/>
        </w:rPr>
        <w:t>普通索引：变动类型</w:t>
      </w:r>
    </w:p>
    <w:p>
      <w:pPr>
        <w:pStyle w:val="4"/>
        <w:rPr>
          <w:rFonts w:hint="eastAsia"/>
          <w:lang w:val="en-US" w:eastAsia="zh-CN"/>
        </w:rPr>
      </w:pPr>
      <w:r>
        <w:rPr>
          <w:rFonts w:hint="eastAsia"/>
          <w:lang w:val="en-US" w:eastAsia="zh-CN"/>
        </w:rPr>
        <w:t xml:space="preserve">         </w:t>
      </w:r>
    </w:p>
    <w:p>
      <w:pPr>
        <w:pStyle w:val="4"/>
        <w:ind w:left="0" w:leftChars="0" w:firstLine="0" w:firstLineChars="0"/>
        <w:rPr>
          <w:rFonts w:hint="eastAsia"/>
          <w:lang w:eastAsia="zh-CN"/>
        </w:rPr>
      </w:pPr>
    </w:p>
    <w:p>
      <w:pPr>
        <w:pStyle w:val="5"/>
      </w:pPr>
      <w:bookmarkStart w:id="30" w:name="_Toc28552"/>
      <w:bookmarkStart w:id="31" w:name="_Toc17202"/>
      <w:r>
        <w:rPr>
          <w:rFonts w:hint="eastAsia"/>
        </w:rPr>
        <w:t>存储过程</w:t>
      </w:r>
      <w:bookmarkEnd w:id="30"/>
      <w:bookmarkEnd w:id="31"/>
    </w:p>
    <w:p>
      <w:pPr>
        <w:pStyle w:val="4"/>
        <w:rPr>
          <w:rFonts w:hint="eastAsia" w:eastAsia="宋体"/>
          <w:lang w:eastAsia="zh-CN"/>
        </w:rPr>
      </w:pPr>
      <w:r>
        <w:rPr>
          <w:rFonts w:hint="eastAsia"/>
          <w:lang w:eastAsia="zh-CN"/>
        </w:rPr>
        <w:t>不适用</w:t>
      </w:r>
    </w:p>
    <w:p>
      <w:pPr>
        <w:pStyle w:val="5"/>
        <w:rPr>
          <w:rFonts w:hint="eastAsia"/>
        </w:rPr>
      </w:pPr>
      <w:bookmarkStart w:id="32" w:name="_Toc3547"/>
      <w:bookmarkStart w:id="33" w:name="_Toc8162"/>
      <w:r>
        <w:rPr>
          <w:rFonts w:hint="eastAsia"/>
        </w:rPr>
        <w:t>触发器</w:t>
      </w:r>
      <w:bookmarkEnd w:id="32"/>
      <w:bookmarkEnd w:id="33"/>
    </w:p>
    <w:p>
      <w:pPr>
        <w:pStyle w:val="4"/>
        <w:rPr>
          <w:rFonts w:hint="eastAsia"/>
        </w:rPr>
      </w:pPr>
      <w:r>
        <w:rPr>
          <w:rFonts w:hint="eastAsia"/>
          <w:lang w:eastAsia="zh-CN"/>
        </w:rPr>
        <w:t>不适用</w:t>
      </w:r>
    </w:p>
    <w:p>
      <w:pPr>
        <w:pStyle w:val="2"/>
        <w:rPr>
          <w:rFonts w:hint="eastAsia"/>
          <w:lang w:val="en-US" w:eastAsia="zh-CN"/>
        </w:rPr>
      </w:pPr>
      <w:bookmarkStart w:id="34" w:name="_Toc17414"/>
      <w:r>
        <w:rPr>
          <w:rFonts w:hint="eastAsia"/>
          <w:lang w:val="en-US" w:eastAsia="zh-CN"/>
        </w:rPr>
        <w:t>录入工具说明</w:t>
      </w:r>
      <w:bookmarkEnd w:id="34"/>
    </w:p>
    <w:p>
      <w:pPr>
        <w:numPr>
          <w:ilvl w:val="0"/>
          <w:numId w:val="0"/>
        </w:numPr>
        <w:rPr>
          <w:rFonts w:hint="eastAsia"/>
          <w:lang w:val="en-US" w:eastAsia="zh-CN"/>
        </w:rPr>
      </w:pPr>
      <w:r>
        <w:rPr>
          <w:rFonts w:hint="eastAsia"/>
          <w:lang w:val="en-US" w:eastAsia="zh-CN"/>
        </w:rPr>
        <w:t>特殊需求：</w:t>
      </w:r>
    </w:p>
    <w:p>
      <w:pPr>
        <w:numPr>
          <w:ilvl w:val="0"/>
          <w:numId w:val="2"/>
        </w:numPr>
        <w:rPr>
          <w:rFonts w:hint="eastAsia"/>
          <w:lang w:val="en-US" w:eastAsia="zh-CN"/>
        </w:rPr>
      </w:pPr>
      <w:r>
        <w:rPr>
          <w:rFonts w:hint="eastAsia"/>
          <w:lang w:val="en-US" w:eastAsia="zh-CN"/>
        </w:rPr>
        <w:t>【主内部编码】关联P12001主表【主内部编码】字段，</w:t>
      </w:r>
      <w:r>
        <w:rPr>
          <w:rFonts w:hint="eastAsia"/>
          <w:color w:val="FF0000"/>
          <w:lang w:val="en-US" w:eastAsia="zh-CN"/>
        </w:rPr>
        <w:t>通过</w:t>
      </w:r>
      <w:r>
        <w:rPr>
          <w:rFonts w:hint="eastAsia" w:ascii="宋体" w:hAnsi="宋体" w:eastAsia="宋体" w:cs="宋体"/>
          <w:i w:val="0"/>
          <w:color w:val="FF0000"/>
          <w:kern w:val="0"/>
          <w:sz w:val="22"/>
          <w:szCs w:val="22"/>
          <w:u w:val="none"/>
          <w:lang w:val="en-US" w:eastAsia="zh-CN" w:bidi="ar"/>
        </w:rPr>
        <w:t>证券代码</w:t>
      </w:r>
      <w:r>
        <w:rPr>
          <w:rFonts w:hint="eastAsia" w:ascii="宋体" w:hAnsi="宋体" w:cs="宋体"/>
          <w:i w:val="0"/>
          <w:color w:val="FF0000"/>
          <w:kern w:val="0"/>
          <w:sz w:val="22"/>
          <w:szCs w:val="22"/>
          <w:u w:val="none"/>
          <w:lang w:val="en-US" w:eastAsia="zh-CN" w:bidi="ar"/>
        </w:rPr>
        <w:t>和</w:t>
      </w:r>
      <w:r>
        <w:rPr>
          <w:rFonts w:hint="eastAsia"/>
          <w:color w:val="FF0000"/>
          <w:lang w:val="en-US" w:eastAsia="zh-CN"/>
        </w:rPr>
        <w:t>债券简称检索</w:t>
      </w:r>
      <w:r>
        <w:rPr>
          <w:rFonts w:hint="eastAsia"/>
          <w:lang w:val="en-US" w:eastAsia="zh-CN"/>
        </w:rPr>
        <w:t>展示格式为</w:t>
      </w:r>
      <w:r>
        <w:rPr>
          <w:rFonts w:hint="default"/>
          <w:lang w:val="en-US" w:eastAsia="zh-CN"/>
        </w:rPr>
        <w:t>’</w:t>
      </w:r>
      <w:r>
        <w:rPr>
          <w:rFonts w:hint="eastAsia"/>
          <w:lang w:val="en-US" w:eastAsia="zh-CN"/>
        </w:rPr>
        <w:t>主内部编码</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债券简称</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交易代码</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bookmarkStart w:id="35" w:name="_Toc8692"/>
      <w:bookmarkStart w:id="36" w:name="_Toc12015"/>
      <w:r>
        <w:rPr>
          <w:rFonts w:hint="eastAsia"/>
          <w:lang w:val="en-US" w:eastAsia="zh-CN"/>
        </w:rPr>
        <w:t>例如：100091-15赣煤炭CP001-041551018</w:t>
      </w:r>
    </w:p>
    <w:p>
      <w:pPr>
        <w:pStyle w:val="4"/>
        <w:numPr>
          <w:ilvl w:val="0"/>
          <w:numId w:val="0"/>
        </w:numPr>
        <w:rPr>
          <w:rFonts w:hint="eastAsia"/>
          <w:lang w:val="en-US" w:eastAsia="zh-CN"/>
        </w:rPr>
      </w:pPr>
      <w:r>
        <w:rPr>
          <w:rFonts w:hint="eastAsia"/>
          <w:lang w:val="en-US" w:eastAsia="zh-CN"/>
        </w:rPr>
        <w:t>2、【主内部编码】与【债券名称】形成联动，根据【主内部编码】查询，【债券名称】自动生成。处理方式类似于P12003债券发行增发表中的【内部编码】和【债券名称】的处理方式。</w:t>
      </w:r>
    </w:p>
    <w:p>
      <w:pPr>
        <w:pStyle w:val="4"/>
        <w:numPr>
          <w:ilvl w:val="0"/>
          <w:numId w:val="0"/>
        </w:numPr>
        <w:rPr>
          <w:rFonts w:hint="eastAsia"/>
          <w:lang w:val="en-US" w:eastAsia="zh-CN"/>
        </w:rPr>
      </w:pPr>
      <w:r>
        <w:rPr>
          <w:rFonts w:hint="eastAsia"/>
          <w:lang w:val="en-US" w:eastAsia="zh-CN"/>
        </w:rPr>
        <w:t>3、查询字段：【主内部编码】、【债券名称】、【公告日期】、【变动日期】、【变动类型】、【变动规模】、【变动后规模】、【是否有效】、【发布状态】、【修改人姓名】、【更新时间】。</w:t>
      </w:r>
    </w:p>
    <w:p>
      <w:pPr>
        <w:pStyle w:val="4"/>
        <w:numPr>
          <w:ilvl w:val="0"/>
          <w:numId w:val="0"/>
        </w:numPr>
        <w:rPr>
          <w:rFonts w:hint="eastAsia"/>
          <w:lang w:val="en-US" w:eastAsia="zh-CN"/>
        </w:rPr>
      </w:pPr>
      <w:r>
        <w:rPr>
          <w:rFonts w:hint="eastAsia"/>
          <w:lang w:val="en-US" w:eastAsia="zh-CN"/>
        </w:rPr>
        <w:t>4、查询结果：同上</w:t>
      </w:r>
    </w:p>
    <w:p>
      <w:pPr>
        <w:pStyle w:val="4"/>
        <w:numPr>
          <w:ilvl w:val="0"/>
          <w:numId w:val="0"/>
        </w:numPr>
        <w:rPr>
          <w:rFonts w:hint="eastAsia"/>
          <w:lang w:val="en-US" w:eastAsia="zh-CN"/>
        </w:rPr>
      </w:pPr>
      <w:r>
        <w:rPr>
          <w:rFonts w:hint="eastAsia"/>
          <w:lang w:val="en-US" w:eastAsia="zh-CN"/>
        </w:rPr>
        <w:t>5、排序规则：</w:t>
      </w:r>
      <w:r>
        <w:rPr>
          <w:rFonts w:hint="eastAsia"/>
          <w:color w:val="auto"/>
          <w:lang w:val="en-US" w:eastAsia="zh-CN"/>
        </w:rPr>
        <w:t>Order by F4 ,F2 desc;</w:t>
      </w:r>
    </w:p>
    <w:p>
      <w:pPr>
        <w:pStyle w:val="2"/>
        <w:rPr>
          <w:rFonts w:hint="eastAsia"/>
          <w:lang w:val="en-US" w:eastAsia="zh-CN"/>
        </w:rPr>
      </w:pPr>
      <w:r>
        <w:rPr>
          <w:rFonts w:hint="eastAsia"/>
        </w:rPr>
        <w:t>处理</w:t>
      </w:r>
      <w:r>
        <w:t>工具与规则（</w:t>
      </w:r>
      <w:r>
        <w:rPr>
          <w:rFonts w:hint="eastAsia"/>
        </w:rPr>
        <w:t>针对</w:t>
      </w:r>
      <w:r>
        <w:t>录入人员）</w:t>
      </w:r>
      <w:bookmarkEnd w:id="35"/>
      <w:bookmarkEnd w:id="36"/>
    </w:p>
    <w:p>
      <w:pPr>
        <w:pStyle w:val="3"/>
        <w:rPr>
          <w:rFonts w:hint="eastAsia"/>
          <w:lang w:val="en-US" w:eastAsia="zh-CN"/>
        </w:rPr>
      </w:pPr>
      <w:bookmarkStart w:id="37" w:name="_Toc29561"/>
      <w:bookmarkStart w:id="38" w:name="_Toc11082"/>
      <w:r>
        <w:rPr>
          <w:rFonts w:hint="eastAsia"/>
        </w:rPr>
        <w:t>本次</w:t>
      </w:r>
      <w:r>
        <w:t>修改内容</w:t>
      </w:r>
      <w:bookmarkEnd w:id="37"/>
      <w:bookmarkEnd w:id="38"/>
    </w:p>
    <w:p>
      <w:pPr>
        <w:pStyle w:val="5"/>
        <w:spacing w:before="468" w:after="312"/>
      </w:pPr>
      <w:bookmarkStart w:id="39" w:name="_Toc24408"/>
      <w:bookmarkStart w:id="40" w:name="_Toc28091"/>
      <w:r>
        <w:rPr>
          <w:rFonts w:hint="eastAsia"/>
        </w:rPr>
        <w:t>抓取规则</w:t>
      </w:r>
      <w:bookmarkEnd w:id="39"/>
      <w:bookmarkEnd w:id="40"/>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234711204"/>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asciiTheme="minorEastAsia" w:hAnsiTheme="minorEastAsia" w:eastAsiaTheme="minorEastAsia"/>
                    <w:b/>
                    <w:sz w:val="18"/>
                    <w:szCs w:val="18"/>
                  </w:rPr>
                  <w:t>√ 不适用</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数据运维组</w:t>
            </w: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292567528"/>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ind w:left="420" w:leftChars="200"/>
        <w:rPr>
          <w:rFonts w:hint="eastAsia"/>
        </w:rPr>
      </w:pPr>
    </w:p>
    <w:p>
      <w:pPr>
        <w:pStyle w:val="5"/>
        <w:spacing w:before="468" w:after="312"/>
      </w:pPr>
      <w:bookmarkStart w:id="41" w:name="_Toc26284"/>
      <w:bookmarkStart w:id="42" w:name="_Toc10699"/>
      <w:r>
        <w:rPr>
          <w:rFonts w:hint="eastAsia"/>
        </w:rPr>
        <w:t>历史</w:t>
      </w:r>
      <w:r>
        <w:t>数据</w:t>
      </w:r>
      <w:r>
        <w:rPr>
          <w:rFonts w:hint="eastAsia"/>
        </w:rPr>
        <w:t>清洗规则</w:t>
      </w:r>
      <w:bookmarkEnd w:id="41"/>
      <w:bookmarkEnd w:id="42"/>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1545632825"/>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asciiTheme="minorEastAsia" w:hAnsiTheme="minorEastAsia" w:eastAsiaTheme="minorEastAsia"/>
                    <w:b/>
                    <w:sz w:val="18"/>
                    <w:szCs w:val="18"/>
                  </w:rPr>
                  <w:t>√ 不适用</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数据运维组</w:t>
            </w: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213589838"/>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rPr>
          <w:rFonts w:hint="eastAsia"/>
        </w:rPr>
      </w:pPr>
      <w:r>
        <w:rPr>
          <w:rFonts w:hint="eastAsia"/>
        </w:rPr>
        <w:t xml:space="preserve">    </w:t>
      </w:r>
    </w:p>
    <w:p>
      <w:pPr>
        <w:pStyle w:val="5"/>
        <w:spacing w:before="468" w:after="312"/>
      </w:pPr>
      <w:bookmarkStart w:id="43" w:name="_Toc27433"/>
      <w:bookmarkStart w:id="44" w:name="_Toc11719"/>
      <w:r>
        <w:rPr>
          <w:rFonts w:hint="eastAsia"/>
        </w:rPr>
        <w:t>处理规则</w:t>
      </w:r>
      <w:bookmarkEnd w:id="43"/>
      <w:bookmarkEnd w:id="44"/>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1341693289"/>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cs="Times New Roman" w:asciiTheme="minorEastAsia" w:hAnsiTheme="minorEastAsia" w:eastAsiaTheme="minorEastAsia"/>
                    <w:b/>
                    <w:kern w:val="2"/>
                    <w:sz w:val="18"/>
                    <w:szCs w:val="18"/>
                    <w:lang w:val="en-US" w:eastAsia="zh-CN" w:bidi="ar-SA"/>
                  </w:rPr>
                  <w:t>√ 适用</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1745331212"/>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rPr>
          <w:rFonts w:hint="eastAsia"/>
          <w:lang w:eastAsia="zh-CN"/>
        </w:rPr>
      </w:pPr>
      <w:r>
        <w:rPr>
          <w:rFonts w:hint="eastAsia"/>
        </w:rPr>
        <w:t xml:space="preserve"> </w:t>
      </w:r>
      <w:r>
        <w:rPr>
          <w:rFonts w:hint="eastAsia"/>
          <w:lang w:val="en-US" w:eastAsia="zh-CN"/>
        </w:rPr>
        <w:t>1、</w:t>
      </w:r>
      <w:r>
        <w:rPr>
          <w:rFonts w:hint="eastAsia"/>
          <w:lang w:eastAsia="zh-CN"/>
        </w:rPr>
        <w:t>【变动日期】处理规则：主要从债券发行、债券兑付、特殊条款三个方面来分别考虑。不同形式的处理规则不一样。</w:t>
      </w:r>
    </w:p>
    <w:p>
      <w:pPr>
        <w:numPr>
          <w:ilvl w:val="0"/>
          <w:numId w:val="3"/>
        </w:numPr>
        <w:rPr>
          <w:rFonts w:hint="eastAsia"/>
          <w:lang w:val="en-US" w:eastAsia="zh-CN"/>
        </w:rPr>
      </w:pPr>
      <w:r>
        <w:rPr>
          <w:rFonts w:hint="eastAsia"/>
          <w:color w:val="FF0000"/>
          <w:lang w:val="en-US" w:eastAsia="zh-CN"/>
        </w:rPr>
        <w:t>针对债券发行，债券规模变动表的处理规则</w:t>
      </w:r>
      <w:r>
        <w:rPr>
          <w:rFonts w:hint="eastAsia"/>
          <w:lang w:val="en-US" w:eastAsia="zh-CN"/>
        </w:rPr>
        <w:t>：募集说明书中或发行公告对债券规模变动的描述信息是无效的，是否有效填否。债券发行结果公告中涉及到债券规模发生变动，是否有效填是。针对债券首次发行的情况，规模表变动日期取债券的</w:t>
      </w:r>
      <w:r>
        <w:rPr>
          <w:rFonts w:hint="eastAsia"/>
          <w:color w:val="FF0000"/>
          <w:lang w:val="en-US" w:eastAsia="zh-CN"/>
        </w:rPr>
        <w:t>起息日，主要是指第一个计息周期的起息日</w:t>
      </w:r>
      <w:r>
        <w:rPr>
          <w:rFonts w:hint="eastAsia"/>
          <w:lang w:val="en-US" w:eastAsia="zh-CN"/>
        </w:rPr>
        <w:t>。针对于</w:t>
      </w:r>
      <w:r>
        <w:rPr>
          <w:rFonts w:hint="eastAsia"/>
          <w:color w:val="FF0000"/>
          <w:lang w:val="en-US" w:eastAsia="zh-CN"/>
        </w:rPr>
        <w:t>增发</w:t>
      </w:r>
      <w:r>
        <w:rPr>
          <w:rFonts w:hint="eastAsia"/>
          <w:lang w:val="en-US" w:eastAsia="zh-CN"/>
        </w:rPr>
        <w:t>的债券（除央行票据），增发债券的起息日和首发的起息日是一样的，对于国债和政策性银行债，上市流通日的前一个工作日为债权债务登记日，债权债务登记日的前一工作日为债券缴款日，债券规模在流通过程中发生了实质性变动。针对于央行票据增发时，央行票据增发可以看做一个新发的债券，所以债券在增发的时候，国债和政策性银行债增发时，债券规模表的变动日期用债券</w:t>
      </w:r>
      <w:r>
        <w:rPr>
          <w:rFonts w:hint="eastAsia"/>
          <w:color w:val="FF0000"/>
          <w:lang w:val="en-US" w:eastAsia="zh-CN"/>
        </w:rPr>
        <w:t>上市日</w:t>
      </w:r>
      <w:r>
        <w:rPr>
          <w:rFonts w:hint="eastAsia"/>
          <w:lang w:val="en-US" w:eastAsia="zh-CN"/>
        </w:rPr>
        <w:t>表示；央行票据增发时，规模变动表中的变动日期了用</w:t>
      </w:r>
      <w:r>
        <w:rPr>
          <w:rFonts w:hint="eastAsia"/>
          <w:color w:val="FF0000"/>
          <w:lang w:val="en-US" w:eastAsia="zh-CN"/>
        </w:rPr>
        <w:t>债券起息日</w:t>
      </w:r>
      <w:r>
        <w:rPr>
          <w:rFonts w:hint="eastAsia"/>
          <w:lang w:val="en-US" w:eastAsia="zh-CN"/>
        </w:rPr>
        <w:t>表示。当债券规模增加时，债券变动规模为</w:t>
      </w:r>
      <w:r>
        <w:rPr>
          <w:rFonts w:hint="eastAsia"/>
          <w:color w:val="FF0000"/>
          <w:lang w:val="en-US" w:eastAsia="zh-CN"/>
        </w:rPr>
        <w:t>正值</w:t>
      </w:r>
      <w:r>
        <w:rPr>
          <w:rFonts w:hint="eastAsia"/>
          <w:color w:val="000000" w:themeColor="text1"/>
          <w:shd w:val="clear" w:color="auto" w:fill="auto"/>
          <w:lang w:val="en-US" w:eastAsia="zh-CN"/>
          <w14:textFill>
            <w14:solidFill>
              <w14:schemeClr w14:val="tx1"/>
            </w14:solidFill>
          </w14:textFill>
        </w:rPr>
        <w:t>，</w:t>
      </w:r>
      <w:r>
        <w:rPr>
          <w:rFonts w:hint="eastAsia"/>
          <w:lang w:val="en-US" w:eastAsia="zh-CN"/>
        </w:rPr>
        <w:t>当规模减少时，变动规模为</w:t>
      </w:r>
      <w:r>
        <w:rPr>
          <w:rFonts w:hint="eastAsia"/>
          <w:color w:val="FF0000"/>
          <w:lang w:val="en-US" w:eastAsia="zh-CN"/>
        </w:rPr>
        <w:t>负</w:t>
      </w:r>
      <w:r>
        <w:rPr>
          <w:rFonts w:hint="eastAsia"/>
          <w:lang w:val="en-US" w:eastAsia="zh-CN"/>
        </w:rPr>
        <w:t>值。债券规模每变动一次，债券规模表中记录就增加一次。</w:t>
      </w:r>
    </w:p>
    <w:p>
      <w:pPr>
        <w:numPr>
          <w:ilvl w:val="0"/>
          <w:numId w:val="0"/>
        </w:numPr>
        <w:rPr>
          <w:rFonts w:hint="eastAsia"/>
          <w:color w:val="FF0000"/>
          <w:lang w:val="en-US" w:eastAsia="zh-CN"/>
        </w:rPr>
      </w:pPr>
      <w:r>
        <w:rPr>
          <w:rFonts w:hint="eastAsia"/>
          <w:color w:val="FF0000"/>
          <w:lang w:val="en-US" w:eastAsia="zh-CN"/>
        </w:rPr>
        <w:t>1、银行间市场的数据源：</w:t>
      </w:r>
    </w:p>
    <w:p>
      <w:pPr>
        <w:numPr>
          <w:ilvl w:val="0"/>
          <w:numId w:val="0"/>
        </w:numPr>
        <w:rPr>
          <w:rFonts w:hint="eastAsia"/>
          <w:color w:val="auto"/>
          <w:lang w:val="en-US" w:eastAsia="zh-CN"/>
        </w:rPr>
      </w:pPr>
      <w:r>
        <w:rPr>
          <w:rFonts w:hint="eastAsia"/>
          <w:color w:val="auto"/>
          <w:lang w:val="en-US" w:eastAsia="zh-CN"/>
        </w:rPr>
        <w:t>1.1中国货币网数据源：</w:t>
      </w:r>
      <w:r>
        <w:rPr>
          <w:rFonts w:hint="eastAsia"/>
          <w:color w:val="auto"/>
          <w:lang w:val="en-US" w:eastAsia="zh-CN"/>
        </w:rPr>
        <w:fldChar w:fldCharType="begin"/>
      </w:r>
      <w:r>
        <w:rPr>
          <w:rFonts w:hint="eastAsia"/>
          <w:color w:val="auto"/>
          <w:lang w:val="en-US" w:eastAsia="zh-CN"/>
        </w:rPr>
        <w:instrText xml:space="preserve"> HYPERLINK "http://www.chinamoney.com.cn/fe/Channel/8651" </w:instrText>
      </w:r>
      <w:r>
        <w:rPr>
          <w:rFonts w:hint="eastAsia"/>
          <w:color w:val="auto"/>
          <w:lang w:val="en-US" w:eastAsia="zh-CN"/>
        </w:rPr>
        <w:fldChar w:fldCharType="separate"/>
      </w:r>
      <w:r>
        <w:rPr>
          <w:rStyle w:val="30"/>
          <w:rFonts w:hint="eastAsia"/>
          <w:lang w:val="en-US" w:eastAsia="zh-CN"/>
        </w:rPr>
        <w:t>http://www.chinamoney.com.cn/fe/Channel/8651</w:t>
      </w:r>
      <w:r>
        <w:rPr>
          <w:rFonts w:hint="eastAsia"/>
          <w:color w:val="auto"/>
          <w:lang w:val="en-US" w:eastAsia="zh-CN"/>
        </w:rPr>
        <w:fldChar w:fldCharType="end"/>
      </w:r>
    </w:p>
    <w:p>
      <w:pPr>
        <w:numPr>
          <w:ilvl w:val="0"/>
          <w:numId w:val="0"/>
        </w:numPr>
        <w:rPr>
          <w:rFonts w:hint="eastAsia"/>
          <w:color w:val="auto"/>
          <w:lang w:val="en-US" w:eastAsia="zh-CN"/>
        </w:rPr>
      </w:pPr>
    </w:p>
    <w:p>
      <w:pPr>
        <w:keepNext w:val="0"/>
        <w:keepLines w:val="0"/>
        <w:widowControl/>
        <w:suppressLineNumbers w:val="0"/>
        <w:pBdr>
          <w:bottom w:val="none" w:color="auto" w:sz="0" w:space="0"/>
        </w:pBdr>
        <w:spacing w:before="0" w:beforeAutospacing="0" w:after="0" w:afterAutospacing="0" w:line="240" w:lineRule="auto"/>
        <w:ind w:left="0" w:right="0"/>
        <w:jc w:val="both"/>
        <w:rPr>
          <w:rStyle w:val="25"/>
          <w:rFonts w:hint="eastAsia" w:ascii="宋体" w:hAnsi="宋体" w:eastAsia="宋体" w:cs="宋体"/>
          <w:b w:val="0"/>
          <w:bCs/>
          <w:color w:val="000000"/>
          <w:kern w:val="0"/>
          <w:sz w:val="21"/>
          <w:szCs w:val="21"/>
          <w:u w:val="none"/>
          <w:lang w:val="en-US" w:eastAsia="zh-CN" w:bidi="ar"/>
        </w:rPr>
      </w:pPr>
      <w:r>
        <w:rPr>
          <w:bdr w:val="single" w:sz="4" w:space="0"/>
        </w:rPr>
        <w:drawing>
          <wp:inline distT="0" distB="0" distL="114300" distR="114300">
            <wp:extent cx="5267325" cy="1993265"/>
            <wp:effectExtent l="0" t="0" r="9525" b="698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7"/>
                    <a:stretch>
                      <a:fillRect/>
                    </a:stretch>
                  </pic:blipFill>
                  <pic:spPr>
                    <a:xfrm>
                      <a:off x="0" y="0"/>
                      <a:ext cx="5267325" cy="1993265"/>
                    </a:xfrm>
                    <a:prstGeom prst="rect">
                      <a:avLst/>
                    </a:prstGeom>
                    <a:noFill/>
                    <a:ln w="9525">
                      <a:noFill/>
                    </a:ln>
                  </pic:spPr>
                </pic:pic>
              </a:graphicData>
            </a:graphic>
          </wp:inline>
        </w:drawing>
      </w:r>
    </w:p>
    <w:p>
      <w:pPr>
        <w:numPr>
          <w:ilvl w:val="0"/>
          <w:numId w:val="0"/>
        </w:numPr>
        <w:rPr>
          <w:rFonts w:hint="eastAsia" w:ascii="宋体" w:hAnsi="宋体" w:cs="宋体"/>
          <w:b w:val="0"/>
          <w:bCs w:val="0"/>
          <w:color w:val="auto"/>
          <w:sz w:val="21"/>
          <w:szCs w:val="21"/>
          <w:lang w:val="en-US" w:eastAsia="zh-CN"/>
        </w:rPr>
      </w:pPr>
      <w:r>
        <w:rPr>
          <w:rFonts w:hint="eastAsia" w:ascii="宋体" w:hAnsi="宋体" w:cs="宋体"/>
          <w:b w:val="0"/>
          <w:bCs w:val="0"/>
          <w:color w:val="auto"/>
          <w:sz w:val="21"/>
          <w:szCs w:val="21"/>
          <w:lang w:val="en-US" w:eastAsia="zh-CN"/>
        </w:rPr>
        <w:t>1.2数据源：上海清算所：</w:t>
      </w:r>
      <w:r>
        <w:rPr>
          <w:rFonts w:hint="eastAsia" w:ascii="宋体" w:hAnsi="宋体" w:cs="宋体"/>
          <w:b w:val="0"/>
          <w:bCs w:val="0"/>
          <w:color w:val="auto"/>
          <w:sz w:val="21"/>
          <w:szCs w:val="21"/>
          <w:lang w:val="en-US" w:eastAsia="zh-CN"/>
        </w:rPr>
        <w:fldChar w:fldCharType="begin"/>
      </w:r>
      <w:r>
        <w:rPr>
          <w:rFonts w:hint="eastAsia" w:ascii="宋体" w:hAnsi="宋体" w:cs="宋体"/>
          <w:b w:val="0"/>
          <w:bCs w:val="0"/>
          <w:color w:val="auto"/>
          <w:sz w:val="21"/>
          <w:szCs w:val="21"/>
          <w:lang w:val="en-US" w:eastAsia="zh-CN"/>
        </w:rPr>
        <w:instrText xml:space="preserve"> HYPERLINK "http://www.shclearing.com/xxpl/fxqkbg/" </w:instrText>
      </w:r>
      <w:r>
        <w:rPr>
          <w:rFonts w:hint="eastAsia" w:ascii="宋体" w:hAnsi="宋体" w:cs="宋体"/>
          <w:b w:val="0"/>
          <w:bCs w:val="0"/>
          <w:color w:val="auto"/>
          <w:sz w:val="21"/>
          <w:szCs w:val="21"/>
          <w:lang w:val="en-US" w:eastAsia="zh-CN"/>
        </w:rPr>
        <w:fldChar w:fldCharType="separate"/>
      </w:r>
      <w:r>
        <w:rPr>
          <w:rStyle w:val="30"/>
          <w:rFonts w:hint="eastAsia" w:ascii="宋体" w:hAnsi="宋体" w:cs="宋体"/>
          <w:b w:val="0"/>
          <w:bCs w:val="0"/>
          <w:sz w:val="21"/>
          <w:szCs w:val="21"/>
          <w:lang w:val="en-US" w:eastAsia="zh-CN"/>
        </w:rPr>
        <w:t>http://www.shclearing.com/xxpl/fxqkbg/</w:t>
      </w:r>
      <w:r>
        <w:rPr>
          <w:rFonts w:hint="eastAsia" w:ascii="宋体" w:hAnsi="宋体" w:cs="宋体"/>
          <w:b w:val="0"/>
          <w:bCs w:val="0"/>
          <w:color w:val="auto"/>
          <w:sz w:val="21"/>
          <w:szCs w:val="21"/>
          <w:lang w:val="en-US" w:eastAsia="zh-CN"/>
        </w:rPr>
        <w:fldChar w:fldCharType="end"/>
      </w:r>
    </w:p>
    <w:p>
      <w:pPr>
        <w:numPr>
          <w:ilvl w:val="0"/>
          <w:numId w:val="0"/>
        </w:numPr>
        <w:rPr>
          <w:rFonts w:hint="eastAsia"/>
          <w:color w:val="auto"/>
          <w:kern w:val="2"/>
          <w:sz w:val="21"/>
          <w:vertAlign w:val="baseline"/>
          <w:lang w:val="en-US" w:eastAsia="zh-CN" w:bidi="ar-SA"/>
        </w:rPr>
      </w:pPr>
      <w:r>
        <w:rPr>
          <w:bdr w:val="single" w:sz="4" w:space="0"/>
        </w:rPr>
        <w:drawing>
          <wp:inline distT="0" distB="0" distL="114300" distR="114300">
            <wp:extent cx="5269865" cy="2695575"/>
            <wp:effectExtent l="0" t="0" r="6985" b="952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8"/>
                    <a:stretch>
                      <a:fillRect/>
                    </a:stretch>
                  </pic:blipFill>
                  <pic:spPr>
                    <a:xfrm>
                      <a:off x="0" y="0"/>
                      <a:ext cx="5269865" cy="2695575"/>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color w:val="auto"/>
          <w:kern w:val="2"/>
          <w:sz w:val="21"/>
          <w:vertAlign w:val="baseline"/>
          <w:lang w:val="en-US" w:eastAsia="zh-CN" w:bidi="ar-SA"/>
        </w:rPr>
      </w:pPr>
      <w:r>
        <w:rPr>
          <w:rFonts w:hint="eastAsia"/>
          <w:color w:val="auto"/>
          <w:kern w:val="2"/>
          <w:sz w:val="21"/>
          <w:vertAlign w:val="baseline"/>
          <w:lang w:val="en-US" w:eastAsia="zh-CN" w:bidi="ar-SA"/>
        </w:rPr>
        <w:t>1.3数据源：中国债券网：</w:t>
      </w:r>
      <w:r>
        <w:rPr>
          <w:rFonts w:hint="eastAsia"/>
          <w:color w:val="auto"/>
          <w:kern w:val="2"/>
          <w:sz w:val="21"/>
          <w:vertAlign w:val="baseline"/>
          <w:lang w:val="en-US" w:eastAsia="zh-CN" w:bidi="ar-SA"/>
        </w:rPr>
        <w:fldChar w:fldCharType="begin"/>
      </w:r>
      <w:r>
        <w:rPr>
          <w:rFonts w:hint="eastAsia"/>
          <w:color w:val="auto"/>
          <w:kern w:val="2"/>
          <w:sz w:val="21"/>
          <w:vertAlign w:val="baseline"/>
          <w:lang w:val="en-US" w:eastAsia="zh-CN" w:bidi="ar-SA"/>
        </w:rPr>
        <w:instrText xml:space="preserve"> HYPERLINK "http://www.chinabond.com.cn/Channel/21000" </w:instrText>
      </w:r>
      <w:r>
        <w:rPr>
          <w:rFonts w:hint="eastAsia"/>
          <w:color w:val="auto"/>
          <w:kern w:val="2"/>
          <w:sz w:val="21"/>
          <w:vertAlign w:val="baseline"/>
          <w:lang w:val="en-US" w:eastAsia="zh-CN" w:bidi="ar-SA"/>
        </w:rPr>
        <w:fldChar w:fldCharType="separate"/>
      </w:r>
      <w:r>
        <w:rPr>
          <w:rStyle w:val="30"/>
          <w:rFonts w:hint="eastAsia"/>
          <w:kern w:val="2"/>
          <w:sz w:val="21"/>
          <w:vertAlign w:val="baseline"/>
          <w:lang w:val="en-US" w:eastAsia="zh-CN" w:bidi="ar-SA"/>
        </w:rPr>
        <w:t>http://www.chinabond.com.cn/Channel/21000</w:t>
      </w:r>
      <w:r>
        <w:rPr>
          <w:rFonts w:hint="eastAsia"/>
          <w:color w:val="auto"/>
          <w:kern w:val="2"/>
          <w:sz w:val="21"/>
          <w:vertAlign w:val="baseline"/>
          <w:lang w:val="en-US" w:eastAsia="zh-CN" w:bidi="ar-SA"/>
        </w:rPr>
        <w:fldChar w:fldCharType="end"/>
      </w:r>
    </w:p>
    <w:p>
      <w:pPr>
        <w:keepNext w:val="0"/>
        <w:keepLines w:val="0"/>
        <w:widowControl/>
        <w:suppressLineNumbers w:val="0"/>
        <w:pBdr>
          <w:bottom w:val="none" w:color="auto" w:sz="0" w:space="0"/>
        </w:pBdr>
        <w:spacing w:before="0" w:beforeAutospacing="0" w:after="0" w:afterAutospacing="0" w:line="240" w:lineRule="auto"/>
        <w:ind w:left="0" w:right="0"/>
        <w:jc w:val="both"/>
        <w:rPr>
          <w:bdr w:val="single" w:sz="4" w:space="0"/>
        </w:rPr>
      </w:pPr>
      <w:r>
        <w:rPr>
          <w:bdr w:val="single" w:sz="4" w:space="0"/>
        </w:rPr>
        <w:drawing>
          <wp:inline distT="0" distB="0" distL="114300" distR="114300">
            <wp:extent cx="5266690" cy="2764790"/>
            <wp:effectExtent l="0" t="0" r="10160" b="1651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9"/>
                    <a:stretch>
                      <a:fillRect/>
                    </a:stretch>
                  </pic:blipFill>
                  <pic:spPr>
                    <a:xfrm>
                      <a:off x="0" y="0"/>
                      <a:ext cx="5266690" cy="2764790"/>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color w:val="auto"/>
          <w:kern w:val="2"/>
          <w:sz w:val="21"/>
          <w:vertAlign w:val="baseline"/>
          <w:lang w:val="en-US" w:eastAsia="zh-CN" w:bidi="ar-SA"/>
        </w:rPr>
      </w:pPr>
      <w:r>
        <w:rPr>
          <w:rFonts w:hint="eastAsia"/>
          <w:color w:val="auto"/>
          <w:kern w:val="2"/>
          <w:sz w:val="21"/>
          <w:vertAlign w:val="baseline"/>
          <w:lang w:val="en-US" w:eastAsia="zh-CN" w:bidi="ar-SA"/>
        </w:rPr>
        <w:t>对于在银行间上市的债券，债券首发时，规模变动表中的变动日期用</w:t>
      </w:r>
      <w:r>
        <w:rPr>
          <w:rFonts w:hint="eastAsia"/>
          <w:color w:val="FF0000"/>
          <w:kern w:val="2"/>
          <w:sz w:val="21"/>
          <w:vertAlign w:val="baseline"/>
          <w:lang w:val="en-US" w:eastAsia="zh-CN" w:bidi="ar-SA"/>
        </w:rPr>
        <w:t>债券起息日</w:t>
      </w:r>
      <w:r>
        <w:rPr>
          <w:rFonts w:hint="eastAsia"/>
          <w:color w:val="auto"/>
          <w:kern w:val="2"/>
          <w:sz w:val="21"/>
          <w:vertAlign w:val="baseline"/>
          <w:lang w:val="en-US" w:eastAsia="zh-CN" w:bidi="ar-SA"/>
        </w:rPr>
        <w:t>表示。债券的起息日先到债券的发行披露材料（募集说明书、发行公告等）进行维护。</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color w:val="auto"/>
          <w:kern w:val="2"/>
          <w:sz w:val="21"/>
          <w:vertAlign w:val="baseline"/>
          <w:lang w:val="en-US" w:eastAsia="zh-CN" w:bidi="ar-SA"/>
        </w:rPr>
      </w:pPr>
      <w:r>
        <w:rPr>
          <w:rFonts w:hint="eastAsia"/>
          <w:color w:val="00B0F0"/>
          <w:lang w:val="en-US" w:eastAsia="zh-CN"/>
        </w:rPr>
        <w:t>样例1：</w:t>
      </w:r>
      <w:r>
        <w:rPr>
          <w:rStyle w:val="25"/>
          <w:rFonts w:hint="eastAsia" w:ascii="宋体" w:hAnsi="宋体" w:eastAsia="宋体" w:cs="宋体"/>
          <w:b w:val="0"/>
          <w:bCs/>
          <w:color w:val="000000"/>
          <w:kern w:val="0"/>
          <w:sz w:val="21"/>
          <w:szCs w:val="21"/>
          <w:u w:val="none"/>
          <w:lang w:val="en-US" w:eastAsia="zh-CN" w:bidi="ar"/>
        </w:rPr>
        <w:t>2016年记账式附息（十</w:t>
      </w:r>
      <w:r>
        <w:rPr>
          <w:rStyle w:val="25"/>
          <w:rFonts w:hint="eastAsia" w:ascii="宋体" w:hAnsi="宋体" w:cs="宋体"/>
          <w:b w:val="0"/>
          <w:bCs/>
          <w:color w:val="000000"/>
          <w:kern w:val="0"/>
          <w:sz w:val="21"/>
          <w:szCs w:val="21"/>
          <w:u w:val="none"/>
          <w:lang w:val="en-US" w:eastAsia="zh-CN" w:bidi="ar"/>
        </w:rPr>
        <w:t>五</w:t>
      </w:r>
      <w:r>
        <w:rPr>
          <w:rStyle w:val="25"/>
          <w:rFonts w:hint="eastAsia" w:ascii="宋体" w:hAnsi="宋体" w:eastAsia="宋体" w:cs="宋体"/>
          <w:b w:val="0"/>
          <w:bCs/>
          <w:color w:val="000000"/>
          <w:kern w:val="0"/>
          <w:sz w:val="21"/>
          <w:szCs w:val="21"/>
          <w:u w:val="none"/>
          <w:lang w:val="en-US" w:eastAsia="zh-CN" w:bidi="ar"/>
        </w:rPr>
        <w:t>期）国债发行工作有关事宜的通知</w:t>
      </w:r>
    </w:p>
    <w:p>
      <w:pPr>
        <w:keepNext w:val="0"/>
        <w:keepLines w:val="0"/>
        <w:widowControl/>
        <w:suppressLineNumbers w:val="0"/>
        <w:pBdr>
          <w:bottom w:val="none" w:color="auto" w:sz="0" w:space="0"/>
        </w:pBdr>
        <w:spacing w:before="0" w:beforeAutospacing="0" w:after="0" w:afterAutospacing="0" w:line="240" w:lineRule="auto"/>
        <w:ind w:left="0" w:right="0"/>
        <w:jc w:val="both"/>
        <w:rPr>
          <w:bdr w:val="single" w:sz="4" w:space="0"/>
        </w:rPr>
      </w:pPr>
      <w:r>
        <w:rPr>
          <w:bdr w:val="single" w:sz="4" w:space="0"/>
        </w:rPr>
        <w:drawing>
          <wp:inline distT="0" distB="0" distL="114300" distR="114300">
            <wp:extent cx="5272405" cy="3175635"/>
            <wp:effectExtent l="0" t="0" r="4445" b="5715"/>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10"/>
                    <a:stretch>
                      <a:fillRect/>
                    </a:stretch>
                  </pic:blipFill>
                  <pic:spPr>
                    <a:xfrm>
                      <a:off x="0" y="0"/>
                      <a:ext cx="5272405" cy="3175635"/>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bdr w:val="single" w:sz="4" w:space="0"/>
          <w:lang w:val="en-US" w:eastAsia="zh-CN"/>
        </w:rPr>
      </w:pPr>
      <w:r>
        <w:rPr>
          <w:bdr w:val="single" w:sz="4" w:space="0"/>
        </w:rPr>
        <w:drawing>
          <wp:inline distT="0" distB="0" distL="114300" distR="114300">
            <wp:extent cx="5273675" cy="898525"/>
            <wp:effectExtent l="0" t="0" r="3175" b="15875"/>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11"/>
                    <a:stretch>
                      <a:fillRect/>
                    </a:stretch>
                  </pic:blipFill>
                  <pic:spPr>
                    <a:xfrm>
                      <a:off x="0" y="0"/>
                      <a:ext cx="5273675" cy="898525"/>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Style w:val="25"/>
          <w:rFonts w:hint="eastAsia" w:ascii="宋体" w:hAnsi="宋体" w:cs="宋体"/>
          <w:b w:val="0"/>
          <w:bCs/>
          <w:color w:val="000000"/>
          <w:kern w:val="0"/>
          <w:sz w:val="21"/>
          <w:szCs w:val="21"/>
          <w:u w:val="none"/>
          <w:lang w:val="en-US" w:eastAsia="zh-CN" w:bidi="ar"/>
        </w:rPr>
      </w:pPr>
      <w:r>
        <w:rPr>
          <w:rFonts w:hint="eastAsia"/>
          <w:color w:val="00B0F0"/>
          <w:lang w:val="en-US" w:eastAsia="zh-CN"/>
        </w:rPr>
        <w:t>样例2：</w:t>
      </w:r>
      <w:r>
        <w:rPr>
          <w:rStyle w:val="25"/>
          <w:rFonts w:hint="eastAsia" w:ascii="宋体" w:hAnsi="宋体" w:eastAsia="宋体" w:cs="宋体"/>
          <w:b w:val="0"/>
          <w:bCs/>
          <w:color w:val="000000"/>
          <w:kern w:val="0"/>
          <w:sz w:val="21"/>
          <w:szCs w:val="21"/>
          <w:u w:val="none"/>
          <w:lang w:val="en-US" w:eastAsia="zh-CN" w:bidi="ar"/>
        </w:rPr>
        <w:t>2016年记账式附息（十</w:t>
      </w:r>
      <w:r>
        <w:rPr>
          <w:rStyle w:val="25"/>
          <w:rFonts w:hint="eastAsia" w:ascii="宋体" w:hAnsi="宋体" w:cs="宋体"/>
          <w:b w:val="0"/>
          <w:bCs/>
          <w:color w:val="000000"/>
          <w:kern w:val="0"/>
          <w:sz w:val="21"/>
          <w:szCs w:val="21"/>
          <w:u w:val="none"/>
          <w:lang w:val="en-US" w:eastAsia="zh-CN" w:bidi="ar"/>
        </w:rPr>
        <w:t>五</w:t>
      </w:r>
      <w:r>
        <w:rPr>
          <w:rStyle w:val="25"/>
          <w:rFonts w:hint="eastAsia" w:ascii="宋体" w:hAnsi="宋体" w:eastAsia="宋体" w:cs="宋体"/>
          <w:b w:val="0"/>
          <w:bCs/>
          <w:color w:val="000000"/>
          <w:kern w:val="0"/>
          <w:sz w:val="21"/>
          <w:szCs w:val="21"/>
          <w:u w:val="none"/>
          <w:lang w:val="en-US" w:eastAsia="zh-CN" w:bidi="ar"/>
        </w:rPr>
        <w:t>期）国</w:t>
      </w:r>
      <w:r>
        <w:rPr>
          <w:rStyle w:val="25"/>
          <w:rFonts w:hint="eastAsia" w:ascii="宋体" w:hAnsi="宋体" w:cs="宋体"/>
          <w:b w:val="0"/>
          <w:bCs/>
          <w:color w:val="000000"/>
          <w:kern w:val="0"/>
          <w:sz w:val="21"/>
          <w:szCs w:val="21"/>
          <w:u w:val="none"/>
          <w:lang w:val="en-US" w:eastAsia="zh-CN" w:bidi="ar"/>
        </w:rPr>
        <w:t>债首发发行情况公告</w:t>
      </w:r>
    </w:p>
    <w:p>
      <w:pPr>
        <w:keepNext w:val="0"/>
        <w:keepLines w:val="0"/>
        <w:widowControl/>
        <w:suppressLineNumbers w:val="0"/>
        <w:pBdr>
          <w:bottom w:val="none" w:color="auto" w:sz="0" w:space="0"/>
        </w:pBdr>
        <w:spacing w:before="0" w:beforeAutospacing="0" w:after="0" w:afterAutospacing="0" w:line="240" w:lineRule="auto"/>
        <w:ind w:left="0" w:right="0"/>
        <w:jc w:val="both"/>
        <w:rPr>
          <w:rStyle w:val="25"/>
          <w:rFonts w:hint="eastAsia" w:ascii="宋体" w:hAnsi="宋体" w:cs="宋体"/>
          <w:b w:val="0"/>
          <w:bCs/>
          <w:color w:val="000000"/>
          <w:kern w:val="0"/>
          <w:sz w:val="21"/>
          <w:szCs w:val="21"/>
          <w:u w:val="none"/>
          <w:lang w:val="en-US" w:eastAsia="zh-CN" w:bidi="ar"/>
        </w:rPr>
      </w:pPr>
      <w:r>
        <w:rPr>
          <w:rStyle w:val="25"/>
          <w:rFonts w:hint="eastAsia" w:ascii="宋体" w:hAnsi="宋体" w:cs="宋体"/>
          <w:b w:val="0"/>
          <w:bCs/>
          <w:color w:val="000000"/>
          <w:kern w:val="0"/>
          <w:sz w:val="21"/>
          <w:szCs w:val="21"/>
          <w:u w:val="none"/>
          <w:lang w:val="en-US" w:eastAsia="zh-CN" w:bidi="ar"/>
        </w:rPr>
        <w:t>数据源：</w:t>
      </w:r>
    </w:p>
    <w:p>
      <w:pPr>
        <w:keepNext w:val="0"/>
        <w:keepLines w:val="0"/>
        <w:widowControl/>
        <w:suppressLineNumbers w:val="0"/>
        <w:pBdr>
          <w:bottom w:val="none" w:color="auto" w:sz="0" w:space="0"/>
        </w:pBdr>
        <w:spacing w:before="0" w:beforeAutospacing="0" w:after="0" w:afterAutospacing="0" w:line="240" w:lineRule="auto"/>
        <w:ind w:left="0" w:right="0"/>
        <w:jc w:val="both"/>
        <w:rPr>
          <w:rStyle w:val="25"/>
          <w:rFonts w:hint="eastAsia" w:ascii="宋体" w:hAnsi="宋体" w:cs="宋体"/>
          <w:b w:val="0"/>
          <w:bCs/>
          <w:color w:val="000000"/>
          <w:kern w:val="0"/>
          <w:sz w:val="21"/>
          <w:szCs w:val="21"/>
          <w:u w:val="none"/>
          <w:lang w:val="en-US" w:eastAsia="zh-CN" w:bidi="ar"/>
        </w:rPr>
      </w:pPr>
      <w:r>
        <w:rPr>
          <w:rStyle w:val="25"/>
          <w:rFonts w:hint="eastAsia" w:ascii="宋体" w:hAnsi="宋体" w:cs="宋体"/>
          <w:b w:val="0"/>
          <w:bCs/>
          <w:color w:val="000000"/>
          <w:kern w:val="0"/>
          <w:sz w:val="21"/>
          <w:szCs w:val="21"/>
          <w:u w:val="none"/>
          <w:lang w:val="en-US" w:eastAsia="zh-CN" w:bidi="ar"/>
        </w:rPr>
        <w:fldChar w:fldCharType="begin"/>
      </w:r>
      <w:r>
        <w:rPr>
          <w:rStyle w:val="25"/>
          <w:rFonts w:hint="eastAsia" w:ascii="宋体" w:hAnsi="宋体" w:cs="宋体"/>
          <w:b w:val="0"/>
          <w:bCs/>
          <w:color w:val="000000"/>
          <w:kern w:val="0"/>
          <w:sz w:val="21"/>
          <w:szCs w:val="21"/>
          <w:u w:val="none"/>
          <w:lang w:val="en-US" w:eastAsia="zh-CN" w:bidi="ar"/>
        </w:rPr>
        <w:instrText xml:space="preserve"> HYPERLINK "http://www.chinamoney.com.cn/fe/Channel/47916?innerCode=4002093226&amp;bondInfoType=6" </w:instrText>
      </w:r>
      <w:r>
        <w:rPr>
          <w:rStyle w:val="25"/>
          <w:rFonts w:hint="eastAsia" w:ascii="宋体" w:hAnsi="宋体" w:cs="宋体"/>
          <w:b w:val="0"/>
          <w:bCs/>
          <w:color w:val="000000"/>
          <w:kern w:val="0"/>
          <w:sz w:val="21"/>
          <w:szCs w:val="21"/>
          <w:u w:val="none"/>
          <w:lang w:val="en-US" w:eastAsia="zh-CN" w:bidi="ar"/>
        </w:rPr>
        <w:fldChar w:fldCharType="separate"/>
      </w:r>
      <w:r>
        <w:rPr>
          <w:rStyle w:val="30"/>
          <w:rFonts w:hint="eastAsia" w:ascii="宋体" w:hAnsi="宋体" w:cs="宋体"/>
          <w:b w:val="0"/>
          <w:bCs/>
          <w:color w:val="000000"/>
          <w:kern w:val="0"/>
          <w:sz w:val="21"/>
          <w:szCs w:val="21"/>
          <w:lang w:val="en-US" w:eastAsia="zh-CN" w:bidi="ar"/>
        </w:rPr>
        <w:t>http://www.chinamoney.com.cn/fe/Channel/47916?innerCode=4002093226&amp;bondInfoType=6</w:t>
      </w:r>
      <w:r>
        <w:rPr>
          <w:rStyle w:val="25"/>
          <w:rFonts w:hint="eastAsia" w:ascii="宋体" w:hAnsi="宋体" w:cs="宋体"/>
          <w:b w:val="0"/>
          <w:bCs/>
          <w:color w:val="000000"/>
          <w:kern w:val="0"/>
          <w:sz w:val="21"/>
          <w:szCs w:val="21"/>
          <w:u w:val="none"/>
          <w:lang w:val="en-US" w:eastAsia="zh-CN" w:bidi="ar"/>
        </w:rPr>
        <w:fldChar w:fldCharType="end"/>
      </w:r>
    </w:p>
    <w:p>
      <w:pPr>
        <w:keepNext w:val="0"/>
        <w:keepLines w:val="0"/>
        <w:widowControl/>
        <w:suppressLineNumbers w:val="0"/>
        <w:pBdr>
          <w:bottom w:val="none" w:color="auto" w:sz="0" w:space="0"/>
        </w:pBdr>
        <w:spacing w:before="0" w:beforeAutospacing="0" w:after="0" w:afterAutospacing="0" w:line="240" w:lineRule="auto"/>
        <w:ind w:left="0" w:right="0"/>
        <w:jc w:val="both"/>
        <w:rPr>
          <w:rStyle w:val="25"/>
          <w:rFonts w:hint="eastAsia" w:ascii="宋体" w:hAnsi="宋体" w:cs="宋体"/>
          <w:b w:val="0"/>
          <w:bCs/>
          <w:color w:val="000000"/>
          <w:kern w:val="0"/>
          <w:sz w:val="21"/>
          <w:szCs w:val="21"/>
          <w:u w:val="none"/>
          <w:lang w:val="en-US" w:eastAsia="zh-CN" w:bidi="ar"/>
        </w:rPr>
      </w:pPr>
      <w:r>
        <w:rPr>
          <w:bdr w:val="single" w:sz="4" w:space="0"/>
        </w:rPr>
        <w:drawing>
          <wp:inline distT="0" distB="0" distL="114300" distR="114300">
            <wp:extent cx="5273675" cy="2870200"/>
            <wp:effectExtent l="0" t="0" r="3175" b="6350"/>
            <wp:docPr id="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
                    <pic:cNvPicPr>
                      <a:picLocks noChangeAspect="1"/>
                    </pic:cNvPicPr>
                  </pic:nvPicPr>
                  <pic:blipFill>
                    <a:blip r:embed="rId12"/>
                    <a:stretch>
                      <a:fillRect/>
                    </a:stretch>
                  </pic:blipFill>
                  <pic:spPr>
                    <a:xfrm>
                      <a:off x="0" y="0"/>
                      <a:ext cx="5273675" cy="2870200"/>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lang w:val="en-US" w:eastAsia="zh-CN"/>
        </w:rPr>
      </w:pPr>
    </w:p>
    <w:p>
      <w:pPr>
        <w:keepNext w:val="0"/>
        <w:keepLines w:val="0"/>
        <w:widowControl/>
        <w:suppressLineNumbers w:val="0"/>
        <w:pBdr>
          <w:bottom w:val="none" w:color="auto" w:sz="0" w:space="0"/>
        </w:pBdr>
        <w:spacing w:before="0" w:beforeAutospacing="0" w:after="0" w:afterAutospacing="0" w:line="240" w:lineRule="auto"/>
        <w:ind w:left="0" w:right="0"/>
        <w:jc w:val="both"/>
        <w:rPr>
          <w:rStyle w:val="25"/>
          <w:rFonts w:hint="eastAsia" w:ascii="宋体" w:hAnsi="宋体" w:eastAsia="宋体" w:cs="宋体"/>
          <w:b w:val="0"/>
          <w:bCs w:val="0"/>
          <w:color w:val="000000"/>
          <w:kern w:val="0"/>
          <w:sz w:val="21"/>
          <w:szCs w:val="21"/>
          <w:u w:val="none"/>
          <w:lang w:val="en-US" w:eastAsia="zh-CN" w:bidi="ar"/>
        </w:rPr>
      </w:pPr>
      <w:r>
        <w:rPr>
          <w:rFonts w:hint="eastAsia" w:ascii="宋体" w:hAnsi="宋体" w:eastAsia="宋体" w:cs="宋体"/>
          <w:b w:val="0"/>
          <w:bCs w:val="0"/>
          <w:color w:val="00B0F0"/>
          <w:sz w:val="21"/>
          <w:szCs w:val="21"/>
          <w:lang w:val="en-US" w:eastAsia="zh-CN"/>
        </w:rPr>
        <w:t>样例</w:t>
      </w:r>
      <w:r>
        <w:rPr>
          <w:rFonts w:hint="eastAsia" w:ascii="宋体" w:hAnsi="宋体" w:cs="宋体"/>
          <w:b w:val="0"/>
          <w:bCs w:val="0"/>
          <w:color w:val="00B0F0"/>
          <w:sz w:val="21"/>
          <w:szCs w:val="21"/>
          <w:lang w:val="en-US" w:eastAsia="zh-CN"/>
        </w:rPr>
        <w:t>3</w:t>
      </w:r>
      <w:r>
        <w:rPr>
          <w:rFonts w:hint="eastAsia" w:ascii="宋体" w:hAnsi="宋体" w:eastAsia="宋体" w:cs="宋体"/>
          <w:b w:val="0"/>
          <w:bCs w:val="0"/>
          <w:color w:val="00B0F0"/>
          <w:sz w:val="21"/>
          <w:szCs w:val="21"/>
          <w:lang w:val="en-US" w:eastAsia="zh-CN"/>
        </w:rPr>
        <w:t>：</w:t>
      </w:r>
      <w:r>
        <w:rPr>
          <w:rStyle w:val="25"/>
          <w:rFonts w:hint="eastAsia" w:ascii="宋体" w:hAnsi="宋体" w:eastAsia="宋体" w:cs="宋体"/>
          <w:b w:val="0"/>
          <w:bCs w:val="0"/>
          <w:color w:val="000000"/>
          <w:kern w:val="0"/>
          <w:sz w:val="21"/>
          <w:szCs w:val="21"/>
          <w:u w:val="none"/>
          <w:lang w:val="en-US" w:eastAsia="zh-CN" w:bidi="ar"/>
        </w:rPr>
        <w:t>2016年记账式附息（十</w:t>
      </w:r>
      <w:r>
        <w:rPr>
          <w:rStyle w:val="25"/>
          <w:rFonts w:hint="eastAsia" w:ascii="宋体" w:hAnsi="宋体" w:cs="宋体"/>
          <w:b w:val="0"/>
          <w:bCs w:val="0"/>
          <w:color w:val="000000"/>
          <w:kern w:val="0"/>
          <w:sz w:val="21"/>
          <w:szCs w:val="21"/>
          <w:u w:val="none"/>
          <w:lang w:val="en-US" w:eastAsia="zh-CN" w:bidi="ar"/>
        </w:rPr>
        <w:t>五</w:t>
      </w:r>
      <w:r>
        <w:rPr>
          <w:rStyle w:val="25"/>
          <w:rFonts w:hint="eastAsia" w:ascii="宋体" w:hAnsi="宋体" w:eastAsia="宋体" w:cs="宋体"/>
          <w:b w:val="0"/>
          <w:bCs w:val="0"/>
          <w:color w:val="000000"/>
          <w:kern w:val="0"/>
          <w:sz w:val="21"/>
          <w:szCs w:val="21"/>
          <w:u w:val="none"/>
          <w:lang w:val="en-US" w:eastAsia="zh-CN" w:bidi="ar"/>
        </w:rPr>
        <w:t>期）国债第一次续发</w:t>
      </w:r>
      <w:r>
        <w:rPr>
          <w:rStyle w:val="25"/>
          <w:rFonts w:hint="eastAsia" w:ascii="宋体" w:hAnsi="宋体" w:cs="宋体"/>
          <w:b w:val="0"/>
          <w:bCs w:val="0"/>
          <w:color w:val="000000"/>
          <w:kern w:val="0"/>
          <w:sz w:val="21"/>
          <w:szCs w:val="21"/>
          <w:u w:val="none"/>
          <w:lang w:val="en-US" w:eastAsia="zh-CN" w:bidi="ar"/>
        </w:rPr>
        <w:t>发</w:t>
      </w:r>
      <w:r>
        <w:rPr>
          <w:rStyle w:val="25"/>
          <w:rFonts w:hint="eastAsia" w:ascii="宋体" w:hAnsi="宋体" w:eastAsia="宋体" w:cs="宋体"/>
          <w:b w:val="0"/>
          <w:bCs w:val="0"/>
          <w:color w:val="000000"/>
          <w:kern w:val="0"/>
          <w:sz w:val="21"/>
          <w:szCs w:val="21"/>
          <w:u w:val="none"/>
          <w:lang w:val="en-US" w:eastAsia="zh-CN" w:bidi="ar"/>
        </w:rPr>
        <w:t>行</w:t>
      </w:r>
      <w:r>
        <w:rPr>
          <w:rStyle w:val="25"/>
          <w:rFonts w:hint="eastAsia" w:ascii="宋体" w:hAnsi="宋体" w:cs="宋体"/>
          <w:b w:val="0"/>
          <w:bCs w:val="0"/>
          <w:color w:val="000000"/>
          <w:kern w:val="0"/>
          <w:sz w:val="21"/>
          <w:szCs w:val="21"/>
          <w:u w:val="none"/>
          <w:lang w:val="en-US" w:eastAsia="zh-CN" w:bidi="ar"/>
        </w:rPr>
        <w:t>情况公告</w:t>
      </w:r>
    </w:p>
    <w:p>
      <w:pPr>
        <w:keepNext w:val="0"/>
        <w:keepLines w:val="0"/>
        <w:widowControl/>
        <w:suppressLineNumbers w:val="0"/>
        <w:pBdr>
          <w:bottom w:val="none" w:color="auto" w:sz="0" w:space="0"/>
        </w:pBdr>
        <w:spacing w:before="0" w:beforeAutospacing="0" w:after="0" w:afterAutospacing="0" w:line="240" w:lineRule="auto"/>
        <w:ind w:left="0" w:right="0"/>
        <w:jc w:val="both"/>
        <w:rPr>
          <w:rStyle w:val="25"/>
          <w:rFonts w:hint="eastAsia" w:ascii="宋体" w:hAnsi="宋体" w:cs="宋体"/>
          <w:b w:val="0"/>
          <w:bCs/>
          <w:color w:val="000000"/>
          <w:kern w:val="0"/>
          <w:sz w:val="21"/>
          <w:szCs w:val="21"/>
          <w:u w:val="none"/>
          <w:lang w:val="en-US" w:eastAsia="zh-CN" w:bidi="ar"/>
        </w:rPr>
      </w:pPr>
      <w:r>
        <w:rPr>
          <w:rStyle w:val="25"/>
          <w:rFonts w:hint="eastAsia" w:ascii="宋体" w:hAnsi="宋体" w:cs="宋体"/>
          <w:b w:val="0"/>
          <w:bCs/>
          <w:color w:val="000000"/>
          <w:kern w:val="0"/>
          <w:sz w:val="21"/>
          <w:szCs w:val="21"/>
          <w:u w:val="none"/>
          <w:lang w:val="en-US" w:eastAsia="zh-CN" w:bidi="ar"/>
        </w:rPr>
        <w:t>数据源：中国债券信息网：</w:t>
      </w:r>
    </w:p>
    <w:p>
      <w:pPr>
        <w:keepNext w:val="0"/>
        <w:keepLines w:val="0"/>
        <w:widowControl/>
        <w:suppressLineNumbers w:val="0"/>
        <w:pBdr>
          <w:bottom w:val="none" w:color="auto" w:sz="0" w:space="0"/>
        </w:pBdr>
        <w:spacing w:before="0" w:beforeAutospacing="0" w:after="0" w:afterAutospacing="0" w:line="240" w:lineRule="auto"/>
        <w:ind w:left="0" w:right="0"/>
        <w:jc w:val="both"/>
        <w:rPr>
          <w:rStyle w:val="25"/>
          <w:rFonts w:hint="eastAsia" w:ascii="宋体" w:hAnsi="宋体" w:cs="宋体"/>
          <w:b w:val="0"/>
          <w:bCs/>
          <w:color w:val="00B0F0"/>
          <w:kern w:val="0"/>
          <w:sz w:val="21"/>
          <w:szCs w:val="21"/>
          <w:u w:val="none"/>
          <w:lang w:val="en-US" w:eastAsia="zh-CN" w:bidi="ar"/>
        </w:rPr>
      </w:pPr>
      <w:r>
        <w:rPr>
          <w:rStyle w:val="25"/>
          <w:rFonts w:hint="eastAsia" w:ascii="宋体" w:hAnsi="宋体" w:cs="宋体"/>
          <w:b w:val="0"/>
          <w:bCs/>
          <w:color w:val="00B0F0"/>
          <w:kern w:val="0"/>
          <w:sz w:val="21"/>
          <w:szCs w:val="21"/>
          <w:u w:val="none"/>
          <w:lang w:val="en-US" w:eastAsia="zh-CN" w:bidi="ar"/>
        </w:rPr>
        <w:fldChar w:fldCharType="begin"/>
      </w:r>
      <w:r>
        <w:rPr>
          <w:rStyle w:val="25"/>
          <w:rFonts w:hint="eastAsia" w:ascii="宋体" w:hAnsi="宋体" w:cs="宋体"/>
          <w:b w:val="0"/>
          <w:bCs/>
          <w:color w:val="00B0F0"/>
          <w:kern w:val="0"/>
          <w:sz w:val="21"/>
          <w:szCs w:val="21"/>
          <w:u w:val="none"/>
          <w:lang w:val="en-US" w:eastAsia="zh-CN" w:bidi="ar"/>
        </w:rPr>
        <w:instrText xml:space="preserve"> HYPERLINK "http://www.chinamoney.com.cn/fe/Channel/47916?innerCode=4002477142&amp;bondInfoType=6" </w:instrText>
      </w:r>
      <w:r>
        <w:rPr>
          <w:rStyle w:val="25"/>
          <w:rFonts w:hint="eastAsia" w:ascii="宋体" w:hAnsi="宋体" w:cs="宋体"/>
          <w:b w:val="0"/>
          <w:bCs/>
          <w:color w:val="00B0F0"/>
          <w:kern w:val="0"/>
          <w:sz w:val="21"/>
          <w:szCs w:val="21"/>
          <w:u w:val="none"/>
          <w:lang w:val="en-US" w:eastAsia="zh-CN" w:bidi="ar"/>
        </w:rPr>
        <w:fldChar w:fldCharType="separate"/>
      </w:r>
      <w:r>
        <w:rPr>
          <w:rStyle w:val="30"/>
          <w:rFonts w:hint="eastAsia" w:ascii="宋体" w:hAnsi="宋体" w:cs="宋体"/>
          <w:b w:val="0"/>
          <w:bCs/>
          <w:color w:val="00B0F0"/>
          <w:kern w:val="0"/>
          <w:sz w:val="21"/>
          <w:szCs w:val="21"/>
          <w:lang w:val="en-US" w:eastAsia="zh-CN" w:bidi="ar"/>
        </w:rPr>
        <w:t>http://www.chinamoney.com.cn/fe/Channel/47916?innerCode=4002477142&amp;bondInfoType=6</w:t>
      </w:r>
      <w:r>
        <w:rPr>
          <w:rStyle w:val="25"/>
          <w:rFonts w:hint="eastAsia" w:ascii="宋体" w:hAnsi="宋体" w:cs="宋体"/>
          <w:b w:val="0"/>
          <w:bCs/>
          <w:color w:val="00B0F0"/>
          <w:kern w:val="0"/>
          <w:sz w:val="21"/>
          <w:szCs w:val="21"/>
          <w:u w:val="none"/>
          <w:lang w:val="en-US" w:eastAsia="zh-CN" w:bidi="ar"/>
        </w:rPr>
        <w:fldChar w:fldCharType="end"/>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eastAsia="宋体"/>
          <w:bdr w:val="single" w:sz="4" w:space="0"/>
          <w:lang w:eastAsia="zh-CN"/>
        </w:rPr>
      </w:pPr>
      <w:r>
        <w:rPr>
          <w:rStyle w:val="25"/>
          <w:rFonts w:hint="eastAsia" w:ascii="宋体" w:hAnsi="宋体" w:cs="宋体"/>
          <w:b w:val="0"/>
          <w:bCs/>
          <w:color w:val="000000"/>
          <w:kern w:val="0"/>
          <w:sz w:val="21"/>
          <w:szCs w:val="21"/>
          <w:u w:val="none"/>
          <w:lang w:val="en-US" w:eastAsia="zh-CN" w:bidi="ar"/>
        </w:rPr>
        <w:t>具体信息如下所示：</w:t>
      </w:r>
    </w:p>
    <w:p>
      <w:pPr>
        <w:keepNext w:val="0"/>
        <w:keepLines w:val="0"/>
        <w:widowControl/>
        <w:suppressLineNumbers w:val="0"/>
        <w:pBdr>
          <w:bottom w:val="none" w:color="auto" w:sz="0" w:space="0"/>
        </w:pBdr>
        <w:spacing w:before="0" w:beforeAutospacing="0" w:after="0" w:afterAutospacing="0" w:line="240" w:lineRule="auto"/>
        <w:ind w:left="0" w:right="0"/>
        <w:jc w:val="both"/>
      </w:pPr>
      <w:r>
        <w:rPr>
          <w:bdr w:val="single" w:sz="4" w:space="0"/>
        </w:rPr>
        <w:drawing>
          <wp:inline distT="0" distB="0" distL="114300" distR="114300">
            <wp:extent cx="5266055" cy="2249170"/>
            <wp:effectExtent l="0" t="0" r="10795" b="1778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13"/>
                    <a:stretch>
                      <a:fillRect/>
                    </a:stretch>
                  </pic:blipFill>
                  <pic:spPr>
                    <a:xfrm>
                      <a:off x="0" y="0"/>
                      <a:ext cx="5266055" cy="2249170"/>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从样例中我们可以看出：</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 xml:space="preserve">                      样例1               样例2          样例3</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sz w:val="21"/>
          <w:szCs w:val="21"/>
          <w:lang w:val="en-US" w:eastAsia="zh-CN"/>
        </w:rPr>
      </w:pPr>
      <w:r>
        <w:rPr>
          <w:rFonts w:hint="eastAsia" w:ascii="宋体" w:hAnsi="宋体" w:cs="宋体"/>
          <w:b w:val="0"/>
          <w:bCs w:val="0"/>
          <w:color w:val="00B0F0"/>
          <w:sz w:val="21"/>
          <w:szCs w:val="21"/>
          <w:lang w:val="en-US" w:eastAsia="zh-CN"/>
        </w:rPr>
        <w:t>主内部编码：</w:t>
      </w:r>
      <w:r>
        <w:rPr>
          <w:rFonts w:hint="eastAsia" w:ascii="宋体" w:hAnsi="宋体" w:cs="宋体"/>
          <w:b w:val="0"/>
          <w:bCs w:val="0"/>
          <w:sz w:val="21"/>
          <w:szCs w:val="21"/>
          <w:lang w:val="en-US" w:eastAsia="zh-CN"/>
        </w:rPr>
        <w:t>自动筛选</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color w:val="00B0F0"/>
          <w:sz w:val="21"/>
          <w:szCs w:val="21"/>
          <w:lang w:val="en-US" w:eastAsia="zh-CN"/>
        </w:rPr>
      </w:pPr>
      <w:r>
        <w:rPr>
          <w:rFonts w:hint="eastAsia" w:ascii="宋体" w:hAnsi="宋体" w:cs="宋体"/>
          <w:b w:val="0"/>
          <w:bCs w:val="0"/>
          <w:color w:val="00B0F0"/>
          <w:sz w:val="21"/>
          <w:szCs w:val="21"/>
          <w:lang w:val="en-US" w:eastAsia="zh-CN"/>
        </w:rPr>
        <w:t>债券名称：</w:t>
      </w:r>
      <w:r>
        <w:rPr>
          <w:rStyle w:val="25"/>
          <w:rFonts w:hint="eastAsia" w:ascii="宋体" w:hAnsi="宋体" w:eastAsia="宋体" w:cs="宋体"/>
          <w:b w:val="0"/>
          <w:bCs w:val="0"/>
          <w:color w:val="000000"/>
          <w:kern w:val="0"/>
          <w:sz w:val="21"/>
          <w:szCs w:val="21"/>
          <w:u w:val="none"/>
          <w:lang w:val="en-US" w:eastAsia="zh-CN" w:bidi="ar"/>
        </w:rPr>
        <w:t>2016年记账式附息（十</w:t>
      </w:r>
      <w:r>
        <w:rPr>
          <w:rStyle w:val="25"/>
          <w:rFonts w:hint="eastAsia" w:ascii="宋体" w:hAnsi="宋体" w:cs="宋体"/>
          <w:b w:val="0"/>
          <w:bCs w:val="0"/>
          <w:color w:val="000000"/>
          <w:kern w:val="0"/>
          <w:sz w:val="21"/>
          <w:szCs w:val="21"/>
          <w:u w:val="none"/>
          <w:lang w:val="en-US" w:eastAsia="zh-CN" w:bidi="ar"/>
        </w:rPr>
        <w:t>五</w:t>
      </w:r>
      <w:r>
        <w:rPr>
          <w:rStyle w:val="25"/>
          <w:rFonts w:hint="eastAsia" w:ascii="宋体" w:hAnsi="宋体" w:eastAsia="宋体" w:cs="宋体"/>
          <w:b w:val="0"/>
          <w:bCs w:val="0"/>
          <w:color w:val="000000"/>
          <w:kern w:val="0"/>
          <w:sz w:val="21"/>
          <w:szCs w:val="21"/>
          <w:u w:val="none"/>
          <w:lang w:val="en-US" w:eastAsia="zh-CN" w:bidi="ar"/>
        </w:rPr>
        <w:t>期）国债</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公告日期</w:t>
      </w:r>
      <w:r>
        <w:rPr>
          <w:rFonts w:hint="eastAsia" w:ascii="宋体" w:hAnsi="宋体" w:cs="宋体"/>
          <w:b w:val="0"/>
          <w:bCs w:val="0"/>
          <w:color w:val="00B0F0"/>
          <w:sz w:val="21"/>
          <w:szCs w:val="21"/>
          <w:lang w:val="en-US" w:eastAsia="zh-CN"/>
        </w:rPr>
        <w:t>：      20160706        20160714        20160810</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变动日期</w:t>
      </w:r>
      <w:r>
        <w:rPr>
          <w:rFonts w:hint="eastAsia" w:ascii="宋体" w:hAnsi="宋体" w:cs="宋体"/>
          <w:b w:val="0"/>
          <w:bCs w:val="0"/>
          <w:color w:val="00B0F0"/>
          <w:sz w:val="21"/>
          <w:szCs w:val="21"/>
          <w:lang w:val="en-US" w:eastAsia="zh-CN"/>
        </w:rPr>
        <w:t>：     20160714         20160714        20160815</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变动原因说明</w:t>
      </w:r>
      <w:r>
        <w:rPr>
          <w:rFonts w:hint="eastAsia" w:ascii="宋体" w:hAnsi="宋体" w:cs="宋体"/>
          <w:b w:val="0"/>
          <w:bCs w:val="0"/>
          <w:color w:val="00B0F0"/>
          <w:sz w:val="21"/>
          <w:szCs w:val="21"/>
          <w:lang w:val="en-US" w:eastAsia="zh-CN"/>
        </w:rPr>
        <w:t>： 债券发行         债券发行        债券续发</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变动类型</w:t>
      </w:r>
      <w:r>
        <w:rPr>
          <w:rFonts w:hint="eastAsia" w:ascii="宋体" w:hAnsi="宋体" w:cs="宋体"/>
          <w:b w:val="0"/>
          <w:bCs w:val="0"/>
          <w:color w:val="00B0F0"/>
          <w:sz w:val="21"/>
          <w:szCs w:val="21"/>
          <w:lang w:val="en-US" w:eastAsia="zh-CN"/>
        </w:rPr>
        <w:t>：     债券发行         债券发行        债券续发</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变动规模(元)</w:t>
      </w:r>
      <w:r>
        <w:rPr>
          <w:rFonts w:hint="eastAsia" w:ascii="宋体" w:hAnsi="宋体" w:cs="宋体"/>
          <w:b w:val="0"/>
          <w:bCs w:val="0"/>
          <w:color w:val="00B0F0"/>
          <w:sz w:val="21"/>
          <w:szCs w:val="21"/>
          <w:lang w:val="en-US" w:eastAsia="zh-CN"/>
        </w:rPr>
        <w:t>：  330亿元         393.9</w:t>
      </w:r>
      <w:r>
        <w:rPr>
          <w:rFonts w:hint="eastAsia" w:ascii="宋体" w:hAnsi="宋体" w:eastAsia="宋体" w:cs="宋体"/>
          <w:b w:val="0"/>
          <w:bCs w:val="0"/>
          <w:color w:val="00B0F0"/>
          <w:sz w:val="21"/>
          <w:szCs w:val="21"/>
          <w:lang w:val="en-US" w:eastAsia="zh-CN"/>
        </w:rPr>
        <w:t>亿元</w:t>
      </w:r>
      <w:r>
        <w:rPr>
          <w:rFonts w:hint="eastAsia" w:ascii="宋体" w:hAnsi="宋体" w:cs="宋体"/>
          <w:b w:val="0"/>
          <w:bCs w:val="0"/>
          <w:color w:val="00B0F0"/>
          <w:sz w:val="21"/>
          <w:szCs w:val="21"/>
          <w:lang w:val="en-US" w:eastAsia="zh-CN"/>
        </w:rPr>
        <w:t xml:space="preserve">       </w:t>
      </w:r>
      <w:r>
        <w:rPr>
          <w:rFonts w:hint="eastAsia" w:ascii="宋体" w:hAnsi="宋体" w:eastAsia="宋体" w:cs="宋体"/>
          <w:b w:val="0"/>
          <w:bCs w:val="0"/>
          <w:color w:val="00B0F0"/>
          <w:sz w:val="21"/>
          <w:szCs w:val="21"/>
          <w:lang w:val="en-US" w:eastAsia="zh-CN"/>
        </w:rPr>
        <w:t>3</w:t>
      </w:r>
      <w:r>
        <w:rPr>
          <w:rFonts w:hint="eastAsia" w:ascii="宋体" w:hAnsi="宋体" w:cs="宋体"/>
          <w:b w:val="0"/>
          <w:bCs w:val="0"/>
          <w:color w:val="00B0F0"/>
          <w:sz w:val="21"/>
          <w:szCs w:val="21"/>
          <w:lang w:val="en-US" w:eastAsia="zh-CN"/>
        </w:rPr>
        <w:t>64</w:t>
      </w:r>
      <w:r>
        <w:rPr>
          <w:rFonts w:hint="eastAsia" w:ascii="宋体" w:hAnsi="宋体" w:eastAsia="宋体" w:cs="宋体"/>
          <w:b w:val="0"/>
          <w:bCs w:val="0"/>
          <w:color w:val="00B0F0"/>
          <w:sz w:val="21"/>
          <w:szCs w:val="21"/>
          <w:lang w:val="en-US" w:eastAsia="zh-CN"/>
        </w:rPr>
        <w:t>亿元</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变动后规模(元)</w:t>
      </w:r>
      <w:r>
        <w:rPr>
          <w:rFonts w:hint="eastAsia" w:ascii="宋体" w:hAnsi="宋体" w:cs="宋体"/>
          <w:b w:val="0"/>
          <w:bCs w:val="0"/>
          <w:color w:val="00B0F0"/>
          <w:sz w:val="21"/>
          <w:szCs w:val="21"/>
          <w:lang w:val="en-US" w:eastAsia="zh-CN"/>
        </w:rPr>
        <w:t>：330亿元         393.9</w:t>
      </w:r>
      <w:r>
        <w:rPr>
          <w:rFonts w:hint="eastAsia" w:ascii="宋体" w:hAnsi="宋体" w:eastAsia="宋体" w:cs="宋体"/>
          <w:b w:val="0"/>
          <w:bCs w:val="0"/>
          <w:color w:val="00B0F0"/>
          <w:sz w:val="21"/>
          <w:szCs w:val="21"/>
          <w:lang w:val="en-US" w:eastAsia="zh-CN"/>
        </w:rPr>
        <w:t>亿元</w:t>
      </w:r>
      <w:r>
        <w:rPr>
          <w:rFonts w:hint="eastAsia" w:ascii="宋体" w:hAnsi="宋体" w:cs="宋体"/>
          <w:b w:val="0"/>
          <w:bCs w:val="0"/>
          <w:color w:val="00B0F0"/>
          <w:sz w:val="21"/>
          <w:szCs w:val="21"/>
          <w:lang w:val="en-US" w:eastAsia="zh-CN"/>
        </w:rPr>
        <w:t xml:space="preserve">       757.9</w:t>
      </w:r>
      <w:r>
        <w:rPr>
          <w:rFonts w:hint="eastAsia" w:ascii="宋体" w:hAnsi="宋体" w:eastAsia="宋体" w:cs="宋体"/>
          <w:b w:val="0"/>
          <w:bCs w:val="0"/>
          <w:color w:val="00B0F0"/>
          <w:sz w:val="21"/>
          <w:szCs w:val="21"/>
          <w:lang w:val="en-US" w:eastAsia="zh-CN"/>
        </w:rPr>
        <w:t>亿元</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变动后面值(元)</w:t>
      </w:r>
      <w:r>
        <w:rPr>
          <w:rFonts w:hint="eastAsia" w:ascii="宋体" w:hAnsi="宋体" w:cs="宋体"/>
          <w:b w:val="0"/>
          <w:bCs w:val="0"/>
          <w:color w:val="00B0F0"/>
          <w:sz w:val="21"/>
          <w:szCs w:val="21"/>
          <w:lang w:val="en-US" w:eastAsia="zh-CN"/>
        </w:rPr>
        <w:t>： 100             100              100</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备注</w:t>
      </w:r>
      <w:r>
        <w:rPr>
          <w:rFonts w:hint="eastAsia" w:ascii="宋体" w:hAnsi="宋体" w:cs="宋体"/>
          <w:b w:val="0"/>
          <w:bCs w:val="0"/>
          <w:color w:val="00B0F0"/>
          <w:sz w:val="21"/>
          <w:szCs w:val="21"/>
          <w:lang w:val="en-US" w:eastAsia="zh-CN"/>
        </w:rPr>
        <w:t>：</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是否有效</w:t>
      </w:r>
      <w:r>
        <w:rPr>
          <w:rFonts w:hint="eastAsia" w:ascii="宋体" w:hAnsi="宋体" w:cs="宋体"/>
          <w:b w:val="0"/>
          <w:bCs w:val="0"/>
          <w:color w:val="00B0F0"/>
          <w:sz w:val="21"/>
          <w:szCs w:val="21"/>
          <w:lang w:val="en-US" w:eastAsia="zh-CN"/>
        </w:rPr>
        <w:t>：          否          是               是</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color w:val="FF0000"/>
          <w:sz w:val="21"/>
          <w:szCs w:val="21"/>
          <w:lang w:val="en-US" w:eastAsia="zh-CN"/>
        </w:rPr>
      </w:pPr>
      <w:r>
        <w:rPr>
          <w:rFonts w:hint="eastAsia" w:ascii="宋体" w:hAnsi="宋体" w:eastAsia="宋体" w:cs="宋体"/>
          <w:b w:val="0"/>
          <w:bCs w:val="0"/>
          <w:color w:val="FF0000"/>
          <w:sz w:val="21"/>
          <w:szCs w:val="21"/>
          <w:lang w:val="en-US" w:eastAsia="zh-CN"/>
        </w:rPr>
        <w:t>备注：样例1</w:t>
      </w:r>
      <w:r>
        <w:rPr>
          <w:rFonts w:hint="eastAsia" w:ascii="宋体" w:hAnsi="宋体" w:cs="宋体"/>
          <w:b w:val="0"/>
          <w:bCs w:val="0"/>
          <w:color w:val="FF0000"/>
          <w:sz w:val="21"/>
          <w:szCs w:val="21"/>
          <w:lang w:val="en-US" w:eastAsia="zh-CN"/>
        </w:rPr>
        <w:t>的数据从债券的发行公告中得到的数据，对于债券规模表来讲是无效的。样例2</w:t>
      </w:r>
      <w:r>
        <w:rPr>
          <w:rFonts w:hint="eastAsia" w:ascii="宋体" w:hAnsi="宋体" w:eastAsia="宋体" w:cs="宋体"/>
          <w:b w:val="0"/>
          <w:bCs w:val="0"/>
          <w:color w:val="FF0000"/>
          <w:sz w:val="21"/>
          <w:szCs w:val="21"/>
          <w:lang w:val="en-US" w:eastAsia="zh-CN"/>
        </w:rPr>
        <w:t>和样例</w:t>
      </w:r>
      <w:r>
        <w:rPr>
          <w:rFonts w:hint="eastAsia" w:ascii="宋体" w:hAnsi="宋体" w:cs="宋体"/>
          <w:b w:val="0"/>
          <w:bCs w:val="0"/>
          <w:color w:val="FF0000"/>
          <w:sz w:val="21"/>
          <w:szCs w:val="21"/>
          <w:lang w:val="en-US" w:eastAsia="zh-CN"/>
        </w:rPr>
        <w:t>3的数据都是从债券的发行结果中得到的数据，对于债券规模表是有效的，样例2是首发，规模表变动日期主要取自债券的起息日，样例3是续发，规模表变动日期的规则主要取债券的上市日。对于国债和政策性银行债增发的情况，债券规模在上市日发生了实质性的变化，债券的流通规模增加了。债券规模变动表的相关字段先从募集说明书或发行通知等公告中进行维护，然后在从发行结果公告中进行维护。</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样例4：2016年中国信达资产管理股份有限公司二级资本债券</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数据源1:2016年中国信达资产管理股份有限公司二级资本债券募集说明书：</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fldChar w:fldCharType="begin"/>
      </w:r>
      <w:r>
        <w:rPr>
          <w:rFonts w:hint="eastAsia" w:ascii="宋体" w:hAnsi="宋体" w:cs="宋体"/>
          <w:b w:val="0"/>
          <w:bCs w:val="0"/>
          <w:sz w:val="21"/>
          <w:szCs w:val="21"/>
          <w:lang w:val="en-US" w:eastAsia="zh-CN"/>
        </w:rPr>
        <w:instrText xml:space="preserve"> HYPERLINK "http://www.shclearing.com/xxpl/fxpl/jrz/201606/t20160608_159652.html" </w:instrText>
      </w:r>
      <w:r>
        <w:rPr>
          <w:rFonts w:hint="eastAsia" w:ascii="宋体" w:hAnsi="宋体" w:cs="宋体"/>
          <w:b w:val="0"/>
          <w:bCs w:val="0"/>
          <w:sz w:val="21"/>
          <w:szCs w:val="21"/>
          <w:lang w:val="en-US" w:eastAsia="zh-CN"/>
        </w:rPr>
        <w:fldChar w:fldCharType="separate"/>
      </w:r>
      <w:r>
        <w:rPr>
          <w:rStyle w:val="30"/>
          <w:rFonts w:hint="eastAsia" w:ascii="宋体" w:hAnsi="宋体" w:cs="宋体"/>
          <w:b w:val="0"/>
          <w:bCs w:val="0"/>
          <w:sz w:val="21"/>
          <w:szCs w:val="21"/>
          <w:lang w:val="en-US" w:eastAsia="zh-CN"/>
        </w:rPr>
        <w:t>http://www.shclearing.com/xxpl/fxpl/jrz/201606/t20160608_159652.html</w:t>
      </w:r>
      <w:r>
        <w:rPr>
          <w:rFonts w:hint="eastAsia" w:ascii="宋体" w:hAnsi="宋体" w:cs="宋体"/>
          <w:b w:val="0"/>
          <w:bCs w:val="0"/>
          <w:sz w:val="21"/>
          <w:szCs w:val="21"/>
          <w:lang w:val="en-US" w:eastAsia="zh-CN"/>
        </w:rPr>
        <w:fldChar w:fldCharType="end"/>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sz w:val="21"/>
          <w:szCs w:val="21"/>
          <w:lang w:val="en-US" w:eastAsia="zh-CN"/>
        </w:rPr>
      </w:pPr>
      <w:r>
        <w:rPr>
          <w:bdr w:val="single" w:sz="4" w:space="0"/>
        </w:rPr>
        <w:drawing>
          <wp:inline distT="0" distB="0" distL="114300" distR="114300">
            <wp:extent cx="5269230" cy="1986915"/>
            <wp:effectExtent l="0" t="0" r="7620" b="1333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4"/>
                    <a:stretch>
                      <a:fillRect/>
                    </a:stretch>
                  </pic:blipFill>
                  <pic:spPr>
                    <a:xfrm>
                      <a:off x="0" y="0"/>
                      <a:ext cx="5269230" cy="1986915"/>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数据源2：</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2016年中国信达资产管理股份有限公司二级资本债券发行情况公告数据源：</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fldChar w:fldCharType="begin"/>
      </w:r>
      <w:r>
        <w:rPr>
          <w:rFonts w:hint="eastAsia" w:ascii="宋体" w:hAnsi="宋体" w:cs="宋体"/>
          <w:b w:val="0"/>
          <w:bCs w:val="0"/>
          <w:sz w:val="21"/>
          <w:szCs w:val="21"/>
          <w:lang w:val="en-US" w:eastAsia="zh-CN"/>
        </w:rPr>
        <w:instrText xml:space="preserve"> HYPERLINK "http://www.shclearing.com/xxpl/fxqkbg/jrz01/201606/t20160615_161027.html" </w:instrText>
      </w:r>
      <w:r>
        <w:rPr>
          <w:rFonts w:hint="eastAsia" w:ascii="宋体" w:hAnsi="宋体" w:cs="宋体"/>
          <w:b w:val="0"/>
          <w:bCs w:val="0"/>
          <w:sz w:val="21"/>
          <w:szCs w:val="21"/>
          <w:lang w:val="en-US" w:eastAsia="zh-CN"/>
        </w:rPr>
        <w:fldChar w:fldCharType="separate"/>
      </w:r>
      <w:r>
        <w:rPr>
          <w:rStyle w:val="30"/>
          <w:rFonts w:hint="eastAsia" w:ascii="宋体" w:hAnsi="宋体" w:cs="宋体"/>
          <w:b w:val="0"/>
          <w:bCs w:val="0"/>
          <w:sz w:val="21"/>
          <w:szCs w:val="21"/>
          <w:lang w:val="en-US" w:eastAsia="zh-CN"/>
        </w:rPr>
        <w:t>http://www.shclearing.com/xxpl/fxqkbg/jrz01/201606/t20160615_161027.html</w:t>
      </w:r>
      <w:r>
        <w:rPr>
          <w:rFonts w:hint="eastAsia" w:ascii="宋体" w:hAnsi="宋体" w:cs="宋体"/>
          <w:b w:val="0"/>
          <w:bCs w:val="0"/>
          <w:sz w:val="21"/>
          <w:szCs w:val="21"/>
          <w:lang w:val="en-US" w:eastAsia="zh-CN"/>
        </w:rPr>
        <w:fldChar w:fldCharType="end"/>
      </w:r>
    </w:p>
    <w:p>
      <w:pPr>
        <w:keepNext w:val="0"/>
        <w:keepLines w:val="0"/>
        <w:widowControl/>
        <w:suppressLineNumbers w:val="0"/>
        <w:pBdr>
          <w:bottom w:val="none" w:color="auto" w:sz="0" w:space="0"/>
        </w:pBdr>
        <w:spacing w:before="0" w:beforeAutospacing="0" w:after="0" w:afterAutospacing="0" w:line="240" w:lineRule="auto"/>
        <w:ind w:left="0" w:right="0"/>
        <w:jc w:val="both"/>
        <w:rPr>
          <w:bdr w:val="single" w:sz="4" w:space="0"/>
        </w:rPr>
      </w:pPr>
      <w:r>
        <w:rPr>
          <w:bdr w:val="single" w:sz="4" w:space="0"/>
        </w:rPr>
        <w:drawing>
          <wp:inline distT="0" distB="0" distL="114300" distR="114300">
            <wp:extent cx="5271770" cy="969645"/>
            <wp:effectExtent l="0" t="0" r="5080" b="190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15"/>
                    <a:stretch>
                      <a:fillRect/>
                    </a:stretch>
                  </pic:blipFill>
                  <pic:spPr>
                    <a:xfrm>
                      <a:off x="0" y="0"/>
                      <a:ext cx="5271770" cy="969645"/>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bdr w:val="single" w:sz="4" w:space="0"/>
          <w:lang w:val="en-US" w:eastAsia="zh-CN"/>
        </w:rPr>
      </w:pPr>
      <w:r>
        <w:drawing>
          <wp:inline distT="0" distB="0" distL="114300" distR="114300">
            <wp:extent cx="5270500" cy="2793365"/>
            <wp:effectExtent l="0" t="0" r="6350" b="698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16"/>
                    <a:stretch>
                      <a:fillRect/>
                    </a:stretch>
                  </pic:blipFill>
                  <pic:spPr>
                    <a:xfrm>
                      <a:off x="0" y="0"/>
                      <a:ext cx="5270500" cy="2793365"/>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color w:val="auto"/>
          <w:kern w:val="2"/>
          <w:sz w:val="21"/>
          <w:vertAlign w:val="baseline"/>
          <w:lang w:val="en-US" w:eastAsia="zh-CN" w:bidi="ar-SA"/>
        </w:rPr>
      </w:pPr>
      <w:r>
        <w:rPr>
          <w:rFonts w:hint="eastAsia"/>
          <w:color w:val="auto"/>
          <w:kern w:val="2"/>
          <w:sz w:val="21"/>
          <w:vertAlign w:val="baseline"/>
          <w:lang w:val="en-US" w:eastAsia="zh-CN" w:bidi="ar-SA"/>
        </w:rPr>
        <w:t>从</w:t>
      </w:r>
      <w:r>
        <w:rPr>
          <w:rFonts w:hint="eastAsia" w:ascii="宋体" w:hAnsi="宋体" w:cs="宋体"/>
          <w:b w:val="0"/>
          <w:bCs w:val="0"/>
          <w:sz w:val="21"/>
          <w:szCs w:val="21"/>
          <w:lang w:val="en-US" w:eastAsia="zh-CN"/>
        </w:rPr>
        <w:t>2016年中国信达资产管理股份有限公司二级资本债券发行情况公告</w:t>
      </w:r>
      <w:r>
        <w:rPr>
          <w:rFonts w:hint="eastAsia"/>
          <w:color w:val="auto"/>
          <w:kern w:val="2"/>
          <w:sz w:val="21"/>
          <w:vertAlign w:val="baseline"/>
          <w:lang w:val="en-US" w:eastAsia="zh-CN" w:bidi="ar-SA"/>
        </w:rPr>
        <w:t>可以看出：公告日期为2016年6月15日，本期发行额为100亿元，变动日期为20160616，变动后的面值为100元。变动类型为债券发行。此时规模的变动是从0到100亿元。</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color w:val="auto"/>
          <w:kern w:val="2"/>
          <w:sz w:val="21"/>
          <w:vertAlign w:val="baseline"/>
          <w:lang w:val="en-US" w:eastAsia="zh-CN" w:bidi="ar-SA"/>
        </w:rPr>
      </w:pPr>
      <w:r>
        <w:rPr>
          <w:rFonts w:hint="eastAsia"/>
          <w:b/>
          <w:bCs/>
          <w:color w:val="auto"/>
          <w:kern w:val="2"/>
          <w:sz w:val="21"/>
          <w:vertAlign w:val="baseline"/>
          <w:lang w:val="en-US" w:eastAsia="zh-CN" w:bidi="ar-SA"/>
        </w:rPr>
        <w:t>备注</w:t>
      </w:r>
      <w:r>
        <w:rPr>
          <w:rFonts w:hint="eastAsia"/>
          <w:color w:val="auto"/>
          <w:kern w:val="2"/>
          <w:sz w:val="21"/>
          <w:vertAlign w:val="baseline"/>
          <w:lang w:val="en-US" w:eastAsia="zh-CN" w:bidi="ar-SA"/>
        </w:rPr>
        <w:t>：债券起息日先从债券的发行材料（募集说明书、发行公告等）进行维护，然后债券规模表中的其他字段信息可到债券的发行结果公告中进行维护。</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color w:val="FF0000"/>
          <w:kern w:val="2"/>
          <w:sz w:val="21"/>
          <w:vertAlign w:val="baseline"/>
          <w:lang w:val="en-US" w:eastAsia="zh-CN" w:bidi="ar-SA"/>
        </w:rPr>
      </w:pPr>
      <w:r>
        <w:rPr>
          <w:rFonts w:hint="eastAsia"/>
          <w:color w:val="FF0000"/>
          <w:kern w:val="2"/>
          <w:sz w:val="21"/>
          <w:vertAlign w:val="baseline"/>
          <w:lang w:val="en-US" w:eastAsia="zh-CN" w:bidi="ar-SA"/>
        </w:rPr>
        <w:t>2、交易所流通债券的数据源：</w:t>
      </w:r>
    </w:p>
    <w:p>
      <w:pPr>
        <w:pStyle w:val="4"/>
        <w:numPr>
          <w:ilvl w:val="0"/>
          <w:numId w:val="0"/>
        </w:numPr>
        <w:ind w:leftChars="0"/>
        <w:rPr>
          <w:rFonts w:hint="eastAsia"/>
          <w:color w:val="5B9BD5" w:themeColor="accent1"/>
          <w:kern w:val="2"/>
          <w:sz w:val="21"/>
          <w:vertAlign w:val="baseline"/>
          <w:lang w:val="en-US" w:eastAsia="zh-CN" w:bidi="ar-SA"/>
          <w14:textFill>
            <w14:solidFill>
              <w14:schemeClr w14:val="accent1"/>
            </w14:solidFill>
          </w14:textFill>
        </w:rPr>
      </w:pPr>
      <w:r>
        <w:rPr>
          <w:rFonts w:hint="eastAsia"/>
          <w:color w:val="auto"/>
          <w:kern w:val="2"/>
          <w:sz w:val="21"/>
          <w:vertAlign w:val="baseline"/>
          <w:lang w:val="en-US" w:eastAsia="zh-CN" w:bidi="ar-SA"/>
        </w:rPr>
        <w:t>2.1数据源：</w:t>
      </w:r>
      <w:r>
        <w:rPr>
          <w:rFonts w:hint="eastAsia"/>
          <w:color w:val="5B9BD5" w:themeColor="accent1"/>
          <w:kern w:val="2"/>
          <w:sz w:val="21"/>
          <w:vertAlign w:val="baseline"/>
          <w:lang w:val="en-US" w:eastAsia="zh-CN" w:bidi="ar-SA"/>
          <w14:textFill>
            <w14:solidFill>
              <w14:schemeClr w14:val="accent1"/>
            </w14:solidFill>
          </w14:textFill>
        </w:rPr>
        <w:t>上海证券交易所：http://www.sse.com.cn/disclosure/bond/announcement/corporate/</w:t>
      </w:r>
    </w:p>
    <w:p>
      <w:pPr>
        <w:keepNext w:val="0"/>
        <w:keepLines w:val="0"/>
        <w:widowControl/>
        <w:suppressLineNumbers w:val="0"/>
        <w:pBdr>
          <w:bottom w:val="none" w:color="auto" w:sz="0" w:space="0"/>
        </w:pBdr>
        <w:spacing w:before="0" w:beforeAutospacing="0" w:after="0" w:afterAutospacing="0" w:line="240" w:lineRule="auto"/>
        <w:ind w:left="0" w:right="0"/>
        <w:jc w:val="both"/>
        <w:rPr>
          <w:bdr w:val="single" w:sz="4" w:space="0"/>
        </w:rPr>
      </w:pPr>
      <w:r>
        <w:rPr>
          <w:bdr w:val="single" w:sz="4" w:space="0"/>
        </w:rPr>
        <w:drawing>
          <wp:inline distT="0" distB="0" distL="114300" distR="114300">
            <wp:extent cx="5267960" cy="3395345"/>
            <wp:effectExtent l="0" t="0" r="8890" b="146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5267960" cy="3395345"/>
                    </a:xfrm>
                    <a:prstGeom prst="rect">
                      <a:avLst/>
                    </a:prstGeom>
                    <a:noFill/>
                    <a:ln w="9525">
                      <a:noFill/>
                    </a:ln>
                  </pic:spPr>
                </pic:pic>
              </a:graphicData>
            </a:graphic>
          </wp:inline>
        </w:drawing>
      </w:r>
    </w:p>
    <w:p>
      <w:pPr>
        <w:keepNext w:val="0"/>
        <w:keepLines w:val="0"/>
        <w:widowControl/>
        <w:numPr>
          <w:ilvl w:val="0"/>
          <w:numId w:val="4"/>
        </w:numPr>
        <w:suppressLineNumbers w:val="0"/>
        <w:pBdr>
          <w:bottom w:val="none" w:color="auto" w:sz="0" w:space="0"/>
        </w:pBdr>
        <w:spacing w:before="0" w:beforeAutospacing="0" w:after="0" w:afterAutospacing="0" w:line="240" w:lineRule="auto"/>
        <w:ind w:left="0" w:right="0"/>
        <w:jc w:val="both"/>
        <w:rPr>
          <w:rFonts w:hint="eastAsia"/>
          <w:color w:val="auto"/>
          <w:kern w:val="2"/>
          <w:sz w:val="21"/>
          <w:vertAlign w:val="baseline"/>
          <w:lang w:val="en-US" w:eastAsia="zh-CN" w:bidi="ar-SA"/>
        </w:rPr>
      </w:pPr>
      <w:r>
        <w:rPr>
          <w:rFonts w:hint="eastAsia"/>
          <w:color w:val="auto"/>
          <w:kern w:val="2"/>
          <w:sz w:val="21"/>
          <w:vertAlign w:val="baseline"/>
          <w:lang w:val="en-US" w:eastAsia="zh-CN" w:bidi="ar-SA"/>
        </w:rPr>
        <w:t>2数据源：深圳证券交易所：</w:t>
      </w:r>
      <w:r>
        <w:rPr>
          <w:rFonts w:hint="eastAsia"/>
          <w:color w:val="auto"/>
          <w:kern w:val="2"/>
          <w:sz w:val="21"/>
          <w:vertAlign w:val="baseline"/>
          <w:lang w:val="en-US" w:eastAsia="zh-CN" w:bidi="ar-SA"/>
        </w:rPr>
        <w:fldChar w:fldCharType="begin"/>
      </w:r>
      <w:r>
        <w:rPr>
          <w:rFonts w:hint="eastAsia"/>
          <w:color w:val="auto"/>
          <w:kern w:val="2"/>
          <w:sz w:val="21"/>
          <w:vertAlign w:val="baseline"/>
          <w:lang w:val="en-US" w:eastAsia="zh-CN" w:bidi="ar-SA"/>
        </w:rPr>
        <w:instrText xml:space="preserve"> HYPERLINK "http://disclosure.szse.cn/m/zqgg.htm" </w:instrText>
      </w:r>
      <w:r>
        <w:rPr>
          <w:rFonts w:hint="eastAsia"/>
          <w:color w:val="auto"/>
          <w:kern w:val="2"/>
          <w:sz w:val="21"/>
          <w:vertAlign w:val="baseline"/>
          <w:lang w:val="en-US" w:eastAsia="zh-CN" w:bidi="ar-SA"/>
        </w:rPr>
        <w:fldChar w:fldCharType="separate"/>
      </w:r>
      <w:r>
        <w:rPr>
          <w:rStyle w:val="30"/>
          <w:rFonts w:hint="eastAsia"/>
          <w:kern w:val="2"/>
          <w:sz w:val="21"/>
          <w:vertAlign w:val="baseline"/>
          <w:lang w:val="en-US" w:eastAsia="zh-CN" w:bidi="ar-SA"/>
        </w:rPr>
        <w:t>http://disclosure.szse.cn/m/zqgg.htm</w:t>
      </w:r>
      <w:r>
        <w:rPr>
          <w:rFonts w:hint="eastAsia"/>
          <w:color w:val="auto"/>
          <w:kern w:val="2"/>
          <w:sz w:val="21"/>
          <w:vertAlign w:val="baseline"/>
          <w:lang w:val="en-US" w:eastAsia="zh-CN" w:bidi="ar-SA"/>
        </w:rPr>
        <w:fldChar w:fldCharType="end"/>
      </w:r>
    </w:p>
    <w:p>
      <w:pPr>
        <w:keepNext w:val="0"/>
        <w:keepLines w:val="0"/>
        <w:widowControl/>
        <w:numPr>
          <w:ilvl w:val="0"/>
          <w:numId w:val="0"/>
        </w:numPr>
        <w:suppressLineNumbers w:val="0"/>
        <w:pBdr>
          <w:bottom w:val="none" w:color="auto" w:sz="0" w:space="0"/>
        </w:pBdr>
        <w:spacing w:before="0" w:beforeAutospacing="0" w:after="0" w:afterAutospacing="0" w:line="240" w:lineRule="auto"/>
        <w:ind w:right="0" w:rightChars="0"/>
        <w:jc w:val="both"/>
        <w:rPr>
          <w:rFonts w:hint="eastAsia"/>
          <w:color w:val="auto"/>
          <w:kern w:val="2"/>
          <w:sz w:val="21"/>
          <w:vertAlign w:val="baseline"/>
          <w:lang w:val="en-US" w:eastAsia="zh-CN" w:bidi="ar-SA"/>
        </w:rPr>
      </w:pPr>
      <w:r>
        <w:rPr>
          <w:bdr w:val="single" w:sz="4" w:space="0"/>
        </w:rPr>
        <w:drawing>
          <wp:inline distT="0" distB="0" distL="114300" distR="114300">
            <wp:extent cx="5269865" cy="3344545"/>
            <wp:effectExtent l="0" t="0" r="6985" b="8255"/>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18"/>
                    <a:stretch>
                      <a:fillRect/>
                    </a:stretch>
                  </pic:blipFill>
                  <pic:spPr>
                    <a:xfrm>
                      <a:off x="0" y="0"/>
                      <a:ext cx="5269865" cy="3344545"/>
                    </a:xfrm>
                    <a:prstGeom prst="rect">
                      <a:avLst/>
                    </a:prstGeom>
                    <a:noFill/>
                    <a:ln w="9525">
                      <a:noFill/>
                    </a:ln>
                  </pic:spPr>
                </pic:pic>
              </a:graphicData>
            </a:graphic>
          </wp:inline>
        </w:drawing>
      </w:r>
    </w:p>
    <w:p>
      <w:pPr>
        <w:spacing w:beforeLines="0" w:afterLines="0"/>
        <w:jc w:val="left"/>
        <w:rPr>
          <w:rFonts w:hint="eastAsia" w:ascii="Times New Roman" w:hAnsi="Times New Roman" w:eastAsia="宋体" w:cs="Times New Roman"/>
          <w:color w:val="auto"/>
          <w:kern w:val="2"/>
          <w:sz w:val="21"/>
          <w:vertAlign w:val="baseline"/>
          <w:lang w:val="en-US" w:eastAsia="zh-CN" w:bidi="ar-SA"/>
        </w:rPr>
      </w:pPr>
      <w:r>
        <w:rPr>
          <w:rFonts w:hint="eastAsia"/>
          <w:color w:val="5B9BD5" w:themeColor="accent1"/>
          <w:kern w:val="2"/>
          <w:sz w:val="21"/>
          <w:vertAlign w:val="baseline"/>
          <w:lang w:val="en-US" w:eastAsia="zh-CN" w:bidi="ar-SA"/>
          <w14:textFill>
            <w14:solidFill>
              <w14:schemeClr w14:val="accent1"/>
            </w14:solidFill>
          </w14:textFill>
        </w:rPr>
        <w:t>样例1:</w:t>
      </w:r>
      <w:r>
        <w:rPr>
          <w:rFonts w:hint="eastAsia" w:ascii="Times New Roman" w:hAnsi="Times New Roman" w:eastAsia="宋体" w:cs="Times New Roman"/>
          <w:color w:val="auto"/>
          <w:kern w:val="2"/>
          <w:sz w:val="21"/>
          <w:vertAlign w:val="baseline"/>
          <w:lang w:val="en-US" w:eastAsia="zh-CN" w:bidi="ar-SA"/>
        </w:rPr>
        <w:t>华油惠博普科技股份有限公司 2016年面向合格投资者公开发行公司债券（第一期）发行结果公告</w:t>
      </w:r>
    </w:p>
    <w:p>
      <w:pPr>
        <w:pStyle w:val="4"/>
        <w:ind w:left="0" w:leftChars="0" w:firstLine="0" w:firstLineChars="0"/>
        <w:rPr>
          <w:rFonts w:hint="eastAsia"/>
          <w:color w:val="auto"/>
          <w:kern w:val="2"/>
          <w:sz w:val="21"/>
          <w:vertAlign w:val="baseline"/>
          <w:lang w:val="en-US" w:eastAsia="zh-CN" w:bidi="ar-SA"/>
        </w:rPr>
      </w:pPr>
      <w:r>
        <w:rPr>
          <w:rFonts w:hint="eastAsia"/>
          <w:color w:val="auto"/>
          <w:kern w:val="2"/>
          <w:sz w:val="21"/>
          <w:vertAlign w:val="baseline"/>
          <w:lang w:val="en-US" w:eastAsia="zh-CN" w:bidi="ar-SA"/>
        </w:rPr>
        <w:t>数据来源：募集说明书：</w:t>
      </w:r>
      <w:r>
        <w:rPr>
          <w:rFonts w:hint="eastAsia"/>
          <w:color w:val="auto"/>
          <w:kern w:val="2"/>
          <w:sz w:val="21"/>
          <w:vertAlign w:val="baseline"/>
          <w:lang w:val="en-US" w:eastAsia="zh-CN" w:bidi="ar-SA"/>
        </w:rPr>
        <w:fldChar w:fldCharType="begin"/>
      </w:r>
      <w:r>
        <w:rPr>
          <w:rFonts w:hint="eastAsia"/>
          <w:color w:val="auto"/>
          <w:kern w:val="2"/>
          <w:sz w:val="21"/>
          <w:vertAlign w:val="baseline"/>
          <w:lang w:val="en-US" w:eastAsia="zh-CN" w:bidi="ar-SA"/>
        </w:rPr>
        <w:instrText xml:space="preserve"> HYPERLINK "http://disclosure.szse.cn/finalpage/2016-08-19/1202582446.PDF" </w:instrText>
      </w:r>
      <w:r>
        <w:rPr>
          <w:rFonts w:hint="eastAsia"/>
          <w:color w:val="auto"/>
          <w:kern w:val="2"/>
          <w:sz w:val="21"/>
          <w:vertAlign w:val="baseline"/>
          <w:lang w:val="en-US" w:eastAsia="zh-CN" w:bidi="ar-SA"/>
        </w:rPr>
        <w:fldChar w:fldCharType="separate"/>
      </w:r>
      <w:r>
        <w:rPr>
          <w:rStyle w:val="30"/>
          <w:rFonts w:hint="eastAsia"/>
          <w:kern w:val="2"/>
          <w:sz w:val="21"/>
          <w:vertAlign w:val="baseline"/>
          <w:lang w:val="en-US" w:eastAsia="zh-CN" w:bidi="ar-SA"/>
        </w:rPr>
        <w:t>http://disclosure.szse.cn/finalpage/2016-08-19/1202582446.PDF</w:t>
      </w:r>
      <w:r>
        <w:rPr>
          <w:rFonts w:hint="eastAsia"/>
          <w:color w:val="auto"/>
          <w:kern w:val="2"/>
          <w:sz w:val="21"/>
          <w:vertAlign w:val="baseline"/>
          <w:lang w:val="en-US" w:eastAsia="zh-CN" w:bidi="ar-SA"/>
        </w:rPr>
        <w:fldChar w:fldCharType="end"/>
      </w:r>
    </w:p>
    <w:p>
      <w:pPr>
        <w:pStyle w:val="4"/>
        <w:ind w:left="0" w:leftChars="0" w:firstLine="0" w:firstLineChars="0"/>
        <w:rPr>
          <w:rFonts w:hint="eastAsia"/>
          <w:color w:val="5B9BD5" w:themeColor="accent1"/>
          <w:kern w:val="2"/>
          <w:sz w:val="21"/>
          <w:vertAlign w:val="baseline"/>
          <w:lang w:val="en-US" w:eastAsia="zh-CN" w:bidi="ar-SA"/>
          <w14:textFill>
            <w14:solidFill>
              <w14:schemeClr w14:val="accent1"/>
            </w14:solidFill>
          </w14:textFill>
        </w:rPr>
      </w:pPr>
      <w:r>
        <w:rPr>
          <w:rFonts w:hint="eastAsia"/>
          <w:color w:val="262626" w:themeColor="text1" w:themeTint="D9"/>
          <w:kern w:val="2"/>
          <w:sz w:val="21"/>
          <w:vertAlign w:val="baseline"/>
          <w:lang w:val="en-US" w:eastAsia="zh-CN" w:bidi="ar-SA"/>
          <w14:textFill>
            <w14:solidFill>
              <w14:schemeClr w14:val="tx1">
                <w14:lumMod w14:val="85000"/>
                <w14:lumOff w14:val="15000"/>
              </w14:schemeClr>
            </w14:solidFill>
          </w14:textFill>
        </w:rPr>
        <w:t>发行结果：</w:t>
      </w:r>
      <w:r>
        <w:rPr>
          <w:rFonts w:hint="eastAsia"/>
          <w:color w:val="5B9BD5" w:themeColor="accent1"/>
          <w:kern w:val="2"/>
          <w:sz w:val="21"/>
          <w:vertAlign w:val="baseline"/>
          <w:lang w:val="en-US" w:eastAsia="zh-CN" w:bidi="ar-SA"/>
          <w14:textFill>
            <w14:solidFill>
              <w14:schemeClr w14:val="accent1"/>
            </w14:solidFill>
          </w14:textFill>
        </w:rPr>
        <w:fldChar w:fldCharType="begin"/>
      </w:r>
      <w:r>
        <w:rPr>
          <w:rFonts w:hint="eastAsia"/>
          <w:color w:val="5B9BD5" w:themeColor="accent1"/>
          <w:kern w:val="2"/>
          <w:sz w:val="21"/>
          <w:vertAlign w:val="baseline"/>
          <w:lang w:val="en-US" w:eastAsia="zh-CN" w:bidi="ar-SA"/>
          <w14:textFill>
            <w14:solidFill>
              <w14:schemeClr w14:val="accent1"/>
            </w14:solidFill>
          </w14:textFill>
        </w:rPr>
        <w:instrText xml:space="preserve"> HYPERLINK "http://disclosure.szse.cn/finalpage/2016-08-24/1202607058.PDF" </w:instrText>
      </w:r>
      <w:r>
        <w:rPr>
          <w:rFonts w:hint="eastAsia"/>
          <w:color w:val="5B9BD5" w:themeColor="accent1"/>
          <w:kern w:val="2"/>
          <w:sz w:val="21"/>
          <w:vertAlign w:val="baseline"/>
          <w:lang w:val="en-US" w:eastAsia="zh-CN" w:bidi="ar-SA"/>
          <w14:textFill>
            <w14:solidFill>
              <w14:schemeClr w14:val="accent1"/>
            </w14:solidFill>
          </w14:textFill>
        </w:rPr>
        <w:fldChar w:fldCharType="separate"/>
      </w:r>
      <w:r>
        <w:rPr>
          <w:rStyle w:val="30"/>
          <w:rFonts w:hint="eastAsia"/>
          <w:color w:val="5B9BD5" w:themeColor="accent1"/>
          <w:kern w:val="2"/>
          <w:sz w:val="21"/>
          <w:vertAlign w:val="baseline"/>
          <w:lang w:val="en-US" w:eastAsia="zh-CN" w:bidi="ar-SA"/>
          <w14:textFill>
            <w14:solidFill>
              <w14:schemeClr w14:val="accent1"/>
            </w14:solidFill>
          </w14:textFill>
        </w:rPr>
        <w:t>http://disclosure.szse.cn/finalpage/2016-08-24/1202607058.PDF</w:t>
      </w:r>
      <w:r>
        <w:rPr>
          <w:rFonts w:hint="eastAsia"/>
          <w:color w:val="5B9BD5" w:themeColor="accent1"/>
          <w:kern w:val="2"/>
          <w:sz w:val="21"/>
          <w:vertAlign w:val="baseline"/>
          <w:lang w:val="en-US" w:eastAsia="zh-CN" w:bidi="ar-SA"/>
          <w14:textFill>
            <w14:solidFill>
              <w14:schemeClr w14:val="accent1"/>
            </w14:solidFill>
          </w14:textFill>
        </w:rPr>
        <w:fldChar w:fldCharType="end"/>
      </w:r>
    </w:p>
    <w:p>
      <w:pPr>
        <w:pStyle w:val="4"/>
        <w:ind w:left="0" w:leftChars="0" w:firstLine="0" w:firstLineChars="0"/>
        <w:rPr>
          <w:rFonts w:hint="eastAsia"/>
          <w:color w:val="5B9BD5" w:themeColor="accent1"/>
          <w:kern w:val="2"/>
          <w:sz w:val="21"/>
          <w:vertAlign w:val="baseline"/>
          <w:lang w:val="en-US" w:eastAsia="zh-CN" w:bidi="ar-SA"/>
          <w14:textFill>
            <w14:solidFill>
              <w14:schemeClr w14:val="accent1"/>
            </w14:solidFill>
          </w14:textFill>
        </w:rPr>
      </w:pPr>
      <w:r>
        <w:rPr>
          <w:rFonts w:hint="eastAsia"/>
          <w:color w:val="5B9BD5" w:themeColor="accent1"/>
          <w:kern w:val="2"/>
          <w:sz w:val="21"/>
          <w:vertAlign w:val="baseline"/>
          <w:lang w:val="en-US" w:eastAsia="zh-CN" w:bidi="ar-SA"/>
          <w14:textFill>
            <w14:solidFill>
              <w14:schemeClr w14:val="accent1"/>
            </w14:solidFill>
          </w14:textFill>
        </w:rPr>
        <w:t>债券募集说明书情况如下：</w:t>
      </w:r>
    </w:p>
    <w:p>
      <w:pPr>
        <w:pStyle w:val="4"/>
        <w:ind w:left="0" w:leftChars="0" w:firstLine="0" w:firstLineChars="0"/>
        <w:rPr>
          <w:bdr w:val="single" w:sz="4" w:space="0"/>
        </w:rPr>
      </w:pPr>
      <w:r>
        <w:rPr>
          <w:bdr w:val="single" w:sz="4" w:space="0"/>
        </w:rPr>
        <w:drawing>
          <wp:inline distT="0" distB="0" distL="114300" distR="114300">
            <wp:extent cx="5270500" cy="1825625"/>
            <wp:effectExtent l="0" t="0" r="6350" b="3175"/>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19"/>
                    <a:stretch>
                      <a:fillRect/>
                    </a:stretch>
                  </pic:blipFill>
                  <pic:spPr>
                    <a:xfrm>
                      <a:off x="0" y="0"/>
                      <a:ext cx="5270500" cy="1825625"/>
                    </a:xfrm>
                    <a:prstGeom prst="rect">
                      <a:avLst/>
                    </a:prstGeom>
                    <a:noFill/>
                    <a:ln w="9525">
                      <a:noFill/>
                    </a:ln>
                  </pic:spPr>
                </pic:pic>
              </a:graphicData>
            </a:graphic>
          </wp:inline>
        </w:drawing>
      </w:r>
    </w:p>
    <w:p>
      <w:pPr>
        <w:pStyle w:val="4"/>
        <w:ind w:left="0" w:leftChars="0" w:firstLine="0" w:firstLineChars="0"/>
        <w:rPr>
          <w:bdr w:val="single" w:sz="4" w:space="0"/>
        </w:rPr>
      </w:pPr>
      <w:r>
        <w:rPr>
          <w:bdr w:val="single" w:sz="4" w:space="0"/>
        </w:rPr>
        <w:drawing>
          <wp:inline distT="0" distB="0" distL="114300" distR="114300">
            <wp:extent cx="5266690" cy="454660"/>
            <wp:effectExtent l="0" t="0" r="10160" b="254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20"/>
                    <a:stretch>
                      <a:fillRect/>
                    </a:stretch>
                  </pic:blipFill>
                  <pic:spPr>
                    <a:xfrm>
                      <a:off x="0" y="0"/>
                      <a:ext cx="5266690" cy="454660"/>
                    </a:xfrm>
                    <a:prstGeom prst="rect">
                      <a:avLst/>
                    </a:prstGeom>
                    <a:noFill/>
                    <a:ln w="9525">
                      <a:noFill/>
                    </a:ln>
                  </pic:spPr>
                </pic:pic>
              </a:graphicData>
            </a:graphic>
          </wp:inline>
        </w:drawing>
      </w:r>
    </w:p>
    <w:p>
      <w:pPr>
        <w:pStyle w:val="4"/>
        <w:ind w:left="0" w:leftChars="0" w:firstLine="0" w:firstLineChars="0"/>
      </w:pPr>
      <w:r>
        <w:rPr>
          <w:rFonts w:hint="eastAsia" w:ascii="Times New Roman" w:hAnsi="Times New Roman" w:eastAsia="宋体" w:cs="Times New Roman"/>
          <w:color w:val="auto"/>
          <w:kern w:val="2"/>
          <w:sz w:val="21"/>
          <w:vertAlign w:val="baseline"/>
          <w:lang w:val="en-US" w:eastAsia="zh-CN" w:bidi="ar-SA"/>
        </w:rPr>
        <w:t>发行结果公告情况如下：</w:t>
      </w:r>
    </w:p>
    <w:p>
      <w:pPr>
        <w:pStyle w:val="4"/>
        <w:ind w:left="0" w:leftChars="0" w:firstLine="0" w:firstLineChars="0"/>
        <w:rPr>
          <w:bdr w:val="single" w:sz="4" w:space="0"/>
        </w:rPr>
      </w:pPr>
      <w:r>
        <w:drawing>
          <wp:inline distT="0" distB="0" distL="114300" distR="114300">
            <wp:extent cx="5271135" cy="325755"/>
            <wp:effectExtent l="0" t="0" r="5715" b="1714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21"/>
                    <a:stretch>
                      <a:fillRect/>
                    </a:stretch>
                  </pic:blipFill>
                  <pic:spPr>
                    <a:xfrm>
                      <a:off x="0" y="0"/>
                      <a:ext cx="5271135" cy="325755"/>
                    </a:xfrm>
                    <a:prstGeom prst="rect">
                      <a:avLst/>
                    </a:prstGeom>
                    <a:noFill/>
                    <a:ln w="9525">
                      <a:noFill/>
                    </a:ln>
                  </pic:spPr>
                </pic:pic>
              </a:graphicData>
            </a:graphic>
          </wp:inline>
        </w:drawing>
      </w:r>
      <w:r>
        <w:rPr>
          <w:bdr w:val="single" w:sz="4" w:space="0"/>
        </w:rPr>
        <w:drawing>
          <wp:inline distT="0" distB="0" distL="114300" distR="114300">
            <wp:extent cx="5273675" cy="2776855"/>
            <wp:effectExtent l="0" t="0" r="3175" b="4445"/>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22"/>
                    <a:stretch>
                      <a:fillRect/>
                    </a:stretch>
                  </pic:blipFill>
                  <pic:spPr>
                    <a:xfrm>
                      <a:off x="0" y="0"/>
                      <a:ext cx="5273675" cy="2776855"/>
                    </a:xfrm>
                    <a:prstGeom prst="rect">
                      <a:avLst/>
                    </a:prstGeom>
                    <a:noFill/>
                    <a:ln w="9525">
                      <a:noFill/>
                    </a:ln>
                  </pic:spPr>
                </pic:pic>
              </a:graphicData>
            </a:graphic>
          </wp:inline>
        </w:drawing>
      </w:r>
    </w:p>
    <w:p>
      <w:pPr>
        <w:spacing w:beforeLines="0" w:afterLines="0"/>
        <w:jc w:val="left"/>
        <w:rPr>
          <w:rFonts w:hint="eastAsia"/>
          <w:color w:val="FF0000"/>
          <w:lang w:val="en-US" w:eastAsia="zh-CN"/>
        </w:rPr>
      </w:pPr>
      <w:r>
        <w:rPr>
          <w:rFonts w:hint="eastAsia"/>
          <w:color w:val="auto"/>
          <w:kern w:val="2"/>
          <w:sz w:val="21"/>
          <w:vertAlign w:val="baseline"/>
          <w:lang w:val="en-US" w:eastAsia="zh-CN" w:bidi="ar-SA"/>
        </w:rPr>
        <w:t>公告日期2016年8月24日，从</w:t>
      </w:r>
      <w:r>
        <w:rPr>
          <w:rFonts w:hint="eastAsia" w:ascii="Times New Roman" w:hAnsi="Times New Roman" w:eastAsia="宋体" w:cs="Times New Roman"/>
          <w:color w:val="auto"/>
          <w:kern w:val="2"/>
          <w:sz w:val="21"/>
          <w:vertAlign w:val="baseline"/>
          <w:lang w:val="en-US" w:eastAsia="zh-CN" w:bidi="ar-SA"/>
        </w:rPr>
        <w:t>华油惠博普科技股份有限公司 2016年面向合格投资者公开发行公司债券（第一期）发行结果公告</w:t>
      </w:r>
      <w:r>
        <w:rPr>
          <w:rFonts w:hint="eastAsia"/>
          <w:lang w:val="en-US" w:eastAsia="zh-CN"/>
        </w:rPr>
        <w:t>中可以看出，发行总额为5亿元，起息日为2016年8月23日。在债券的发行阶段，债券的规模从0变为5亿元，本例中</w:t>
      </w:r>
      <w:r>
        <w:rPr>
          <w:rFonts w:hint="eastAsia" w:ascii="Times New Roman" w:hAnsi="Times New Roman" w:eastAsia="宋体" w:cs="Times New Roman"/>
          <w:color w:val="auto"/>
          <w:kern w:val="2"/>
          <w:sz w:val="21"/>
          <w:vertAlign w:val="baseline"/>
          <w:lang w:val="en-US" w:eastAsia="zh-CN" w:bidi="ar-SA"/>
        </w:rPr>
        <w:t>华油惠博普科技股份有限公司 2016年面向合格投资者公开发行公司债券（第一期）</w:t>
      </w:r>
      <w:r>
        <w:rPr>
          <w:rFonts w:hint="eastAsia"/>
          <w:color w:val="FF0000"/>
          <w:lang w:val="en-US" w:eastAsia="zh-CN"/>
        </w:rPr>
        <w:t>债券规模的变动日期取债券的起息日，主要是从募集说明书中进行维护，即为2016年8月23日。债券变动类型为债券发行。</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sz w:val="21"/>
          <w:szCs w:val="21"/>
          <w:lang w:val="en-US" w:eastAsia="zh-CN"/>
        </w:rPr>
      </w:pPr>
      <w:r>
        <w:rPr>
          <w:rFonts w:hint="eastAsia" w:ascii="宋体" w:hAnsi="宋体" w:cs="宋体"/>
          <w:b w:val="0"/>
          <w:bCs w:val="0"/>
          <w:color w:val="00B0F0"/>
          <w:sz w:val="21"/>
          <w:szCs w:val="21"/>
          <w:lang w:val="en-US" w:eastAsia="zh-CN"/>
        </w:rPr>
        <w:t>主内部编码：</w:t>
      </w:r>
      <w:r>
        <w:rPr>
          <w:rFonts w:hint="eastAsia" w:ascii="宋体" w:hAnsi="宋体" w:cs="宋体"/>
          <w:b w:val="0"/>
          <w:bCs w:val="0"/>
          <w:sz w:val="21"/>
          <w:szCs w:val="21"/>
          <w:lang w:val="en-US" w:eastAsia="zh-CN"/>
        </w:rPr>
        <w:t>自动筛选</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Times New Roman" w:hAnsi="Times New Roman" w:eastAsia="宋体" w:cs="Times New Roman"/>
          <w:color w:val="auto"/>
          <w:kern w:val="2"/>
          <w:sz w:val="21"/>
          <w:vertAlign w:val="baseline"/>
          <w:lang w:val="en-US" w:eastAsia="zh-CN" w:bidi="ar-SA"/>
        </w:rPr>
      </w:pPr>
      <w:r>
        <w:rPr>
          <w:rFonts w:hint="eastAsia" w:ascii="宋体" w:hAnsi="宋体" w:cs="宋体"/>
          <w:b w:val="0"/>
          <w:bCs w:val="0"/>
          <w:color w:val="00B0F0"/>
          <w:sz w:val="21"/>
          <w:szCs w:val="21"/>
          <w:lang w:val="en-US" w:eastAsia="zh-CN"/>
        </w:rPr>
        <w:t>债券名称：</w:t>
      </w:r>
      <w:r>
        <w:rPr>
          <w:rFonts w:hint="eastAsia" w:ascii="Times New Roman" w:hAnsi="Times New Roman" w:eastAsia="宋体" w:cs="Times New Roman"/>
          <w:color w:val="auto"/>
          <w:kern w:val="2"/>
          <w:sz w:val="21"/>
          <w:vertAlign w:val="baseline"/>
          <w:lang w:val="en-US" w:eastAsia="zh-CN" w:bidi="ar-SA"/>
        </w:rPr>
        <w:t>华油惠博普科技股份有限公司 2016年面向合格投资者公开发行公司债券（第一期）</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公告日期</w:t>
      </w:r>
      <w:r>
        <w:rPr>
          <w:rFonts w:hint="eastAsia" w:ascii="宋体" w:hAnsi="宋体" w:cs="宋体"/>
          <w:b w:val="0"/>
          <w:bCs w:val="0"/>
          <w:color w:val="00B0F0"/>
          <w:sz w:val="21"/>
          <w:szCs w:val="21"/>
          <w:lang w:val="en-US" w:eastAsia="zh-CN"/>
        </w:rPr>
        <w:t xml:space="preserve">：       20160824                                </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变动日期</w:t>
      </w:r>
      <w:r>
        <w:rPr>
          <w:rFonts w:hint="eastAsia" w:ascii="宋体" w:hAnsi="宋体" w:cs="宋体"/>
          <w:b w:val="0"/>
          <w:bCs w:val="0"/>
          <w:color w:val="00B0F0"/>
          <w:sz w:val="21"/>
          <w:szCs w:val="21"/>
          <w:lang w:val="en-US" w:eastAsia="zh-CN"/>
        </w:rPr>
        <w:t xml:space="preserve">：       20160823                                </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变动原因说明</w:t>
      </w:r>
      <w:r>
        <w:rPr>
          <w:rFonts w:hint="eastAsia" w:ascii="宋体" w:hAnsi="宋体" w:cs="宋体"/>
          <w:b w:val="0"/>
          <w:bCs w:val="0"/>
          <w:color w:val="00B0F0"/>
          <w:sz w:val="21"/>
          <w:szCs w:val="21"/>
          <w:lang w:val="en-US" w:eastAsia="zh-CN"/>
        </w:rPr>
        <w:t xml:space="preserve">：   债券发行                               </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变动类型</w:t>
      </w:r>
      <w:r>
        <w:rPr>
          <w:rFonts w:hint="eastAsia" w:ascii="宋体" w:hAnsi="宋体" w:cs="宋体"/>
          <w:b w:val="0"/>
          <w:bCs w:val="0"/>
          <w:color w:val="00B0F0"/>
          <w:sz w:val="21"/>
          <w:szCs w:val="21"/>
          <w:lang w:val="en-US" w:eastAsia="zh-CN"/>
        </w:rPr>
        <w:t xml:space="preserve">：       债券发行                            </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变动规模(元)</w:t>
      </w:r>
      <w:r>
        <w:rPr>
          <w:rFonts w:hint="eastAsia" w:ascii="宋体" w:hAnsi="宋体" w:cs="宋体"/>
          <w:b w:val="0"/>
          <w:bCs w:val="0"/>
          <w:color w:val="00B0F0"/>
          <w:sz w:val="21"/>
          <w:szCs w:val="21"/>
          <w:lang w:val="en-US" w:eastAsia="zh-CN"/>
        </w:rPr>
        <w:t xml:space="preserve">：   500000000                            </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变动后规模(元)</w:t>
      </w:r>
      <w:r>
        <w:rPr>
          <w:rFonts w:hint="eastAsia" w:ascii="宋体" w:hAnsi="宋体" w:cs="宋体"/>
          <w:b w:val="0"/>
          <w:bCs w:val="0"/>
          <w:color w:val="00B0F0"/>
          <w:sz w:val="21"/>
          <w:szCs w:val="21"/>
          <w:lang w:val="en-US" w:eastAsia="zh-CN"/>
        </w:rPr>
        <w:t xml:space="preserve">： 500000000                             </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变动后面值(元)</w:t>
      </w:r>
      <w:r>
        <w:rPr>
          <w:rFonts w:hint="eastAsia" w:ascii="宋体" w:hAnsi="宋体" w:cs="宋体"/>
          <w:b w:val="0"/>
          <w:bCs w:val="0"/>
          <w:color w:val="00B0F0"/>
          <w:sz w:val="21"/>
          <w:szCs w:val="21"/>
          <w:lang w:val="en-US" w:eastAsia="zh-CN"/>
        </w:rPr>
        <w:t xml:space="preserve">： 100                                     </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备注</w:t>
      </w:r>
      <w:r>
        <w:rPr>
          <w:rFonts w:hint="eastAsia" w:ascii="宋体" w:hAnsi="宋体" w:cs="宋体"/>
          <w:b w:val="0"/>
          <w:bCs w:val="0"/>
          <w:color w:val="00B0F0"/>
          <w:sz w:val="21"/>
          <w:szCs w:val="21"/>
          <w:lang w:val="en-US" w:eastAsia="zh-CN"/>
        </w:rPr>
        <w:t>：</w:t>
      </w:r>
    </w:p>
    <w:p>
      <w:pPr>
        <w:pStyle w:val="4"/>
        <w:ind w:left="0" w:leftChars="0" w:firstLine="0" w:firstLineChars="0"/>
        <w:rPr>
          <w:rFonts w:hint="eastAsia" w:ascii="宋体" w:hAnsi="宋体" w:cs="宋体"/>
          <w:b w:val="0"/>
          <w:bCs w:val="0"/>
          <w:color w:val="00B0F0"/>
          <w:sz w:val="21"/>
          <w:szCs w:val="21"/>
          <w:lang w:val="en-US" w:eastAsia="zh-CN"/>
        </w:rPr>
      </w:pPr>
      <w:r>
        <w:rPr>
          <w:rFonts w:hint="eastAsia" w:ascii="宋体" w:hAnsi="宋体" w:eastAsia="宋体" w:cs="宋体"/>
          <w:b w:val="0"/>
          <w:bCs w:val="0"/>
          <w:color w:val="00B0F0"/>
          <w:sz w:val="21"/>
          <w:szCs w:val="21"/>
          <w:lang w:val="en-US" w:eastAsia="zh-CN"/>
        </w:rPr>
        <w:t>是否有效</w:t>
      </w:r>
      <w:r>
        <w:rPr>
          <w:rFonts w:hint="eastAsia" w:ascii="宋体" w:hAnsi="宋体" w:cs="宋体"/>
          <w:b w:val="0"/>
          <w:bCs w:val="0"/>
          <w:color w:val="00B0F0"/>
          <w:sz w:val="21"/>
          <w:szCs w:val="21"/>
          <w:lang w:val="en-US" w:eastAsia="zh-CN"/>
        </w:rPr>
        <w:t xml:space="preserve">：       是        </w:t>
      </w:r>
    </w:p>
    <w:p>
      <w:pPr>
        <w:pStyle w:val="4"/>
        <w:ind w:left="0" w:leftChars="0" w:firstLine="0" w:firstLineChars="0"/>
        <w:rPr>
          <w:rFonts w:hint="eastAsia" w:ascii="宋体" w:hAnsi="宋体" w:cs="宋体"/>
          <w:b w:val="0"/>
          <w:bCs w:val="0"/>
          <w:color w:val="00B0F0"/>
          <w:sz w:val="21"/>
          <w:szCs w:val="21"/>
          <w:lang w:val="en-US" w:eastAsia="zh-CN"/>
        </w:rPr>
      </w:pPr>
      <w:r>
        <w:rPr>
          <w:rFonts w:hint="eastAsia" w:ascii="宋体" w:hAnsi="宋体" w:cs="宋体"/>
          <w:b/>
          <w:bCs/>
          <w:color w:val="auto"/>
          <w:sz w:val="21"/>
          <w:szCs w:val="21"/>
          <w:lang w:val="en-US" w:eastAsia="zh-CN"/>
        </w:rPr>
        <w:t>备注</w:t>
      </w:r>
      <w:r>
        <w:rPr>
          <w:rFonts w:hint="eastAsia" w:ascii="宋体" w:hAnsi="宋体" w:cs="宋体"/>
          <w:b w:val="0"/>
          <w:bCs w:val="0"/>
          <w:color w:val="00B0F0"/>
          <w:sz w:val="21"/>
          <w:szCs w:val="21"/>
          <w:lang w:val="en-US" w:eastAsia="zh-CN"/>
        </w:rPr>
        <w:t>：本例中债券规模的变动日期取债券的起息日。债券的起息日主要从债券募集说明书中获得，债券面值也是从募集说明书中获得。债券规模的公告日期为债券发行结果的公告日期。对于没有发行结果公告，债券规模表中数据从上市公告中进行维护，公告日期取上市公告书的公告日期。</w:t>
      </w:r>
    </w:p>
    <w:p>
      <w:pPr>
        <w:pStyle w:val="4"/>
        <w:numPr>
          <w:ilvl w:val="0"/>
          <w:numId w:val="0"/>
        </w:numPr>
        <w:rPr>
          <w:rFonts w:hint="eastAsia"/>
          <w:color w:val="auto"/>
          <w:kern w:val="2"/>
          <w:sz w:val="21"/>
          <w:vertAlign w:val="baseline"/>
          <w:lang w:val="en-US" w:eastAsia="zh-CN" w:bidi="ar-SA"/>
        </w:rPr>
      </w:pPr>
      <w:r>
        <w:rPr>
          <w:rFonts w:hint="eastAsia"/>
          <w:color w:val="FF0000"/>
          <w:kern w:val="2"/>
          <w:sz w:val="21"/>
          <w:vertAlign w:val="baseline"/>
          <w:lang w:val="en-US" w:eastAsia="zh-CN" w:bidi="ar-SA"/>
        </w:rPr>
        <w:t>（2）在兑付阶段，债券规模表的变动日期处理规则</w:t>
      </w:r>
      <w:r>
        <w:rPr>
          <w:rFonts w:hint="eastAsia"/>
          <w:color w:val="5B9BD5" w:themeColor="accent1"/>
          <w:kern w:val="2"/>
          <w:sz w:val="21"/>
          <w:vertAlign w:val="baseline"/>
          <w:lang w:val="en-US" w:eastAsia="zh-CN" w:bidi="ar-SA"/>
          <w14:textFill>
            <w14:solidFill>
              <w14:schemeClr w14:val="accent1"/>
            </w14:solidFill>
          </w14:textFill>
        </w:rPr>
        <w:t>：规模表的变动日期取兑付终止日。</w:t>
      </w:r>
      <w:r>
        <w:rPr>
          <w:rFonts w:hint="eastAsia"/>
          <w:lang w:val="en-US" w:eastAsia="zh-CN"/>
        </w:rPr>
        <w:t>债券兑付阶段，债券规模会逐渐减少，</w:t>
      </w:r>
      <w:r>
        <w:rPr>
          <w:rFonts w:hint="eastAsia"/>
          <w:color w:val="auto"/>
          <w:kern w:val="2"/>
          <w:sz w:val="21"/>
          <w:vertAlign w:val="baseline"/>
          <w:lang w:val="en-US" w:eastAsia="zh-CN" w:bidi="ar-SA"/>
        </w:rPr>
        <w:t>变动规模为非正值。债券兑付分为分期兑付、债券兑付、债券延期兑付、债券延期分期兑付。要注意他们之间的区别，债券兑付主要包括</w:t>
      </w:r>
      <w:r>
        <w:rPr>
          <w:rFonts w:hint="eastAsia"/>
          <w:color w:val="FF0000"/>
          <w:kern w:val="2"/>
          <w:sz w:val="21"/>
          <w:vertAlign w:val="baseline"/>
          <w:lang w:val="en-US" w:eastAsia="zh-CN" w:bidi="ar-SA"/>
        </w:rPr>
        <w:t>提前兑付和到期一次性兑付；</w:t>
      </w:r>
      <w:r>
        <w:rPr>
          <w:rFonts w:hint="eastAsia"/>
          <w:color w:val="auto"/>
          <w:kern w:val="2"/>
          <w:sz w:val="21"/>
          <w:vertAlign w:val="baseline"/>
          <w:lang w:val="en-US" w:eastAsia="zh-CN" w:bidi="ar-SA"/>
        </w:rPr>
        <w:t>债券分期兑付主要是指债券的</w:t>
      </w:r>
      <w:r>
        <w:rPr>
          <w:rFonts w:hint="eastAsia"/>
          <w:color w:val="FF0000"/>
          <w:kern w:val="2"/>
          <w:sz w:val="21"/>
          <w:vertAlign w:val="baseline"/>
          <w:lang w:val="en-US" w:eastAsia="zh-CN" w:bidi="ar-SA"/>
        </w:rPr>
        <w:t>分期还本</w:t>
      </w:r>
      <w:r>
        <w:rPr>
          <w:rFonts w:hint="eastAsia"/>
          <w:color w:val="auto"/>
          <w:kern w:val="2"/>
          <w:sz w:val="21"/>
          <w:vertAlign w:val="baseline"/>
          <w:lang w:val="en-US" w:eastAsia="zh-CN" w:bidi="ar-SA"/>
        </w:rPr>
        <w:t>；债券延期兑付、债券延期分期兑付都属于债券发生实质性违约的情况。债券规模变动的具体数值可根据预先披露债券发行文件（募集说明书、发行公告等）中去维护，债券规模具体变动的日期根据债券的兑付公告进行维护。</w:t>
      </w:r>
      <w:r>
        <w:rPr>
          <w:rFonts w:hint="eastAsia"/>
          <w:lang w:val="en-US" w:eastAsia="zh-CN"/>
        </w:rPr>
        <w:t>债券规模每变动一次，债券规模表中记录就增加一次。</w:t>
      </w:r>
    </w:p>
    <w:p>
      <w:pPr>
        <w:pStyle w:val="4"/>
        <w:numPr>
          <w:ilvl w:val="0"/>
          <w:numId w:val="0"/>
        </w:numPr>
        <w:rPr>
          <w:rFonts w:hint="eastAsia"/>
          <w:color w:val="5B9BD5" w:themeColor="accent1"/>
          <w:kern w:val="2"/>
          <w:sz w:val="21"/>
          <w:vertAlign w:val="baseline"/>
          <w:lang w:val="en-US" w:eastAsia="zh-CN" w:bidi="ar-SA"/>
          <w14:textFill>
            <w14:solidFill>
              <w14:schemeClr w14:val="accent1"/>
            </w14:solidFill>
          </w14:textFill>
        </w:rPr>
      </w:pPr>
      <w:r>
        <w:rPr>
          <w:rFonts w:hint="eastAsia"/>
          <w:color w:val="5B9BD5" w:themeColor="accent1"/>
          <w:kern w:val="2"/>
          <w:sz w:val="21"/>
          <w:vertAlign w:val="baseline"/>
          <w:lang w:val="en-US" w:eastAsia="zh-CN" w:bidi="ar-SA"/>
          <w14:textFill>
            <w14:solidFill>
              <w14:schemeClr w14:val="accent1"/>
            </w14:solidFill>
          </w14:textFill>
        </w:rPr>
        <w:t>2.1数据源：中国货币网：</w:t>
      </w:r>
      <w:r>
        <w:rPr>
          <w:rFonts w:hint="eastAsia"/>
          <w:color w:val="5B9BD5" w:themeColor="accent1"/>
          <w:kern w:val="2"/>
          <w:sz w:val="21"/>
          <w:vertAlign w:val="baseline"/>
          <w:lang w:val="en-US" w:eastAsia="zh-CN" w:bidi="ar-SA"/>
          <w14:textFill>
            <w14:solidFill>
              <w14:schemeClr w14:val="accent1"/>
            </w14:solidFill>
          </w14:textFill>
        </w:rPr>
        <w:fldChar w:fldCharType="begin"/>
      </w:r>
      <w:r>
        <w:rPr>
          <w:rFonts w:hint="eastAsia"/>
          <w:color w:val="5B9BD5" w:themeColor="accent1"/>
          <w:kern w:val="2"/>
          <w:sz w:val="21"/>
          <w:vertAlign w:val="baseline"/>
          <w:lang w:val="en-US" w:eastAsia="zh-CN" w:bidi="ar-SA"/>
          <w14:textFill>
            <w14:solidFill>
              <w14:schemeClr w14:val="accent1"/>
            </w14:solidFill>
          </w14:textFill>
        </w:rPr>
        <w:instrText xml:space="preserve"> HYPERLINK "http://www.chinamoney.com.cn/fe/Channel/8298" </w:instrText>
      </w:r>
      <w:r>
        <w:rPr>
          <w:rFonts w:hint="eastAsia"/>
          <w:color w:val="5B9BD5" w:themeColor="accent1"/>
          <w:kern w:val="2"/>
          <w:sz w:val="21"/>
          <w:vertAlign w:val="baseline"/>
          <w:lang w:val="en-US" w:eastAsia="zh-CN" w:bidi="ar-SA"/>
          <w14:textFill>
            <w14:solidFill>
              <w14:schemeClr w14:val="accent1"/>
            </w14:solidFill>
          </w14:textFill>
        </w:rPr>
        <w:fldChar w:fldCharType="separate"/>
      </w:r>
      <w:r>
        <w:rPr>
          <w:rStyle w:val="30"/>
          <w:rFonts w:hint="eastAsia"/>
          <w:color w:val="5B9BD5" w:themeColor="accent1"/>
          <w:kern w:val="2"/>
          <w:sz w:val="21"/>
          <w:vertAlign w:val="baseline"/>
          <w:lang w:val="en-US" w:eastAsia="zh-CN" w:bidi="ar-SA"/>
          <w14:textFill>
            <w14:solidFill>
              <w14:schemeClr w14:val="accent1"/>
            </w14:solidFill>
          </w14:textFill>
        </w:rPr>
        <w:t>http://www.chinamoney.com.cn/fe/Channel/8298</w:t>
      </w:r>
      <w:r>
        <w:rPr>
          <w:rFonts w:hint="eastAsia"/>
          <w:color w:val="5B9BD5" w:themeColor="accent1"/>
          <w:kern w:val="2"/>
          <w:sz w:val="21"/>
          <w:vertAlign w:val="baseline"/>
          <w:lang w:val="en-US" w:eastAsia="zh-CN" w:bidi="ar-SA"/>
          <w14:textFill>
            <w14:solidFill>
              <w14:schemeClr w14:val="accent1"/>
            </w14:solidFill>
          </w14:textFill>
        </w:rPr>
        <w:fldChar w:fldCharType="end"/>
      </w:r>
    </w:p>
    <w:p>
      <w:pPr>
        <w:pStyle w:val="4"/>
        <w:numPr>
          <w:ilvl w:val="0"/>
          <w:numId w:val="0"/>
        </w:numPr>
        <w:rPr>
          <w:rFonts w:hint="eastAsia"/>
          <w:color w:val="auto"/>
          <w:kern w:val="2"/>
          <w:sz w:val="21"/>
          <w:vertAlign w:val="baseline"/>
          <w:lang w:val="en-US" w:eastAsia="zh-CN" w:bidi="ar-SA"/>
        </w:rPr>
      </w:pPr>
      <w:r>
        <w:rPr>
          <w:rFonts w:hint="eastAsia"/>
          <w:color w:val="auto"/>
          <w:kern w:val="2"/>
          <w:sz w:val="21"/>
          <w:vertAlign w:val="baseline"/>
          <w:lang w:val="en-US" w:eastAsia="zh-CN" w:bidi="ar-SA"/>
        </w:rPr>
        <w:t>中国货币网上的债券兑付情况在付息兑付公告中，具体位置如下：</w:t>
      </w:r>
    </w:p>
    <w:p>
      <w:pPr>
        <w:pStyle w:val="4"/>
        <w:numPr>
          <w:ilvl w:val="0"/>
          <w:numId w:val="0"/>
        </w:numPr>
        <w:rPr>
          <w:bdr w:val="single" w:sz="4" w:space="0"/>
        </w:rPr>
      </w:pPr>
      <w:r>
        <w:rPr>
          <w:bdr w:val="single" w:sz="4" w:space="0"/>
        </w:rPr>
        <w:drawing>
          <wp:inline distT="0" distB="0" distL="114300" distR="114300">
            <wp:extent cx="5265420" cy="2503805"/>
            <wp:effectExtent l="0" t="0" r="11430" b="1079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3"/>
                    <a:stretch>
                      <a:fillRect/>
                    </a:stretch>
                  </pic:blipFill>
                  <pic:spPr>
                    <a:xfrm>
                      <a:off x="0" y="0"/>
                      <a:ext cx="5265420" cy="2503805"/>
                    </a:xfrm>
                    <a:prstGeom prst="rect">
                      <a:avLst/>
                    </a:prstGeom>
                    <a:noFill/>
                    <a:ln w="9525">
                      <a:noFill/>
                    </a:ln>
                  </pic:spPr>
                </pic:pic>
              </a:graphicData>
            </a:graphic>
          </wp:inline>
        </w:drawing>
      </w:r>
    </w:p>
    <w:p>
      <w:pPr>
        <w:pStyle w:val="4"/>
        <w:numPr>
          <w:ilvl w:val="0"/>
          <w:numId w:val="0"/>
        </w:numPr>
        <w:rPr>
          <w:rFonts w:hint="eastAsia"/>
          <w:color w:val="5B9BD5" w:themeColor="accent1"/>
          <w:kern w:val="2"/>
          <w:sz w:val="21"/>
          <w:vertAlign w:val="baseline"/>
          <w:lang w:val="en-US" w:eastAsia="zh-CN" w:bidi="ar-SA"/>
          <w14:textFill>
            <w14:solidFill>
              <w14:schemeClr w14:val="accent1"/>
            </w14:solidFill>
          </w14:textFill>
        </w:rPr>
      </w:pPr>
      <w:r>
        <w:rPr>
          <w:rFonts w:hint="eastAsia"/>
          <w:color w:val="5B9BD5" w:themeColor="accent1"/>
          <w:kern w:val="2"/>
          <w:sz w:val="21"/>
          <w:vertAlign w:val="baseline"/>
          <w:lang w:val="en-US" w:eastAsia="zh-CN" w:bidi="ar-SA"/>
          <w14:textFill>
            <w14:solidFill>
              <w14:schemeClr w14:val="accent1"/>
            </w14:solidFill>
          </w14:textFill>
        </w:rPr>
        <w:t>2.2数据源：上海清算所：</w:t>
      </w:r>
      <w:r>
        <w:rPr>
          <w:rFonts w:hint="eastAsia"/>
          <w:color w:val="5B9BD5" w:themeColor="accent1"/>
          <w:kern w:val="2"/>
          <w:sz w:val="21"/>
          <w:vertAlign w:val="baseline"/>
          <w:lang w:val="en-US" w:eastAsia="zh-CN" w:bidi="ar-SA"/>
          <w14:textFill>
            <w14:solidFill>
              <w14:schemeClr w14:val="accent1"/>
            </w14:solidFill>
          </w14:textFill>
        </w:rPr>
        <w:fldChar w:fldCharType="begin"/>
      </w:r>
      <w:r>
        <w:rPr>
          <w:rFonts w:hint="eastAsia"/>
          <w:color w:val="5B9BD5" w:themeColor="accent1"/>
          <w:kern w:val="2"/>
          <w:sz w:val="21"/>
          <w:vertAlign w:val="baseline"/>
          <w:lang w:val="en-US" w:eastAsia="zh-CN" w:bidi="ar-SA"/>
          <w14:textFill>
            <w14:solidFill>
              <w14:schemeClr w14:val="accent1"/>
            </w14:solidFill>
          </w14:textFill>
        </w:rPr>
        <w:instrText xml:space="preserve"> HYPERLINK "http://www.shclearing.com/xxpl/dfzx/mtn_571/index_5.html" </w:instrText>
      </w:r>
      <w:r>
        <w:rPr>
          <w:rFonts w:hint="eastAsia"/>
          <w:color w:val="5B9BD5" w:themeColor="accent1"/>
          <w:kern w:val="2"/>
          <w:sz w:val="21"/>
          <w:vertAlign w:val="baseline"/>
          <w:lang w:val="en-US" w:eastAsia="zh-CN" w:bidi="ar-SA"/>
          <w14:textFill>
            <w14:solidFill>
              <w14:schemeClr w14:val="accent1"/>
            </w14:solidFill>
          </w14:textFill>
        </w:rPr>
        <w:fldChar w:fldCharType="separate"/>
      </w:r>
      <w:r>
        <w:rPr>
          <w:rStyle w:val="30"/>
          <w:rFonts w:hint="eastAsia"/>
          <w:color w:val="5B9BD5" w:themeColor="accent1"/>
          <w:kern w:val="2"/>
          <w:sz w:val="21"/>
          <w:vertAlign w:val="baseline"/>
          <w:lang w:val="en-US" w:eastAsia="zh-CN" w:bidi="ar-SA"/>
          <w14:textFill>
            <w14:solidFill>
              <w14:schemeClr w14:val="accent1"/>
            </w14:solidFill>
          </w14:textFill>
        </w:rPr>
        <w:t>http://www.shclearing.com/xxpl/dfzx/mtn_571/index_5.html</w:t>
      </w:r>
      <w:r>
        <w:rPr>
          <w:rFonts w:hint="eastAsia"/>
          <w:color w:val="5B9BD5" w:themeColor="accent1"/>
          <w:kern w:val="2"/>
          <w:sz w:val="21"/>
          <w:vertAlign w:val="baseline"/>
          <w:lang w:val="en-US" w:eastAsia="zh-CN" w:bidi="ar-SA"/>
          <w14:textFill>
            <w14:solidFill>
              <w14:schemeClr w14:val="accent1"/>
            </w14:solidFill>
          </w14:textFill>
        </w:rPr>
        <w:fldChar w:fldCharType="end"/>
      </w:r>
    </w:p>
    <w:p>
      <w:pPr>
        <w:pStyle w:val="4"/>
        <w:numPr>
          <w:ilvl w:val="0"/>
          <w:numId w:val="0"/>
        </w:numPr>
        <w:rPr>
          <w:rFonts w:hint="eastAsia"/>
          <w:color w:val="auto"/>
          <w:kern w:val="2"/>
          <w:sz w:val="21"/>
          <w:vertAlign w:val="baseline"/>
          <w:lang w:val="en-US" w:eastAsia="zh-CN" w:bidi="ar-SA"/>
        </w:rPr>
      </w:pPr>
      <w:r>
        <w:rPr>
          <w:rFonts w:hint="eastAsia"/>
          <w:color w:val="auto"/>
          <w:kern w:val="2"/>
          <w:sz w:val="21"/>
          <w:vertAlign w:val="baseline"/>
          <w:lang w:val="en-US" w:eastAsia="zh-CN" w:bidi="ar-SA"/>
        </w:rPr>
        <w:t>上海清算所主要有两个地方有兑付公告，一个是目前债券最新的兑付公告，一个是债券历史数据的兑付公告。具体位置如下：</w:t>
      </w:r>
    </w:p>
    <w:p>
      <w:pPr>
        <w:pStyle w:val="4"/>
        <w:numPr>
          <w:ilvl w:val="0"/>
          <w:numId w:val="0"/>
        </w:numPr>
        <w:rPr>
          <w:bdr w:val="single" w:sz="4" w:space="0"/>
        </w:rPr>
      </w:pPr>
      <w:r>
        <w:rPr>
          <w:bdr w:val="single" w:sz="4" w:space="0"/>
        </w:rPr>
        <w:drawing>
          <wp:inline distT="0" distB="0" distL="114300" distR="114300">
            <wp:extent cx="5269865" cy="2570480"/>
            <wp:effectExtent l="0" t="0" r="6985" b="127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4"/>
                    <a:stretch>
                      <a:fillRect/>
                    </a:stretch>
                  </pic:blipFill>
                  <pic:spPr>
                    <a:xfrm>
                      <a:off x="0" y="0"/>
                      <a:ext cx="5269865" cy="2570480"/>
                    </a:xfrm>
                    <a:prstGeom prst="rect">
                      <a:avLst/>
                    </a:prstGeom>
                    <a:noFill/>
                    <a:ln w="9525">
                      <a:noFill/>
                    </a:ln>
                  </pic:spPr>
                </pic:pic>
              </a:graphicData>
            </a:graphic>
          </wp:inline>
        </w:drawing>
      </w:r>
    </w:p>
    <w:p>
      <w:pPr>
        <w:pStyle w:val="4"/>
        <w:numPr>
          <w:ilvl w:val="0"/>
          <w:numId w:val="0"/>
        </w:numPr>
        <w:rPr>
          <w:rFonts w:hint="eastAsia"/>
          <w:bdr w:val="single" w:sz="4" w:space="0"/>
          <w:lang w:val="en-US" w:eastAsia="zh-CN"/>
        </w:rPr>
      </w:pPr>
      <w:r>
        <w:rPr>
          <w:bdr w:val="single" w:sz="4" w:space="0"/>
        </w:rPr>
        <w:drawing>
          <wp:inline distT="0" distB="0" distL="114300" distR="114300">
            <wp:extent cx="5269230" cy="258445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69230" cy="2584450"/>
                    </a:xfrm>
                    <a:prstGeom prst="rect">
                      <a:avLst/>
                    </a:prstGeom>
                    <a:noFill/>
                    <a:ln w="9525">
                      <a:noFill/>
                    </a:ln>
                  </pic:spPr>
                </pic:pic>
              </a:graphicData>
            </a:graphic>
          </wp:inline>
        </w:drawing>
      </w:r>
    </w:p>
    <w:p>
      <w:pPr>
        <w:pStyle w:val="4"/>
        <w:numPr>
          <w:ilvl w:val="0"/>
          <w:numId w:val="0"/>
        </w:numPr>
        <w:rPr>
          <w:rFonts w:hint="eastAsia"/>
          <w:color w:val="5B9BD5" w:themeColor="accent1"/>
          <w:kern w:val="2"/>
          <w:sz w:val="21"/>
          <w:vertAlign w:val="baseline"/>
          <w:lang w:val="en-US" w:eastAsia="zh-CN" w:bidi="ar-SA"/>
          <w14:textFill>
            <w14:solidFill>
              <w14:schemeClr w14:val="accent1"/>
            </w14:solidFill>
          </w14:textFill>
        </w:rPr>
      </w:pPr>
      <w:r>
        <w:rPr>
          <w:rFonts w:hint="eastAsia"/>
          <w:color w:val="5B9BD5" w:themeColor="accent1"/>
          <w:kern w:val="2"/>
          <w:sz w:val="21"/>
          <w:vertAlign w:val="baseline"/>
          <w:lang w:val="en-US" w:eastAsia="zh-CN" w:bidi="ar-SA"/>
          <w14:textFill>
            <w14:solidFill>
              <w14:schemeClr w14:val="accent1"/>
            </w14:solidFill>
          </w14:textFill>
        </w:rPr>
        <w:t>2.3数据源：中国债券信息网：http://www.sse.com.cn/disclosure/bond/announcement/corporate/</w:t>
      </w:r>
    </w:p>
    <w:p>
      <w:pPr>
        <w:pStyle w:val="4"/>
        <w:numPr>
          <w:ilvl w:val="0"/>
          <w:numId w:val="0"/>
        </w:numPr>
        <w:rPr>
          <w:rFonts w:hint="eastAsia"/>
          <w:color w:val="auto"/>
          <w:kern w:val="2"/>
          <w:sz w:val="21"/>
          <w:vertAlign w:val="baseline"/>
          <w:lang w:val="en-US" w:eastAsia="zh-CN" w:bidi="ar-SA"/>
        </w:rPr>
      </w:pPr>
      <w:r>
        <w:rPr>
          <w:rFonts w:hint="eastAsia"/>
          <w:color w:val="auto"/>
          <w:kern w:val="2"/>
          <w:sz w:val="21"/>
          <w:vertAlign w:val="baseline"/>
          <w:lang w:val="en-US" w:eastAsia="zh-CN" w:bidi="ar-SA"/>
        </w:rPr>
        <w:t>具体位置如下：</w:t>
      </w:r>
    </w:p>
    <w:p>
      <w:pPr>
        <w:pStyle w:val="4"/>
        <w:numPr>
          <w:ilvl w:val="0"/>
          <w:numId w:val="0"/>
        </w:numPr>
        <w:rPr>
          <w:rFonts w:hint="eastAsia"/>
          <w:color w:val="5B9BD5" w:themeColor="accent1"/>
          <w:kern w:val="2"/>
          <w:sz w:val="21"/>
          <w:vertAlign w:val="baseline"/>
          <w:lang w:val="en-US" w:eastAsia="zh-CN" w:bidi="ar-SA"/>
          <w14:textFill>
            <w14:solidFill>
              <w14:schemeClr w14:val="accent1"/>
            </w14:solidFill>
          </w14:textFill>
        </w:rPr>
      </w:pPr>
      <w:r>
        <w:rPr>
          <w:bdr w:val="single" w:sz="4" w:space="0"/>
        </w:rPr>
        <w:drawing>
          <wp:inline distT="0" distB="0" distL="114300" distR="114300">
            <wp:extent cx="5273675" cy="2543175"/>
            <wp:effectExtent l="0" t="0" r="3175" b="952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6"/>
                    <a:stretch>
                      <a:fillRect/>
                    </a:stretch>
                  </pic:blipFill>
                  <pic:spPr>
                    <a:xfrm>
                      <a:off x="0" y="0"/>
                      <a:ext cx="5273675" cy="2543175"/>
                    </a:xfrm>
                    <a:prstGeom prst="rect">
                      <a:avLst/>
                    </a:prstGeom>
                    <a:noFill/>
                    <a:ln w="9525">
                      <a:noFill/>
                    </a:ln>
                  </pic:spPr>
                </pic:pic>
              </a:graphicData>
            </a:graphic>
          </wp:inline>
        </w:drawing>
      </w:r>
    </w:p>
    <w:p>
      <w:pPr>
        <w:pStyle w:val="4"/>
        <w:numPr>
          <w:ilvl w:val="0"/>
          <w:numId w:val="0"/>
        </w:numPr>
        <w:rPr>
          <w:rFonts w:hint="eastAsia"/>
          <w:color w:val="5B9BD5" w:themeColor="accent1"/>
          <w:kern w:val="2"/>
          <w:sz w:val="21"/>
          <w:vertAlign w:val="baseline"/>
          <w:lang w:val="en-US" w:eastAsia="zh-CN" w:bidi="ar-SA"/>
          <w14:textFill>
            <w14:solidFill>
              <w14:schemeClr w14:val="accent1"/>
            </w14:solidFill>
          </w14:textFill>
        </w:rPr>
      </w:pPr>
      <w:r>
        <w:rPr>
          <w:rFonts w:hint="eastAsia"/>
          <w:color w:val="5B9BD5" w:themeColor="accent1"/>
          <w:kern w:val="2"/>
          <w:sz w:val="21"/>
          <w:vertAlign w:val="baseline"/>
          <w:lang w:val="en-US" w:eastAsia="zh-CN" w:bidi="ar-SA"/>
          <w14:textFill>
            <w14:solidFill>
              <w14:schemeClr w14:val="accent1"/>
            </w14:solidFill>
          </w14:textFill>
        </w:rPr>
        <w:t>2.4数据源：上海证券交易所：http://www.sse.com.cn/disclosure/bond/announcement/corporate/</w:t>
      </w:r>
    </w:p>
    <w:p>
      <w:pPr>
        <w:pStyle w:val="4"/>
        <w:numPr>
          <w:ilvl w:val="0"/>
          <w:numId w:val="0"/>
        </w:numPr>
        <w:ind w:leftChars="0"/>
        <w:rPr>
          <w:rFonts w:hint="eastAsia"/>
          <w:color w:val="auto"/>
          <w:kern w:val="2"/>
          <w:sz w:val="21"/>
          <w:vertAlign w:val="baseline"/>
          <w:lang w:val="en-US" w:eastAsia="zh-CN" w:bidi="ar-SA"/>
        </w:rPr>
      </w:pPr>
      <w:r>
        <w:rPr>
          <w:rFonts w:hint="eastAsia"/>
          <w:color w:val="auto"/>
          <w:kern w:val="2"/>
          <w:sz w:val="21"/>
          <w:vertAlign w:val="baseline"/>
          <w:lang w:val="en-US" w:eastAsia="zh-CN" w:bidi="ar-SA"/>
        </w:rPr>
        <w:t>具体位置如下：</w:t>
      </w:r>
    </w:p>
    <w:p>
      <w:pPr>
        <w:pStyle w:val="4"/>
        <w:numPr>
          <w:ilvl w:val="0"/>
          <w:numId w:val="0"/>
        </w:numPr>
        <w:ind w:leftChars="0"/>
        <w:rPr>
          <w:bdr w:val="single" w:sz="4" w:space="0"/>
        </w:rPr>
      </w:pPr>
      <w:r>
        <w:rPr>
          <w:bdr w:val="single" w:sz="4" w:space="0"/>
        </w:rPr>
        <w:drawing>
          <wp:inline distT="0" distB="0" distL="114300" distR="114300">
            <wp:extent cx="5262880" cy="2378710"/>
            <wp:effectExtent l="0" t="0" r="13970" b="254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7"/>
                    <a:stretch>
                      <a:fillRect/>
                    </a:stretch>
                  </pic:blipFill>
                  <pic:spPr>
                    <a:xfrm>
                      <a:off x="0" y="0"/>
                      <a:ext cx="5262880" cy="2378710"/>
                    </a:xfrm>
                    <a:prstGeom prst="rect">
                      <a:avLst/>
                    </a:prstGeom>
                    <a:noFill/>
                    <a:ln w="9525">
                      <a:noFill/>
                    </a:ln>
                  </pic:spPr>
                </pic:pic>
              </a:graphicData>
            </a:graphic>
          </wp:inline>
        </w:drawing>
      </w:r>
    </w:p>
    <w:p>
      <w:pPr>
        <w:pStyle w:val="4"/>
        <w:numPr>
          <w:ilvl w:val="0"/>
          <w:numId w:val="0"/>
        </w:numPr>
        <w:ind w:leftChars="0"/>
        <w:rPr>
          <w:rFonts w:hint="eastAsia"/>
          <w:color w:val="5B9BD5" w:themeColor="accent1"/>
          <w:kern w:val="2"/>
          <w:sz w:val="21"/>
          <w:vertAlign w:val="baseline"/>
          <w:lang w:val="en-US" w:eastAsia="zh-CN" w:bidi="ar-SA"/>
          <w14:textFill>
            <w14:solidFill>
              <w14:schemeClr w14:val="accent1"/>
            </w14:solidFill>
          </w14:textFill>
        </w:rPr>
      </w:pPr>
      <w:r>
        <w:rPr>
          <w:rFonts w:hint="eastAsia"/>
          <w:color w:val="5B9BD5" w:themeColor="accent1"/>
          <w:kern w:val="2"/>
          <w:sz w:val="21"/>
          <w:vertAlign w:val="baseline"/>
          <w:lang w:val="en-US" w:eastAsia="zh-CN" w:bidi="ar-SA"/>
          <w14:textFill>
            <w14:solidFill>
              <w14:schemeClr w14:val="accent1"/>
            </w14:solidFill>
          </w14:textFill>
        </w:rPr>
        <w:t>2.5数据源：深圳证券交易所：</w:t>
      </w:r>
      <w:r>
        <w:rPr>
          <w:rFonts w:hint="eastAsia"/>
          <w:color w:val="5B9BD5" w:themeColor="accent1"/>
          <w:kern w:val="2"/>
          <w:sz w:val="21"/>
          <w:vertAlign w:val="baseline"/>
          <w:lang w:val="en-US" w:eastAsia="zh-CN" w:bidi="ar-SA"/>
          <w14:textFill>
            <w14:solidFill>
              <w14:schemeClr w14:val="accent1"/>
            </w14:solidFill>
          </w14:textFill>
        </w:rPr>
        <w:fldChar w:fldCharType="begin"/>
      </w:r>
      <w:r>
        <w:rPr>
          <w:rFonts w:hint="eastAsia"/>
          <w:color w:val="5B9BD5" w:themeColor="accent1"/>
          <w:kern w:val="2"/>
          <w:sz w:val="21"/>
          <w:vertAlign w:val="baseline"/>
          <w:lang w:val="en-US" w:eastAsia="zh-CN" w:bidi="ar-SA"/>
          <w14:textFill>
            <w14:solidFill>
              <w14:schemeClr w14:val="accent1"/>
            </w14:solidFill>
          </w14:textFill>
        </w:rPr>
        <w:instrText xml:space="preserve"> HYPERLINK "http://disclosure.szse.cn/m/zqgg.htm" </w:instrText>
      </w:r>
      <w:r>
        <w:rPr>
          <w:rFonts w:hint="eastAsia"/>
          <w:color w:val="5B9BD5" w:themeColor="accent1"/>
          <w:kern w:val="2"/>
          <w:sz w:val="21"/>
          <w:vertAlign w:val="baseline"/>
          <w:lang w:val="en-US" w:eastAsia="zh-CN" w:bidi="ar-SA"/>
          <w14:textFill>
            <w14:solidFill>
              <w14:schemeClr w14:val="accent1"/>
            </w14:solidFill>
          </w14:textFill>
        </w:rPr>
        <w:fldChar w:fldCharType="separate"/>
      </w:r>
      <w:r>
        <w:rPr>
          <w:rStyle w:val="30"/>
          <w:rFonts w:hint="eastAsia"/>
          <w:color w:val="5B9BD5" w:themeColor="accent1"/>
          <w:kern w:val="2"/>
          <w:sz w:val="21"/>
          <w:vertAlign w:val="baseline"/>
          <w:lang w:val="en-US" w:eastAsia="zh-CN" w:bidi="ar-SA"/>
          <w14:textFill>
            <w14:solidFill>
              <w14:schemeClr w14:val="accent1"/>
            </w14:solidFill>
          </w14:textFill>
        </w:rPr>
        <w:t>http://disclosure.szse.cn/m/zqgg.htm</w:t>
      </w:r>
      <w:r>
        <w:rPr>
          <w:rFonts w:hint="eastAsia"/>
          <w:color w:val="5B9BD5" w:themeColor="accent1"/>
          <w:kern w:val="2"/>
          <w:sz w:val="21"/>
          <w:vertAlign w:val="baseline"/>
          <w:lang w:val="en-US" w:eastAsia="zh-CN" w:bidi="ar-SA"/>
          <w14:textFill>
            <w14:solidFill>
              <w14:schemeClr w14:val="accent1"/>
            </w14:solidFill>
          </w14:textFill>
        </w:rPr>
        <w:fldChar w:fldCharType="end"/>
      </w:r>
    </w:p>
    <w:p>
      <w:pPr>
        <w:pStyle w:val="4"/>
        <w:numPr>
          <w:ilvl w:val="0"/>
          <w:numId w:val="0"/>
        </w:numPr>
        <w:ind w:leftChars="0"/>
        <w:rPr>
          <w:rFonts w:hint="eastAsia"/>
          <w:color w:val="auto"/>
          <w:kern w:val="2"/>
          <w:sz w:val="21"/>
          <w:vertAlign w:val="baseline"/>
          <w:lang w:val="en-US" w:eastAsia="zh-CN" w:bidi="ar-SA"/>
        </w:rPr>
      </w:pPr>
      <w:r>
        <w:rPr>
          <w:rFonts w:hint="eastAsia"/>
          <w:color w:val="auto"/>
          <w:kern w:val="2"/>
          <w:sz w:val="21"/>
          <w:vertAlign w:val="baseline"/>
          <w:lang w:val="en-US" w:eastAsia="zh-CN" w:bidi="ar-SA"/>
        </w:rPr>
        <w:t>具体位置如下：</w:t>
      </w:r>
    </w:p>
    <w:p>
      <w:pPr>
        <w:pStyle w:val="4"/>
        <w:numPr>
          <w:ilvl w:val="0"/>
          <w:numId w:val="0"/>
        </w:numPr>
        <w:ind w:leftChars="0"/>
        <w:rPr>
          <w:bdr w:val="single" w:sz="4" w:space="0"/>
        </w:rPr>
      </w:pPr>
      <w:r>
        <w:rPr>
          <w:bdr w:val="single" w:sz="4" w:space="0"/>
        </w:rPr>
        <w:drawing>
          <wp:inline distT="0" distB="0" distL="114300" distR="114300">
            <wp:extent cx="5273675" cy="1932305"/>
            <wp:effectExtent l="0" t="0" r="3175" b="1079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8"/>
                    <a:stretch>
                      <a:fillRect/>
                    </a:stretch>
                  </pic:blipFill>
                  <pic:spPr>
                    <a:xfrm>
                      <a:off x="0" y="0"/>
                      <a:ext cx="5273675" cy="1932305"/>
                    </a:xfrm>
                    <a:prstGeom prst="rect">
                      <a:avLst/>
                    </a:prstGeom>
                    <a:noFill/>
                    <a:ln w="9525">
                      <a:noFill/>
                    </a:ln>
                  </pic:spPr>
                </pic:pic>
              </a:graphicData>
            </a:graphic>
          </wp:inline>
        </w:drawing>
      </w:r>
    </w:p>
    <w:p>
      <w:pPr>
        <w:pStyle w:val="4"/>
        <w:numPr>
          <w:ilvl w:val="0"/>
          <w:numId w:val="0"/>
        </w:numPr>
        <w:ind w:leftChars="0"/>
        <w:rPr>
          <w:rFonts w:hint="eastAsia"/>
          <w:color w:val="5B9BD5" w:themeColor="accent1"/>
          <w:kern w:val="2"/>
          <w:sz w:val="21"/>
          <w:vertAlign w:val="baseline"/>
          <w:lang w:val="en-US" w:eastAsia="zh-CN" w:bidi="ar-SA"/>
          <w14:textFill>
            <w14:solidFill>
              <w14:schemeClr w14:val="accent1"/>
            </w14:solidFill>
          </w14:textFill>
        </w:rPr>
      </w:pPr>
      <w:r>
        <w:rPr>
          <w:rFonts w:hint="eastAsia"/>
          <w:color w:val="5B9BD5" w:themeColor="accent1"/>
          <w:kern w:val="2"/>
          <w:sz w:val="21"/>
          <w:vertAlign w:val="baseline"/>
          <w:lang w:val="en-US" w:eastAsia="zh-CN" w:bidi="ar-SA"/>
          <w14:textFill>
            <w14:solidFill>
              <w14:schemeClr w14:val="accent1"/>
            </w14:solidFill>
          </w14:textFill>
        </w:rPr>
        <w:t>2.6数据源：</w:t>
      </w:r>
      <w:r>
        <w:rPr>
          <w:rFonts w:hint="eastAsia"/>
          <w:color w:val="5B9BD5" w:themeColor="accent1"/>
          <w:kern w:val="2"/>
          <w:sz w:val="21"/>
          <w:vertAlign w:val="baseline"/>
          <w:lang w:val="en-US" w:eastAsia="zh-CN" w:bidi="ar-SA"/>
          <w14:textFill>
            <w14:solidFill>
              <w14:schemeClr w14:val="accent1"/>
            </w14:solidFill>
          </w14:textFill>
        </w:rPr>
        <w:fldChar w:fldCharType="begin"/>
      </w:r>
      <w:r>
        <w:rPr>
          <w:rFonts w:hint="eastAsia"/>
          <w:color w:val="5B9BD5" w:themeColor="accent1"/>
          <w:kern w:val="2"/>
          <w:sz w:val="21"/>
          <w:vertAlign w:val="baseline"/>
          <w:lang w:val="en-US" w:eastAsia="zh-CN" w:bidi="ar-SA"/>
          <w14:textFill>
            <w14:solidFill>
              <w14:schemeClr w14:val="accent1"/>
            </w14:solidFill>
          </w14:textFill>
        </w:rPr>
        <w:instrText xml:space="preserve"> HYPERLINK "http://gks.mof.gov.cn/redianzhuanti/guozaiguanli/" </w:instrText>
      </w:r>
      <w:r>
        <w:rPr>
          <w:rFonts w:hint="eastAsia"/>
          <w:color w:val="5B9BD5" w:themeColor="accent1"/>
          <w:kern w:val="2"/>
          <w:sz w:val="21"/>
          <w:vertAlign w:val="baseline"/>
          <w:lang w:val="en-US" w:eastAsia="zh-CN" w:bidi="ar-SA"/>
          <w14:textFill>
            <w14:solidFill>
              <w14:schemeClr w14:val="accent1"/>
            </w14:solidFill>
          </w14:textFill>
        </w:rPr>
        <w:fldChar w:fldCharType="separate"/>
      </w:r>
      <w:r>
        <w:rPr>
          <w:rStyle w:val="30"/>
          <w:rFonts w:hint="eastAsia"/>
          <w:color w:val="5B9BD5" w:themeColor="accent1"/>
          <w:kern w:val="2"/>
          <w:sz w:val="21"/>
          <w:vertAlign w:val="baseline"/>
          <w:lang w:val="en-US" w:eastAsia="zh-CN" w:bidi="ar-SA"/>
          <w14:textFill>
            <w14:solidFill>
              <w14:schemeClr w14:val="accent1"/>
            </w14:solidFill>
          </w14:textFill>
        </w:rPr>
        <w:t>http://gks.mof.gov.cn/redianzhuanti/guozaiguanli/</w:t>
      </w:r>
      <w:r>
        <w:rPr>
          <w:rFonts w:hint="eastAsia"/>
          <w:color w:val="5B9BD5" w:themeColor="accent1"/>
          <w:kern w:val="2"/>
          <w:sz w:val="21"/>
          <w:vertAlign w:val="baseline"/>
          <w:lang w:val="en-US" w:eastAsia="zh-CN" w:bidi="ar-SA"/>
          <w14:textFill>
            <w14:solidFill>
              <w14:schemeClr w14:val="accent1"/>
            </w14:solidFill>
          </w14:textFill>
        </w:rPr>
        <w:fldChar w:fldCharType="end"/>
      </w:r>
    </w:p>
    <w:p>
      <w:pPr>
        <w:pStyle w:val="4"/>
        <w:numPr>
          <w:ilvl w:val="0"/>
          <w:numId w:val="0"/>
        </w:numPr>
        <w:ind w:leftChars="0"/>
        <w:rPr>
          <w:rFonts w:hint="eastAsia"/>
          <w:color w:val="auto"/>
          <w:kern w:val="2"/>
          <w:sz w:val="21"/>
          <w:vertAlign w:val="baseline"/>
          <w:lang w:val="en-US" w:eastAsia="zh-CN" w:bidi="ar-SA"/>
        </w:rPr>
      </w:pPr>
      <w:r>
        <w:rPr>
          <w:rFonts w:hint="eastAsia"/>
          <w:color w:val="auto"/>
          <w:kern w:val="2"/>
          <w:sz w:val="21"/>
          <w:vertAlign w:val="baseline"/>
          <w:lang w:val="en-US" w:eastAsia="zh-CN" w:bidi="ar-SA"/>
        </w:rPr>
        <w:t>此数据源主要是针对国债的兑付，为国债兑付的主要数据源。对于此数据源上国债兑付的没有披露情况可根据具体的兑付公告进行维护。并且是否有效为是。</w:t>
      </w:r>
    </w:p>
    <w:p>
      <w:pPr>
        <w:pStyle w:val="4"/>
        <w:numPr>
          <w:ilvl w:val="0"/>
          <w:numId w:val="0"/>
        </w:numPr>
        <w:ind w:leftChars="0"/>
        <w:rPr>
          <w:rFonts w:hint="eastAsia"/>
          <w:color w:val="5B9BD5" w:themeColor="accent1"/>
          <w:kern w:val="2"/>
          <w:sz w:val="21"/>
          <w:vertAlign w:val="baseline"/>
          <w:lang w:val="en-US" w:eastAsia="zh-CN" w:bidi="ar-SA"/>
          <w14:textFill>
            <w14:solidFill>
              <w14:schemeClr w14:val="accent1"/>
            </w14:solidFill>
          </w14:textFill>
        </w:rPr>
      </w:pPr>
      <w:r>
        <w:rPr>
          <w:bdr w:val="single" w:sz="4" w:space="0"/>
        </w:rPr>
        <w:drawing>
          <wp:inline distT="0" distB="0" distL="114300" distR="114300">
            <wp:extent cx="5269230" cy="2660650"/>
            <wp:effectExtent l="0" t="0" r="7620" b="635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9"/>
                    <a:stretch>
                      <a:fillRect/>
                    </a:stretch>
                  </pic:blipFill>
                  <pic:spPr>
                    <a:xfrm>
                      <a:off x="0" y="0"/>
                      <a:ext cx="5269230" cy="2660650"/>
                    </a:xfrm>
                    <a:prstGeom prst="rect">
                      <a:avLst/>
                    </a:prstGeom>
                    <a:noFill/>
                    <a:ln w="9525">
                      <a:noFill/>
                    </a:ln>
                  </pic:spPr>
                </pic:pic>
              </a:graphicData>
            </a:graphic>
          </wp:inline>
        </w:drawing>
      </w:r>
    </w:p>
    <w:p>
      <w:pPr>
        <w:pStyle w:val="4"/>
        <w:ind w:left="0" w:leftChars="0" w:firstLine="0" w:firstLineChars="0"/>
        <w:rPr>
          <w:rFonts w:hint="eastAsia"/>
          <w:lang w:val="en-US" w:eastAsia="zh-CN"/>
        </w:rPr>
      </w:pPr>
      <w:r>
        <w:rPr>
          <w:rFonts w:hint="eastAsia"/>
          <w:color w:val="5B9BD5" w:themeColor="accent1"/>
          <w:kern w:val="2"/>
          <w:sz w:val="21"/>
          <w:vertAlign w:val="baseline"/>
          <w:lang w:val="en-US" w:eastAsia="zh-CN" w:bidi="ar-SA"/>
          <w14:textFill>
            <w14:solidFill>
              <w14:schemeClr w14:val="accent1"/>
            </w14:solidFill>
          </w14:textFill>
        </w:rPr>
        <w:t>样例1：</w:t>
      </w:r>
      <w:r>
        <w:rPr>
          <w:rFonts w:hint="eastAsia"/>
          <w:lang w:val="en-US" w:eastAsia="zh-CN"/>
        </w:rPr>
        <w:t>2013年珠海华发集团有限公司公司债券2016年分期偿还本金兑付公告</w:t>
      </w:r>
    </w:p>
    <w:p>
      <w:pPr>
        <w:pStyle w:val="4"/>
        <w:ind w:left="0" w:leftChars="0" w:firstLine="0" w:firstLineChars="0"/>
        <w:rPr>
          <w:rFonts w:hint="eastAsia"/>
          <w:lang w:val="en-US" w:eastAsia="zh-CN"/>
        </w:rPr>
      </w:pPr>
      <w:r>
        <w:rPr>
          <w:rFonts w:hint="eastAsia"/>
          <w:lang w:val="en-US" w:eastAsia="zh-CN"/>
        </w:rPr>
        <w:t>数据来源：</w:t>
      </w:r>
    </w:p>
    <w:p>
      <w:pPr>
        <w:pStyle w:val="4"/>
        <w:ind w:left="0" w:leftChars="0" w:firstLine="0" w:firstLineChars="0"/>
        <w:rPr>
          <w:rFonts w:hint="eastAsia"/>
          <w:color w:val="5B9BD5" w:themeColor="accent1"/>
          <w:kern w:val="2"/>
          <w:sz w:val="21"/>
          <w:vertAlign w:val="baseline"/>
          <w:lang w:val="en-US" w:eastAsia="zh-CN" w:bidi="ar-SA"/>
          <w14:textFill>
            <w14:solidFill>
              <w14:schemeClr w14:val="accent1"/>
            </w14:solidFill>
          </w14:textFill>
        </w:rPr>
      </w:pPr>
      <w:r>
        <w:rPr>
          <w:rFonts w:hint="eastAsia"/>
          <w:color w:val="5B9BD5" w:themeColor="accent1"/>
          <w:kern w:val="2"/>
          <w:sz w:val="21"/>
          <w:vertAlign w:val="baseline"/>
          <w:lang w:val="en-US" w:eastAsia="zh-CN" w:bidi="ar-SA"/>
          <w14:textFill>
            <w14:solidFill>
              <w14:schemeClr w14:val="accent1"/>
            </w14:solidFill>
          </w14:textFill>
        </w:rPr>
        <w:fldChar w:fldCharType="begin"/>
      </w:r>
      <w:r>
        <w:rPr>
          <w:rFonts w:hint="eastAsia"/>
          <w:color w:val="5B9BD5" w:themeColor="accent1"/>
          <w:kern w:val="2"/>
          <w:sz w:val="21"/>
          <w:vertAlign w:val="baseline"/>
          <w:lang w:val="en-US" w:eastAsia="zh-CN" w:bidi="ar-SA"/>
          <w14:textFill>
            <w14:solidFill>
              <w14:schemeClr w14:val="accent1"/>
            </w14:solidFill>
          </w14:textFill>
        </w:rPr>
        <w:instrText xml:space="preserve"> HYPERLINK "http://www.sse.com.cn/disclosure/bond/announcement/corporate/c/2617667462346689.pdf" </w:instrText>
      </w:r>
      <w:r>
        <w:rPr>
          <w:rFonts w:hint="eastAsia"/>
          <w:color w:val="5B9BD5" w:themeColor="accent1"/>
          <w:kern w:val="2"/>
          <w:sz w:val="21"/>
          <w:vertAlign w:val="baseline"/>
          <w:lang w:val="en-US" w:eastAsia="zh-CN" w:bidi="ar-SA"/>
          <w14:textFill>
            <w14:solidFill>
              <w14:schemeClr w14:val="accent1"/>
            </w14:solidFill>
          </w14:textFill>
        </w:rPr>
        <w:fldChar w:fldCharType="separate"/>
      </w:r>
      <w:r>
        <w:rPr>
          <w:rStyle w:val="30"/>
          <w:rFonts w:hint="eastAsia"/>
          <w:color w:val="5B9BD5" w:themeColor="accent1"/>
          <w:kern w:val="2"/>
          <w:sz w:val="21"/>
          <w:vertAlign w:val="baseline"/>
          <w:lang w:val="en-US" w:eastAsia="zh-CN" w:bidi="ar-SA"/>
          <w14:textFill>
            <w14:solidFill>
              <w14:schemeClr w14:val="accent1"/>
            </w14:solidFill>
          </w14:textFill>
        </w:rPr>
        <w:t>http://www.sse.com.cn/disclosure/bond/announcement/corporate/c/2617667462346689.pdf</w:t>
      </w:r>
      <w:r>
        <w:rPr>
          <w:rFonts w:hint="eastAsia"/>
          <w:color w:val="5B9BD5" w:themeColor="accent1"/>
          <w:kern w:val="2"/>
          <w:sz w:val="21"/>
          <w:vertAlign w:val="baseline"/>
          <w:lang w:val="en-US" w:eastAsia="zh-CN" w:bidi="ar-SA"/>
          <w14:textFill>
            <w14:solidFill>
              <w14:schemeClr w14:val="accent1"/>
            </w14:solidFill>
          </w14:textFill>
        </w:rPr>
        <w:fldChar w:fldCharType="end"/>
      </w:r>
    </w:p>
    <w:p>
      <w:pPr>
        <w:pStyle w:val="4"/>
        <w:ind w:left="0" w:leftChars="0" w:firstLine="0" w:firstLineChars="0"/>
        <w:jc w:val="right"/>
        <w:rPr>
          <w:rFonts w:hint="eastAsia"/>
          <w:color w:val="5B9BD5" w:themeColor="accent1"/>
          <w:kern w:val="2"/>
          <w:sz w:val="21"/>
          <w:vertAlign w:val="baseline"/>
          <w:lang w:val="en-US" w:eastAsia="zh-CN" w:bidi="ar-SA"/>
          <w14:textFill>
            <w14:solidFill>
              <w14:schemeClr w14:val="accent1"/>
            </w14:solidFill>
          </w14:textFill>
        </w:rPr>
      </w:pPr>
      <w:r>
        <w:rPr>
          <w:bdr w:val="single" w:sz="4" w:space="0"/>
        </w:rPr>
        <w:drawing>
          <wp:inline distT="0" distB="0" distL="114300" distR="114300">
            <wp:extent cx="4567555" cy="1503045"/>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567555" cy="1503045"/>
                    </a:xfrm>
                    <a:prstGeom prst="rect">
                      <a:avLst/>
                    </a:prstGeom>
                    <a:noFill/>
                    <a:ln w="9525">
                      <a:noFill/>
                    </a:ln>
                  </pic:spPr>
                </pic:pic>
              </a:graphicData>
            </a:graphic>
          </wp:inline>
        </w:drawing>
      </w:r>
    </w:p>
    <w:p>
      <w:pPr>
        <w:pStyle w:val="4"/>
        <w:jc w:val="both"/>
        <w:rPr>
          <w:rFonts w:hint="eastAsia"/>
          <w:color w:val="5B9BD5" w:themeColor="accent1"/>
          <w:kern w:val="2"/>
          <w:sz w:val="21"/>
          <w:vertAlign w:val="baseline"/>
          <w:lang w:val="en-US" w:eastAsia="zh-CN" w:bidi="ar-SA"/>
          <w14:textFill>
            <w14:solidFill>
              <w14:schemeClr w14:val="accent1"/>
            </w14:solidFill>
          </w14:textFill>
        </w:rPr>
      </w:pPr>
      <w:r>
        <w:rPr>
          <w:bdr w:val="single" w:sz="4" w:space="0"/>
        </w:rPr>
        <w:drawing>
          <wp:inline distT="0" distB="0" distL="114300" distR="114300">
            <wp:extent cx="5268595" cy="1737995"/>
            <wp:effectExtent l="0" t="0" r="825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5268595" cy="1737995"/>
                    </a:xfrm>
                    <a:prstGeom prst="rect">
                      <a:avLst/>
                    </a:prstGeom>
                    <a:noFill/>
                    <a:ln w="9525">
                      <a:noFill/>
                    </a:ln>
                  </pic:spPr>
                </pic:pic>
              </a:graphicData>
            </a:graphic>
          </wp:inline>
        </w:drawing>
      </w:r>
    </w:p>
    <w:p>
      <w:pPr>
        <w:pStyle w:val="4"/>
        <w:rPr>
          <w:bdr w:val="single" w:sz="4" w:space="0"/>
        </w:rPr>
      </w:pPr>
      <w:r>
        <w:rPr>
          <w:bdr w:val="single" w:sz="4" w:space="0"/>
        </w:rPr>
        <w:drawing>
          <wp:inline distT="0" distB="0" distL="114300" distR="114300">
            <wp:extent cx="5271770" cy="1671955"/>
            <wp:effectExtent l="0" t="0" r="508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5271770" cy="16719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从2013年珠海华发集团有限公司公司债券2016年分期偿还本金兑付公告中可以看出，</w:t>
      </w:r>
    </w:p>
    <w:p>
      <w:pPr>
        <w:pStyle w:val="4"/>
        <w:rPr>
          <w:rFonts w:hint="eastAsia"/>
          <w:color w:val="00B0F0"/>
          <w:lang w:val="en-US" w:eastAsia="zh-CN"/>
        </w:rPr>
      </w:pPr>
      <w:r>
        <w:rPr>
          <w:rFonts w:hint="eastAsia"/>
          <w:color w:val="00B0F0"/>
          <w:lang w:val="en-US" w:eastAsia="zh-CN"/>
        </w:rPr>
        <w:t>债券名称:</w:t>
      </w:r>
      <w:r>
        <w:rPr>
          <w:rFonts w:hint="eastAsia"/>
          <w:color w:val="auto"/>
          <w:lang w:val="en-US" w:eastAsia="zh-CN"/>
        </w:rPr>
        <w:t>2</w:t>
      </w:r>
      <w:r>
        <w:rPr>
          <w:rFonts w:hint="eastAsia"/>
          <w:lang w:val="en-US" w:eastAsia="zh-CN"/>
        </w:rPr>
        <w:t>013年珠海华发集团有限公司公司债券</w:t>
      </w:r>
    </w:p>
    <w:p>
      <w:pPr>
        <w:pStyle w:val="4"/>
        <w:rPr>
          <w:rFonts w:hint="eastAsia"/>
          <w:color w:val="00B0F0"/>
          <w:lang w:val="en-US" w:eastAsia="zh-CN"/>
        </w:rPr>
      </w:pPr>
      <w:r>
        <w:rPr>
          <w:rFonts w:hint="eastAsia"/>
          <w:color w:val="00B0F0"/>
          <w:lang w:val="en-US" w:eastAsia="zh-CN"/>
        </w:rPr>
        <w:t>公告日期:20160531</w:t>
      </w:r>
    </w:p>
    <w:p>
      <w:pPr>
        <w:pStyle w:val="4"/>
        <w:rPr>
          <w:rFonts w:hint="eastAsia"/>
          <w:color w:val="00B0F0"/>
          <w:lang w:val="en-US" w:eastAsia="zh-CN"/>
        </w:rPr>
      </w:pPr>
      <w:r>
        <w:rPr>
          <w:rFonts w:hint="eastAsia"/>
          <w:color w:val="00B0F0"/>
          <w:lang w:val="en-US" w:eastAsia="zh-CN"/>
        </w:rPr>
        <w:t>变动日期:20160605</w:t>
      </w:r>
    </w:p>
    <w:p>
      <w:pPr>
        <w:pStyle w:val="4"/>
        <w:rPr>
          <w:rFonts w:hint="eastAsia"/>
          <w:color w:val="FF0000"/>
          <w:lang w:val="en-US" w:eastAsia="zh-CN"/>
        </w:rPr>
      </w:pPr>
      <w:r>
        <w:rPr>
          <w:rFonts w:hint="eastAsia"/>
          <w:color w:val="00B0F0"/>
          <w:lang w:val="en-US" w:eastAsia="zh-CN"/>
        </w:rPr>
        <w:t>变动原因说明:</w:t>
      </w:r>
      <w:r>
        <w:rPr>
          <w:rFonts w:hint="eastAsia"/>
          <w:lang w:val="en-US" w:eastAsia="zh-CN"/>
        </w:rPr>
        <w:t xml:space="preserve">债券发行人根据募集说明书的本金提前偿还条款进行行权，在债券存续                   期内的第三年偿还本金25%。  </w:t>
      </w:r>
      <w:r>
        <w:rPr>
          <w:rFonts w:hint="eastAsia"/>
          <w:color w:val="FF0000"/>
          <w:lang w:val="en-US" w:eastAsia="zh-CN"/>
        </w:rPr>
        <w:t xml:space="preserve"> 业务规则</w:t>
      </w:r>
      <w:r>
        <w:rPr>
          <w:rFonts w:hint="eastAsia"/>
          <w:color w:val="00B0F0"/>
          <w:lang w:val="en-US" w:eastAsia="zh-CN"/>
        </w:rPr>
        <w:t>：</w:t>
      </w:r>
      <w:r>
        <w:rPr>
          <w:rFonts w:hint="eastAsia"/>
          <w:color w:val="FF0000"/>
          <w:lang w:val="en-US" w:eastAsia="zh-CN"/>
        </w:rPr>
        <w:t>主要是对规模变动的情况进行详细说明。要与变动类型相对应。</w:t>
      </w:r>
    </w:p>
    <w:p>
      <w:pPr>
        <w:pStyle w:val="4"/>
        <w:rPr>
          <w:rFonts w:hint="eastAsia"/>
          <w:color w:val="00B0F0"/>
          <w:lang w:val="en-US" w:eastAsia="zh-CN"/>
        </w:rPr>
      </w:pPr>
      <w:r>
        <w:rPr>
          <w:rFonts w:hint="eastAsia"/>
          <w:color w:val="00B0F0"/>
          <w:lang w:val="en-US" w:eastAsia="zh-CN"/>
        </w:rPr>
        <w:t>变动类型:债券分期兑付</w:t>
      </w:r>
    </w:p>
    <w:p>
      <w:pPr>
        <w:pStyle w:val="4"/>
        <w:rPr>
          <w:rFonts w:hint="eastAsia"/>
          <w:color w:val="FF0000"/>
          <w:lang w:val="en-US" w:eastAsia="zh-CN"/>
        </w:rPr>
      </w:pPr>
      <w:r>
        <w:rPr>
          <w:rFonts w:hint="eastAsia"/>
          <w:color w:val="00B0F0"/>
          <w:lang w:val="en-US" w:eastAsia="zh-CN"/>
        </w:rPr>
        <w:t xml:space="preserve">变动规模(元):-2亿         </w:t>
      </w:r>
      <w:r>
        <w:rPr>
          <w:rFonts w:hint="eastAsia"/>
          <w:color w:val="FF0000"/>
          <w:lang w:val="en-US" w:eastAsia="zh-CN"/>
        </w:rPr>
        <w:t>业务规则</w:t>
      </w:r>
      <w:r>
        <w:rPr>
          <w:rFonts w:hint="eastAsia"/>
          <w:color w:val="00B0F0"/>
          <w:lang w:val="en-US" w:eastAsia="zh-CN"/>
        </w:rPr>
        <w:t>：</w:t>
      </w:r>
      <w:r>
        <w:rPr>
          <w:rFonts w:hint="eastAsia"/>
          <w:color w:val="FF0000"/>
          <w:lang w:val="en-US" w:eastAsia="zh-CN"/>
        </w:rPr>
        <w:t>债券进行兑付以及特殊条款行权时，债券规模减少，变动规模应取负值。</w:t>
      </w:r>
    </w:p>
    <w:p>
      <w:pPr>
        <w:pStyle w:val="4"/>
        <w:rPr>
          <w:rFonts w:hint="eastAsia"/>
          <w:color w:val="00B0F0"/>
          <w:lang w:val="en-US" w:eastAsia="zh-CN"/>
        </w:rPr>
      </w:pPr>
      <w:r>
        <w:rPr>
          <w:rFonts w:hint="eastAsia"/>
          <w:color w:val="00B0F0"/>
          <w:lang w:val="en-US" w:eastAsia="zh-CN"/>
        </w:rPr>
        <w:t>变动后规模(元):6亿</w:t>
      </w:r>
    </w:p>
    <w:p>
      <w:pPr>
        <w:pStyle w:val="4"/>
        <w:rPr>
          <w:rFonts w:hint="eastAsia"/>
          <w:color w:val="00B0F0"/>
          <w:lang w:val="en-US" w:eastAsia="zh-CN"/>
        </w:rPr>
      </w:pPr>
      <w:r>
        <w:rPr>
          <w:rFonts w:hint="eastAsia"/>
          <w:color w:val="00B0F0"/>
          <w:lang w:val="en-US" w:eastAsia="zh-CN"/>
        </w:rPr>
        <w:t>变动后面值(元):75</w:t>
      </w:r>
    </w:p>
    <w:p>
      <w:pPr>
        <w:pStyle w:val="4"/>
        <w:rPr>
          <w:rFonts w:hint="eastAsia"/>
          <w:color w:val="00B0F0"/>
          <w:lang w:val="en-US" w:eastAsia="zh-CN"/>
        </w:rPr>
      </w:pPr>
      <w:r>
        <w:rPr>
          <w:rFonts w:hint="eastAsia"/>
          <w:color w:val="00B0F0"/>
          <w:lang w:val="en-US" w:eastAsia="zh-CN"/>
        </w:rPr>
        <w:t>备注:空</w:t>
      </w:r>
    </w:p>
    <w:p>
      <w:pPr>
        <w:pStyle w:val="4"/>
        <w:rPr>
          <w:rFonts w:hint="eastAsia"/>
          <w:color w:val="00B0F0"/>
          <w:lang w:val="en-US" w:eastAsia="zh-CN"/>
        </w:rPr>
      </w:pPr>
      <w:r>
        <w:rPr>
          <w:rFonts w:hint="eastAsia"/>
          <w:color w:val="00B0F0"/>
          <w:lang w:val="en-US" w:eastAsia="zh-CN"/>
        </w:rPr>
        <w:t>是否有效:是</w:t>
      </w:r>
    </w:p>
    <w:p>
      <w:pPr>
        <w:pStyle w:val="4"/>
        <w:rPr>
          <w:rFonts w:hint="eastAsia"/>
          <w:lang w:val="en-US" w:eastAsia="zh-CN"/>
        </w:rPr>
      </w:pPr>
      <w:r>
        <w:rPr>
          <w:rFonts w:hint="eastAsia"/>
          <w:lang w:val="en-US" w:eastAsia="zh-CN"/>
        </w:rPr>
        <w:t>该债券兑付属于债券分期兑付，公告日期为2016年5月31日，本次债券兑付日终止日为2016年6月5日，</w:t>
      </w:r>
      <w:r>
        <w:rPr>
          <w:rFonts w:hint="eastAsia"/>
          <w:color w:val="FF0000"/>
          <w:lang w:val="en-US" w:eastAsia="zh-CN"/>
        </w:rPr>
        <w:t>兑付日终止日</w:t>
      </w:r>
      <w:r>
        <w:rPr>
          <w:rFonts w:hint="eastAsia"/>
          <w:lang w:val="en-US" w:eastAsia="zh-CN"/>
        </w:rPr>
        <w:t>为债券规模的变动日期，兑付本金金额为2亿元，本债券在2013年6月5日发行8亿元，本次兑付后债券规模为6亿元。变动规模为</w:t>
      </w:r>
      <w:r>
        <w:rPr>
          <w:rFonts w:hint="eastAsia"/>
          <w:color w:val="FF0000"/>
          <w:lang w:val="en-US" w:eastAsia="zh-CN"/>
        </w:rPr>
        <w:t>-2</w:t>
      </w:r>
      <w:r>
        <w:rPr>
          <w:rFonts w:hint="eastAsia"/>
          <w:lang w:val="en-US" w:eastAsia="zh-CN"/>
        </w:rPr>
        <w:t>亿元，兑付后的债券面值变为75元。从债券公告的标题中可以判断变动类型为债券分期。</w:t>
      </w:r>
    </w:p>
    <w:p>
      <w:pPr>
        <w:pStyle w:val="4"/>
        <w:rPr>
          <w:rFonts w:hint="eastAsia"/>
          <w:lang w:val="en-US" w:eastAsia="zh-CN"/>
        </w:rPr>
      </w:pPr>
    </w:p>
    <w:p>
      <w:pPr>
        <w:pStyle w:val="4"/>
        <w:ind w:left="0" w:leftChars="0" w:firstLine="0" w:firstLineChars="0"/>
        <w:rPr>
          <w:rFonts w:hint="eastAsia"/>
          <w:lang w:val="en-US" w:eastAsia="zh-CN"/>
        </w:rPr>
      </w:pPr>
      <w:r>
        <w:rPr>
          <w:rFonts w:hint="eastAsia"/>
          <w:lang w:val="en-US" w:eastAsia="zh-CN"/>
        </w:rPr>
        <w:t>:样例2</w:t>
      </w:r>
      <w:r>
        <w:rPr>
          <w:rFonts w:hint="eastAsia"/>
          <w:color w:val="FF0000"/>
          <w:lang w:val="en-US" w:eastAsia="zh-CN"/>
        </w:rPr>
        <w:t>债券延期兑付</w:t>
      </w:r>
      <w:r>
        <w:rPr>
          <w:rFonts w:hint="eastAsia"/>
          <w:lang w:val="en-US" w:eastAsia="zh-CN"/>
        </w:rPr>
        <w:t>：</w:t>
      </w:r>
    </w:p>
    <w:p>
      <w:pPr>
        <w:pStyle w:val="4"/>
        <w:ind w:left="0" w:leftChars="0" w:firstLine="0" w:firstLineChars="0"/>
        <w:rPr>
          <w:rFonts w:hint="eastAsia"/>
          <w:lang w:val="en-US" w:eastAsia="zh-CN"/>
        </w:rPr>
      </w:pPr>
      <w:r>
        <w:rPr>
          <w:rFonts w:hint="eastAsia"/>
          <w:lang w:val="en-US" w:eastAsia="zh-CN"/>
        </w:rPr>
        <w:t xml:space="preserve">        南京雨润食品有限公司2015年度第一期短期融资券部分兑付公告</w:t>
      </w:r>
    </w:p>
    <w:p>
      <w:pPr>
        <w:pStyle w:val="4"/>
        <w:ind w:left="0" w:leftChars="0" w:firstLine="0" w:firstLineChars="0"/>
        <w:rPr>
          <w:rFonts w:hint="eastAsia"/>
          <w:lang w:val="en-US" w:eastAsia="zh-CN"/>
        </w:rPr>
      </w:pPr>
      <w:r>
        <w:rPr>
          <w:rFonts w:hint="eastAsia"/>
          <w:lang w:val="en-US" w:eastAsia="zh-CN"/>
        </w:rPr>
        <w:t xml:space="preserve">        南京雨润食品有限公司2015年度第一期短期融资券延期支付的本金兑付公告</w:t>
      </w:r>
    </w:p>
    <w:p>
      <w:pPr>
        <w:pStyle w:val="4"/>
        <w:ind w:left="0" w:leftChars="0" w:firstLine="0" w:firstLineChars="0"/>
        <w:rPr>
          <w:rFonts w:hint="eastAsia"/>
          <w:lang w:val="en-US" w:eastAsia="zh-CN"/>
        </w:rPr>
      </w:pPr>
      <w:r>
        <w:rPr>
          <w:rFonts w:hint="eastAsia"/>
          <w:lang w:val="en-US" w:eastAsia="zh-CN"/>
        </w:rPr>
        <w:t>数据源：</w:t>
      </w:r>
      <w:r>
        <w:rPr>
          <w:rFonts w:hint="eastAsia"/>
          <w:lang w:val="en-US" w:eastAsia="zh-CN"/>
        </w:rPr>
        <w:fldChar w:fldCharType="begin"/>
      </w:r>
      <w:r>
        <w:rPr>
          <w:rFonts w:hint="eastAsia"/>
          <w:lang w:val="en-US" w:eastAsia="zh-CN"/>
        </w:rPr>
        <w:instrText xml:space="preserve"> HYPERLINK "http://www.chinamoney.com.cn/fe/Info/16937061" </w:instrText>
      </w:r>
      <w:r>
        <w:rPr>
          <w:rFonts w:hint="eastAsia"/>
          <w:lang w:val="en-US" w:eastAsia="zh-CN"/>
        </w:rPr>
        <w:fldChar w:fldCharType="separate"/>
      </w:r>
      <w:r>
        <w:rPr>
          <w:rStyle w:val="30"/>
          <w:rFonts w:hint="eastAsia"/>
          <w:lang w:val="en-US" w:eastAsia="zh-CN"/>
        </w:rPr>
        <w:t>http://www.chinamoney.com.cn/fe/Info/16937061</w:t>
      </w:r>
      <w:r>
        <w:rPr>
          <w:rFonts w:hint="eastAsia"/>
          <w:lang w:val="en-US" w:eastAsia="zh-CN"/>
        </w:rPr>
        <w:fldChar w:fldCharType="end"/>
      </w:r>
    </w:p>
    <w:p>
      <w:pPr>
        <w:pStyle w:val="4"/>
        <w:ind w:left="0" w:leftChars="0" w:firstLine="0" w:firstLineChars="0"/>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"http://www.chinamoney.com.cn/fe/Info/17087917" </w:instrText>
      </w:r>
      <w:r>
        <w:rPr>
          <w:rFonts w:hint="eastAsia"/>
          <w:lang w:val="en-US" w:eastAsia="zh-CN"/>
        </w:rPr>
        <w:fldChar w:fldCharType="separate"/>
      </w:r>
      <w:r>
        <w:rPr>
          <w:rStyle w:val="30"/>
          <w:rFonts w:hint="eastAsia"/>
          <w:lang w:val="en-US" w:eastAsia="zh-CN"/>
        </w:rPr>
        <w:t>http://www.chinamoney.com.cn/fe/Info/17087917</w:t>
      </w:r>
      <w:r>
        <w:rPr>
          <w:rFonts w:hint="eastAsia"/>
          <w:lang w:val="en-US" w:eastAsia="zh-CN"/>
        </w:rPr>
        <w:fldChar w:fldCharType="end"/>
      </w:r>
    </w:p>
    <w:p>
      <w:pPr>
        <w:pStyle w:val="4"/>
        <w:ind w:left="0" w:leftChars="0" w:firstLine="0" w:firstLineChars="0"/>
        <w:rPr>
          <w:bdr w:val="single" w:sz="4" w:space="0"/>
        </w:rPr>
      </w:pPr>
      <w:r>
        <w:rPr>
          <w:bdr w:val="single" w:sz="4" w:space="0"/>
        </w:rPr>
        <w:drawing>
          <wp:inline distT="0" distB="0" distL="114300" distR="114300">
            <wp:extent cx="5271770" cy="3775075"/>
            <wp:effectExtent l="0" t="0" r="5080" b="158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33"/>
                    <a:stretch>
                      <a:fillRect/>
                    </a:stretch>
                  </pic:blipFill>
                  <pic:spPr>
                    <a:xfrm>
                      <a:off x="0" y="0"/>
                      <a:ext cx="5271770" cy="3775075"/>
                    </a:xfrm>
                    <a:prstGeom prst="rect">
                      <a:avLst/>
                    </a:prstGeom>
                    <a:noFill/>
                    <a:ln w="9525">
                      <a:noFill/>
                    </a:ln>
                  </pic:spPr>
                </pic:pic>
              </a:graphicData>
            </a:graphic>
          </wp:inline>
        </w:drawing>
      </w:r>
    </w:p>
    <w:p>
      <w:pPr>
        <w:pStyle w:val="4"/>
        <w:ind w:left="0" w:leftChars="0" w:firstLine="0" w:firstLineChars="0"/>
        <w:rPr>
          <w:rFonts w:hint="eastAsia"/>
          <w:bdr w:val="single" w:sz="4" w:space="0"/>
          <w:lang w:val="en-US" w:eastAsia="zh-CN"/>
        </w:rPr>
      </w:pPr>
      <w:r>
        <w:rPr>
          <w:bdr w:val="single" w:sz="4" w:space="0"/>
        </w:rPr>
        <w:drawing>
          <wp:inline distT="0" distB="0" distL="114300" distR="114300">
            <wp:extent cx="5273040" cy="3291205"/>
            <wp:effectExtent l="0" t="0" r="3810" b="444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4"/>
                    <a:stretch>
                      <a:fillRect/>
                    </a:stretch>
                  </pic:blipFill>
                  <pic:spPr>
                    <a:xfrm>
                      <a:off x="0" y="0"/>
                      <a:ext cx="5273040" cy="3291205"/>
                    </a:xfrm>
                    <a:prstGeom prst="rect">
                      <a:avLst/>
                    </a:prstGeom>
                    <a:noFill/>
                    <a:ln w="9525">
                      <a:noFill/>
                    </a:ln>
                  </pic:spPr>
                </pic:pic>
              </a:graphicData>
            </a:graphic>
          </wp:inline>
        </w:drawing>
      </w:r>
    </w:p>
    <w:p>
      <w:pPr>
        <w:pStyle w:val="4"/>
        <w:ind w:left="0" w:leftChars="0" w:firstLine="0" w:firstLineChars="0"/>
        <w:rPr>
          <w:bdr w:val="single" w:sz="4" w:space="0"/>
        </w:rPr>
      </w:pPr>
      <w:r>
        <w:rPr>
          <w:bdr w:val="single" w:sz="4" w:space="0"/>
        </w:rPr>
        <w:drawing>
          <wp:inline distT="0" distB="0" distL="114300" distR="114300">
            <wp:extent cx="5268595" cy="4002405"/>
            <wp:effectExtent l="0" t="0" r="8255" b="1714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5"/>
                    <a:stretch>
                      <a:fillRect/>
                    </a:stretch>
                  </pic:blipFill>
                  <pic:spPr>
                    <a:xfrm>
                      <a:off x="0" y="0"/>
                      <a:ext cx="5268595" cy="4002405"/>
                    </a:xfrm>
                    <a:prstGeom prst="rect">
                      <a:avLst/>
                    </a:prstGeom>
                    <a:noFill/>
                    <a:ln w="9525">
                      <a:noFill/>
                    </a:ln>
                  </pic:spPr>
                </pic:pic>
              </a:graphicData>
            </a:graphic>
          </wp:inline>
        </w:drawing>
      </w:r>
    </w:p>
    <w:p>
      <w:pPr>
        <w:pStyle w:val="4"/>
        <w:ind w:left="0" w:leftChars="0" w:firstLine="0" w:firstLineChars="0"/>
        <w:rPr>
          <w:rFonts w:hint="eastAsia"/>
          <w:bdr w:val="single" w:sz="4" w:space="0"/>
          <w:lang w:val="en-US" w:eastAsia="zh-CN"/>
        </w:rPr>
      </w:pPr>
      <w:r>
        <w:rPr>
          <w:rFonts w:hint="eastAsia"/>
          <w:lang w:eastAsia="zh-CN"/>
        </w:rPr>
        <w:t>债券的募集说明书中可以看出：</w:t>
      </w:r>
      <w:r>
        <w:rPr>
          <w:rFonts w:hint="eastAsia"/>
          <w:lang w:val="en-US" w:eastAsia="zh-CN"/>
        </w:rPr>
        <w:t>南京雨润食品有限公司2015年度第一期短期融资券发行规模为5亿元，兑付方式为到期一次性兑付。从南京雨润食品有限公司2015年度第一期短期融资券部分兑付公告中可以看出，公告日期为20160318，本次兑付的本金金额为2.2亿元，规模变动为-2.2亿元，变动原因说明：南京雨润食品有限公司2015年度第一期短期融资券应于2016年3月17日进行兑付，公司未能按照约定筹措足额偿债资金，15雨润CP001未能按期偿付足额偿付，公司进行债券延期分期兑付。变动类型为</w:t>
      </w:r>
      <w:r>
        <w:rPr>
          <w:rFonts w:hint="eastAsia"/>
          <w:color w:val="FF0000"/>
          <w:lang w:val="en-US" w:eastAsia="zh-CN"/>
        </w:rPr>
        <w:t>债券延期兑付</w:t>
      </w:r>
      <w:r>
        <w:rPr>
          <w:rFonts w:hint="eastAsia"/>
          <w:lang w:val="en-US" w:eastAsia="zh-CN"/>
        </w:rPr>
        <w:t>，变动日期为20160321，变动后规模为2.8亿元,变动后面值为100元。从南京雨润食品有限公司2015年度第一期短期融资券延期支付的本金兑付公告可以看出：公告日期为20160330，本次兑付的本金金额为2.8亿元，规模变动为-2.8亿元，变动类型为</w:t>
      </w:r>
      <w:r>
        <w:rPr>
          <w:rFonts w:hint="eastAsia"/>
          <w:color w:val="FF0000"/>
          <w:lang w:val="en-US" w:eastAsia="zh-CN"/>
        </w:rPr>
        <w:t>债券延期兑付</w:t>
      </w:r>
      <w:r>
        <w:rPr>
          <w:rFonts w:hint="eastAsia"/>
          <w:lang w:val="en-US" w:eastAsia="zh-CN"/>
        </w:rPr>
        <w:t>，变动日期为20160331，变动后规模为0亿元，变动后面值为0.</w:t>
      </w:r>
    </w:p>
    <w:p>
      <w:pPr>
        <w:pStyle w:val="4"/>
        <w:rPr>
          <w:rFonts w:hint="eastAsia"/>
          <w:lang w:val="en-US" w:eastAsia="zh-CN"/>
        </w:rPr>
      </w:pPr>
    </w:p>
    <w:p>
      <w:pPr>
        <w:numPr>
          <w:ilvl w:val="0"/>
          <w:numId w:val="0"/>
        </w:numPr>
        <w:ind w:leftChars="0"/>
        <w:rPr>
          <w:rFonts w:hint="eastAsia"/>
          <w:lang w:eastAsia="zh-CN"/>
        </w:rPr>
      </w:pPr>
      <w:r>
        <w:rPr>
          <w:rFonts w:hint="eastAsia"/>
          <w:color w:val="FF0000"/>
          <w:lang w:eastAsia="zh-CN"/>
        </w:rPr>
        <w:t>（</w:t>
      </w:r>
      <w:r>
        <w:rPr>
          <w:rFonts w:hint="eastAsia"/>
          <w:color w:val="FF0000"/>
          <w:lang w:val="en-US" w:eastAsia="zh-CN"/>
        </w:rPr>
        <w:t>3</w:t>
      </w:r>
      <w:r>
        <w:rPr>
          <w:rFonts w:hint="eastAsia"/>
          <w:color w:val="FF0000"/>
          <w:lang w:eastAsia="zh-CN"/>
        </w:rPr>
        <w:t>）在特殊条款行权时，规模变动表中的处理规则：</w:t>
      </w:r>
      <w:r>
        <w:rPr>
          <w:rFonts w:hint="eastAsia"/>
          <w:lang w:eastAsia="zh-CN"/>
        </w:rPr>
        <w:t>规模变动表中的【变动日期】为特殊条款行权结果中的</w:t>
      </w:r>
      <w:r>
        <w:rPr>
          <w:rFonts w:hint="eastAsia"/>
          <w:color w:val="FF0000"/>
          <w:lang w:eastAsia="zh-CN"/>
        </w:rPr>
        <w:t>行权日期</w:t>
      </w:r>
      <w:r>
        <w:rPr>
          <w:rFonts w:hint="eastAsia"/>
          <w:lang w:eastAsia="zh-CN"/>
        </w:rPr>
        <w:t>。特殊条款主要包括债券回售、赎回、转换、转售、减记、注销。债券规模变动情况主要取债券特殊条款行权的结果公告。债券规模每变动一次，债券规模变动表就增加一条记录。</w:t>
      </w:r>
    </w:p>
    <w:p>
      <w:pPr>
        <w:numPr>
          <w:ilvl w:val="0"/>
          <w:numId w:val="0"/>
        </w:numPr>
        <w:ind w:leftChars="0"/>
        <w:rPr>
          <w:rFonts w:hint="eastAsia"/>
          <w:lang w:eastAsia="zh-CN"/>
        </w:rPr>
      </w:pPr>
      <w:r>
        <w:rPr>
          <w:rFonts w:hint="eastAsia"/>
          <w:lang w:val="en-US" w:eastAsia="zh-CN"/>
        </w:rPr>
        <w:t>3.1中国债券信息网</w:t>
      </w:r>
      <w:r>
        <w:rPr>
          <w:rFonts w:hint="eastAsia"/>
          <w:lang w:eastAsia="zh-CN"/>
        </w:rPr>
        <w:t>数据源：</w:t>
      </w:r>
    </w:p>
    <w:p>
      <w:pPr>
        <w:numPr>
          <w:ilvl w:val="0"/>
          <w:numId w:val="0"/>
        </w:numPr>
        <w:ind w:leftChars="0"/>
        <w:rPr>
          <w:rFonts w:hint="eastAsia"/>
          <w:lang w:eastAsia="zh-CN"/>
        </w:rPr>
      </w:pPr>
      <w:r>
        <w:rPr>
          <w:rFonts w:hint="eastAsia"/>
          <w:lang w:eastAsia="zh-CN"/>
        </w:rPr>
        <w:t>中国债券信息网数据源</w:t>
      </w:r>
      <w:r>
        <w:rPr>
          <w:rFonts w:hint="eastAsia"/>
          <w:lang w:val="en-US" w:eastAsia="zh-CN"/>
        </w:rPr>
        <w:t>1</w:t>
      </w:r>
      <w:r>
        <w:rPr>
          <w:rFonts w:hint="eastAsia"/>
          <w:lang w:eastAsia="zh-CN"/>
        </w:rPr>
        <w:t>：</w:t>
      </w:r>
      <w:r>
        <w:rPr>
          <w:rFonts w:hint="eastAsia"/>
          <w:lang w:eastAsia="zh-CN"/>
        </w:rPr>
        <w:fldChar w:fldCharType="begin"/>
      </w:r>
      <w:r>
        <w:rPr>
          <w:rFonts w:hint="eastAsia"/>
          <w:lang w:eastAsia="zh-CN"/>
        </w:rPr>
        <w:instrText xml:space="preserve"> HYPERLINK "http://www.chinabond.com.cn/Channel/9429904" </w:instrText>
      </w:r>
      <w:r>
        <w:rPr>
          <w:rFonts w:hint="eastAsia"/>
          <w:lang w:eastAsia="zh-CN"/>
        </w:rPr>
        <w:fldChar w:fldCharType="separate"/>
      </w:r>
      <w:r>
        <w:rPr>
          <w:rStyle w:val="30"/>
          <w:rFonts w:hint="eastAsia"/>
          <w:lang w:eastAsia="zh-CN"/>
        </w:rPr>
        <w:t>http://www.chinabond.com.cn/Channel/9429904</w:t>
      </w:r>
      <w:r>
        <w:rPr>
          <w:rFonts w:hint="eastAsia"/>
          <w:lang w:eastAsia="zh-CN"/>
        </w:rPr>
        <w:fldChar w:fldCharType="end"/>
      </w:r>
    </w:p>
    <w:p>
      <w:pPr>
        <w:pStyle w:val="4"/>
        <w:ind w:left="0" w:leftChars="0" w:firstLine="0" w:firstLineChars="0"/>
        <w:rPr>
          <w:rFonts w:hint="eastAsia"/>
          <w:lang w:eastAsia="zh-CN"/>
        </w:rPr>
      </w:pPr>
      <w:r>
        <w:rPr>
          <w:rFonts w:hint="eastAsia"/>
          <w:lang w:val="en-US" w:eastAsia="zh-CN"/>
        </w:rPr>
        <w:t>中国债券信息网数据源2：</w:t>
      </w:r>
      <w:r>
        <w:rPr>
          <w:rFonts w:hint="eastAsia"/>
          <w:lang w:val="en-US" w:eastAsia="zh-CN"/>
        </w:rPr>
        <w:fldChar w:fldCharType="begin"/>
      </w:r>
      <w:r>
        <w:rPr>
          <w:rFonts w:hint="eastAsia"/>
          <w:lang w:val="en-US" w:eastAsia="zh-CN"/>
        </w:rPr>
        <w:instrText xml:space="preserve"> HYPERLINK "http://www.chinabond.com.cn/Channel/21000" </w:instrText>
      </w:r>
      <w:r>
        <w:rPr>
          <w:rFonts w:hint="eastAsia"/>
          <w:lang w:val="en-US" w:eastAsia="zh-CN"/>
        </w:rPr>
        <w:fldChar w:fldCharType="separate"/>
      </w:r>
      <w:r>
        <w:rPr>
          <w:rStyle w:val="30"/>
          <w:rFonts w:hint="eastAsia"/>
          <w:lang w:val="en-US" w:eastAsia="zh-CN"/>
        </w:rPr>
        <w:t>http://www.chinabond.com.cn/Channel/21000</w:t>
      </w:r>
      <w:r>
        <w:rPr>
          <w:rFonts w:hint="eastAsia"/>
          <w:lang w:val="en-US" w:eastAsia="zh-CN"/>
        </w:rPr>
        <w:fldChar w:fldCharType="end"/>
      </w:r>
    </w:p>
    <w:p>
      <w:pPr>
        <w:numPr>
          <w:ilvl w:val="0"/>
          <w:numId w:val="0"/>
        </w:numPr>
        <w:ind w:leftChars="0"/>
        <w:rPr>
          <w:rFonts w:hint="eastAsia"/>
          <w:lang w:eastAsia="zh-CN"/>
        </w:rPr>
      </w:pPr>
      <w:r>
        <w:rPr>
          <w:rFonts w:hint="eastAsia"/>
          <w:lang w:eastAsia="zh-CN"/>
        </w:rPr>
        <w:t>具体位置如下：</w:t>
      </w:r>
    </w:p>
    <w:p>
      <w:pPr>
        <w:numPr>
          <w:ilvl w:val="0"/>
          <w:numId w:val="0"/>
        </w:numPr>
        <w:ind w:leftChars="0"/>
        <w:rPr>
          <w:rFonts w:hint="eastAsia"/>
          <w:lang w:eastAsia="zh-CN"/>
        </w:rPr>
      </w:pPr>
      <w:r>
        <w:rPr>
          <w:bdr w:val="single" w:sz="4" w:space="0"/>
        </w:rPr>
        <w:drawing>
          <wp:inline distT="0" distB="0" distL="114300" distR="114300">
            <wp:extent cx="5268595" cy="2319655"/>
            <wp:effectExtent l="0" t="0" r="8255" b="44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6"/>
                    <a:stretch>
                      <a:fillRect/>
                    </a:stretch>
                  </pic:blipFill>
                  <pic:spPr>
                    <a:xfrm>
                      <a:off x="0" y="0"/>
                      <a:ext cx="5268595" cy="2319655"/>
                    </a:xfrm>
                    <a:prstGeom prst="rect">
                      <a:avLst/>
                    </a:prstGeom>
                    <a:noFill/>
                    <a:ln w="9525">
                      <a:noFill/>
                    </a:ln>
                  </pic:spPr>
                </pic:pic>
              </a:graphicData>
            </a:graphic>
          </wp:inline>
        </w:drawing>
      </w:r>
    </w:p>
    <w:p>
      <w:pPr>
        <w:pStyle w:val="4"/>
        <w:ind w:left="0" w:leftChars="0" w:firstLine="0" w:firstLineChars="0"/>
      </w:pPr>
      <w:r>
        <w:rPr>
          <w:bdr w:val="single" w:sz="4" w:space="0"/>
        </w:rPr>
        <w:drawing>
          <wp:inline distT="0" distB="0" distL="114300" distR="114300">
            <wp:extent cx="5269865" cy="1800225"/>
            <wp:effectExtent l="0" t="0" r="6985" b="952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7"/>
                    <a:stretch>
                      <a:fillRect/>
                    </a:stretch>
                  </pic:blipFill>
                  <pic:spPr>
                    <a:xfrm>
                      <a:off x="0" y="0"/>
                      <a:ext cx="5269865" cy="1800225"/>
                    </a:xfrm>
                    <a:prstGeom prst="rect">
                      <a:avLst/>
                    </a:prstGeom>
                    <a:noFill/>
                    <a:ln w="9525">
                      <a:noFill/>
                    </a:ln>
                  </pic:spPr>
                </pic:pic>
              </a:graphicData>
            </a:graphic>
          </wp:inline>
        </w:drawing>
      </w:r>
    </w:p>
    <w:p>
      <w:pPr>
        <w:pStyle w:val="4"/>
        <w:ind w:left="0" w:leftChars="0" w:firstLine="0" w:firstLineChars="0"/>
        <w:rPr>
          <w:rFonts w:hint="eastAsia"/>
          <w:lang w:val="en-US" w:eastAsia="zh-CN"/>
        </w:rPr>
      </w:pPr>
      <w:r>
        <w:rPr>
          <w:rFonts w:hint="eastAsia"/>
          <w:lang w:val="en-US" w:eastAsia="zh-CN"/>
        </w:rPr>
        <w:t>3.2中国货币网数据源</w:t>
      </w:r>
    </w:p>
    <w:p>
      <w:pPr>
        <w:pStyle w:val="4"/>
        <w:ind w:left="0" w:leftChars="0" w:firstLine="0" w:firstLineChars="0"/>
        <w:rPr>
          <w:rFonts w:hint="eastAsia"/>
          <w:lang w:val="en-US" w:eastAsia="zh-CN"/>
        </w:rPr>
      </w:pPr>
      <w:r>
        <w:rPr>
          <w:rFonts w:hint="eastAsia"/>
          <w:lang w:val="en-US" w:eastAsia="zh-CN"/>
        </w:rPr>
        <w:t>中国货币网数据源1：</w:t>
      </w:r>
      <w:r>
        <w:rPr>
          <w:rFonts w:hint="eastAsia"/>
          <w:lang w:val="en-US" w:eastAsia="zh-CN"/>
        </w:rPr>
        <w:fldChar w:fldCharType="begin"/>
      </w:r>
      <w:r>
        <w:rPr>
          <w:rFonts w:hint="eastAsia"/>
          <w:lang w:val="en-US" w:eastAsia="zh-CN"/>
        </w:rPr>
        <w:instrText xml:space="preserve"> HYPERLINK "http://www.chinamoney.com.cn/fe/Channel/8298" </w:instrText>
      </w:r>
      <w:r>
        <w:rPr>
          <w:rFonts w:hint="eastAsia"/>
          <w:lang w:val="en-US" w:eastAsia="zh-CN"/>
        </w:rPr>
        <w:fldChar w:fldCharType="separate"/>
      </w:r>
      <w:r>
        <w:rPr>
          <w:rStyle w:val="30"/>
          <w:rFonts w:hint="eastAsia"/>
          <w:lang w:val="en-US" w:eastAsia="zh-CN"/>
        </w:rPr>
        <w:t>http://www.chinamoney.com.cn/fe/Channel/8298</w:t>
      </w:r>
      <w:r>
        <w:rPr>
          <w:rFonts w:hint="eastAsia"/>
          <w:lang w:val="en-US" w:eastAsia="zh-CN"/>
        </w:rPr>
        <w:fldChar w:fldCharType="end"/>
      </w:r>
    </w:p>
    <w:p>
      <w:pPr>
        <w:pStyle w:val="4"/>
        <w:ind w:left="0" w:leftChars="0" w:firstLine="0" w:firstLineChars="0"/>
        <w:rPr>
          <w:rFonts w:hint="eastAsia"/>
          <w:lang w:val="en-US" w:eastAsia="zh-CN"/>
        </w:rPr>
      </w:pPr>
      <w:r>
        <w:rPr>
          <w:rFonts w:hint="eastAsia"/>
          <w:lang w:val="en-US" w:eastAsia="zh-CN"/>
        </w:rPr>
        <w:t>中国货币网数据源2：</w:t>
      </w:r>
      <w:r>
        <w:rPr>
          <w:rFonts w:hint="eastAsia"/>
          <w:lang w:val="en-US" w:eastAsia="zh-CN"/>
        </w:rPr>
        <w:fldChar w:fldCharType="begin"/>
      </w:r>
      <w:r>
        <w:rPr>
          <w:rFonts w:hint="eastAsia"/>
          <w:lang w:val="en-US" w:eastAsia="zh-CN"/>
        </w:rPr>
        <w:instrText xml:space="preserve"> HYPERLINK "http://www.chinamoney.com.cn/fe/Channel/13657" </w:instrText>
      </w:r>
      <w:r>
        <w:rPr>
          <w:rFonts w:hint="eastAsia"/>
          <w:lang w:val="en-US" w:eastAsia="zh-CN"/>
        </w:rPr>
        <w:fldChar w:fldCharType="separate"/>
      </w:r>
      <w:r>
        <w:rPr>
          <w:rStyle w:val="30"/>
          <w:rFonts w:hint="eastAsia"/>
          <w:lang w:val="en-US" w:eastAsia="zh-CN"/>
        </w:rPr>
        <w:t>http://www.chinamoney.com.cn/fe/Channel/13657</w:t>
      </w:r>
      <w:r>
        <w:rPr>
          <w:rFonts w:hint="eastAsia"/>
          <w:lang w:val="en-US" w:eastAsia="zh-CN"/>
        </w:rPr>
        <w:fldChar w:fldCharType="end"/>
      </w:r>
    </w:p>
    <w:p>
      <w:pPr>
        <w:pStyle w:val="4"/>
        <w:ind w:left="0" w:leftChars="0" w:firstLine="0" w:firstLineChars="0"/>
        <w:rPr>
          <w:rFonts w:hint="eastAsia"/>
          <w:lang w:val="en-US" w:eastAsia="zh-CN"/>
        </w:rPr>
      </w:pPr>
      <w:r>
        <w:rPr>
          <w:rFonts w:hint="eastAsia"/>
          <w:lang w:val="en-US" w:eastAsia="zh-CN"/>
        </w:rPr>
        <w:t>具体位置如下：</w:t>
      </w:r>
    </w:p>
    <w:p>
      <w:pPr>
        <w:pStyle w:val="4"/>
        <w:ind w:left="0" w:leftChars="0" w:firstLine="0" w:firstLineChars="0"/>
        <w:rPr>
          <w:bdr w:val="single" w:sz="4" w:space="0"/>
        </w:rPr>
      </w:pPr>
      <w:r>
        <w:rPr>
          <w:bdr w:val="single" w:sz="4" w:space="0"/>
        </w:rPr>
        <w:drawing>
          <wp:inline distT="0" distB="0" distL="114300" distR="114300">
            <wp:extent cx="5274310" cy="2634615"/>
            <wp:effectExtent l="0" t="0" r="254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a:stretch>
                      <a:fillRect/>
                    </a:stretch>
                  </pic:blipFill>
                  <pic:spPr>
                    <a:xfrm>
                      <a:off x="0" y="0"/>
                      <a:ext cx="5274310" cy="2634615"/>
                    </a:xfrm>
                    <a:prstGeom prst="rect">
                      <a:avLst/>
                    </a:prstGeom>
                    <a:noFill/>
                    <a:ln w="9525">
                      <a:noFill/>
                    </a:ln>
                  </pic:spPr>
                </pic:pic>
              </a:graphicData>
            </a:graphic>
          </wp:inline>
        </w:drawing>
      </w:r>
    </w:p>
    <w:p>
      <w:pPr>
        <w:pStyle w:val="4"/>
        <w:ind w:left="0" w:leftChars="0" w:firstLine="0" w:firstLineChars="0"/>
        <w:rPr>
          <w:rFonts w:hint="eastAsia"/>
          <w:bdr w:val="single" w:sz="4" w:space="0"/>
          <w:lang w:val="en-US" w:eastAsia="zh-CN"/>
        </w:rPr>
      </w:pPr>
      <w:r>
        <w:rPr>
          <w:bdr w:val="single" w:sz="4" w:space="0"/>
        </w:rPr>
        <w:drawing>
          <wp:inline distT="0" distB="0" distL="114300" distR="114300">
            <wp:extent cx="5274310" cy="2228850"/>
            <wp:effectExtent l="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5274310" cy="2228850"/>
                    </a:xfrm>
                    <a:prstGeom prst="rect">
                      <a:avLst/>
                    </a:prstGeom>
                    <a:noFill/>
                    <a:ln w="9525">
                      <a:noFill/>
                    </a:ln>
                  </pic:spPr>
                </pic:pic>
              </a:graphicData>
            </a:graphic>
          </wp:inline>
        </w:drawing>
      </w:r>
    </w:p>
    <w:p>
      <w:pPr>
        <w:pStyle w:val="4"/>
        <w:ind w:left="0" w:leftChars="0" w:firstLine="0" w:firstLineChars="0"/>
        <w:rPr>
          <w:rFonts w:hint="eastAsia"/>
          <w:lang w:val="en-US" w:eastAsia="zh-CN"/>
        </w:rPr>
      </w:pPr>
      <w:r>
        <w:rPr>
          <w:rFonts w:hint="eastAsia"/>
          <w:lang w:val="en-US" w:eastAsia="zh-CN"/>
        </w:rPr>
        <w:t>3.3上海清算所数据源：</w:t>
      </w:r>
      <w:r>
        <w:rPr>
          <w:rFonts w:hint="eastAsia"/>
          <w:lang w:val="en-US" w:eastAsia="zh-CN"/>
        </w:rPr>
        <w:fldChar w:fldCharType="begin"/>
      </w:r>
      <w:r>
        <w:rPr>
          <w:rFonts w:hint="eastAsia"/>
          <w:lang w:val="en-US" w:eastAsia="zh-CN"/>
        </w:rPr>
        <w:instrText xml:space="preserve"> HYPERLINK "http://www.shclearing.com/xxpl/dfzx/index_5.html" </w:instrText>
      </w:r>
      <w:r>
        <w:rPr>
          <w:rFonts w:hint="eastAsia"/>
          <w:lang w:val="en-US" w:eastAsia="zh-CN"/>
        </w:rPr>
        <w:fldChar w:fldCharType="separate"/>
      </w:r>
      <w:r>
        <w:rPr>
          <w:rStyle w:val="30"/>
          <w:rFonts w:hint="eastAsia"/>
          <w:lang w:val="en-US" w:eastAsia="zh-CN"/>
        </w:rPr>
        <w:t>http://www.shclearing.com/xxpl/dfzx/index_5.html</w:t>
      </w:r>
      <w:r>
        <w:rPr>
          <w:rFonts w:hint="eastAsia"/>
          <w:lang w:val="en-US" w:eastAsia="zh-CN"/>
        </w:rPr>
        <w:fldChar w:fldCharType="end"/>
      </w:r>
    </w:p>
    <w:p>
      <w:pPr>
        <w:keepNext w:val="0"/>
        <w:keepLines w:val="0"/>
        <w:widowControl/>
        <w:suppressLineNumbers w:val="0"/>
        <w:pBdr>
          <w:bottom w:val="none" w:color="auto" w:sz="0" w:space="0"/>
        </w:pBdr>
        <w:spacing w:before="0" w:beforeAutospacing="0" w:after="0" w:afterAutospacing="0" w:line="240" w:lineRule="auto"/>
        <w:ind w:left="0" w:right="0"/>
        <w:jc w:val="both"/>
        <w:rPr>
          <w:bdr w:val="single" w:sz="4" w:space="0"/>
        </w:rPr>
      </w:pPr>
      <w:r>
        <w:rPr>
          <w:bdr w:val="single" w:sz="4" w:space="0"/>
        </w:rPr>
        <w:drawing>
          <wp:inline distT="0" distB="0" distL="114300" distR="114300">
            <wp:extent cx="5269230" cy="2350770"/>
            <wp:effectExtent l="0" t="0" r="7620" b="1143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0"/>
                    <a:stretch>
                      <a:fillRect/>
                    </a:stretch>
                  </pic:blipFill>
                  <pic:spPr>
                    <a:xfrm>
                      <a:off x="0" y="0"/>
                      <a:ext cx="5269230" cy="2350770"/>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lang w:val="en-US" w:eastAsia="zh-CN"/>
        </w:rPr>
      </w:pPr>
      <w:r>
        <w:rPr>
          <w:rFonts w:hint="eastAsia"/>
          <w:lang w:val="en-US" w:eastAsia="zh-CN"/>
        </w:rPr>
        <w:t>3.4上海证券交易所数据源：</w:t>
      </w:r>
      <w:r>
        <w:rPr>
          <w:rFonts w:hint="eastAsia"/>
          <w:lang w:val="en-US" w:eastAsia="zh-CN"/>
        </w:rPr>
        <w:fldChar w:fldCharType="begin"/>
      </w:r>
      <w:r>
        <w:rPr>
          <w:rFonts w:hint="eastAsia"/>
          <w:lang w:val="en-US" w:eastAsia="zh-CN"/>
        </w:rPr>
        <w:instrText xml:space="preserve"> HYPERLINK "http://www.sse.com.cn/disclosure/bond/announcement/corporate/" </w:instrText>
      </w:r>
      <w:r>
        <w:rPr>
          <w:rFonts w:hint="eastAsia"/>
          <w:lang w:val="en-US" w:eastAsia="zh-CN"/>
        </w:rPr>
        <w:fldChar w:fldCharType="separate"/>
      </w:r>
      <w:r>
        <w:rPr>
          <w:rStyle w:val="30"/>
          <w:rFonts w:hint="eastAsia"/>
          <w:lang w:val="en-US" w:eastAsia="zh-CN"/>
        </w:rPr>
        <w:t>http://www.sse.com.cn/disclosure/bond/announcement/corporate/</w:t>
      </w:r>
      <w:r>
        <w:rPr>
          <w:rFonts w:hint="eastAsia"/>
          <w:lang w:val="en-US" w:eastAsia="zh-CN"/>
        </w:rPr>
        <w:fldChar w:fldCharType="end"/>
      </w:r>
    </w:p>
    <w:p>
      <w:pPr>
        <w:keepNext w:val="0"/>
        <w:keepLines w:val="0"/>
        <w:widowControl/>
        <w:suppressLineNumbers w:val="0"/>
        <w:pBdr>
          <w:bottom w:val="none" w:color="auto" w:sz="0" w:space="0"/>
        </w:pBdr>
        <w:spacing w:before="0" w:beforeAutospacing="0" w:after="0" w:afterAutospacing="0" w:line="240" w:lineRule="auto"/>
        <w:ind w:left="0" w:right="0"/>
        <w:jc w:val="both"/>
        <w:rPr>
          <w:bdr w:val="single" w:sz="4" w:space="0"/>
        </w:rPr>
      </w:pPr>
      <w:r>
        <w:rPr>
          <w:bdr w:val="single" w:sz="4" w:space="0"/>
        </w:rPr>
        <w:drawing>
          <wp:inline distT="0" distB="0" distL="114300" distR="114300">
            <wp:extent cx="5273040" cy="2961005"/>
            <wp:effectExtent l="0" t="0" r="3810"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1"/>
                    <a:stretch>
                      <a:fillRect/>
                    </a:stretch>
                  </pic:blipFill>
                  <pic:spPr>
                    <a:xfrm>
                      <a:off x="0" y="0"/>
                      <a:ext cx="5273040" cy="2961005"/>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lang w:val="en-US" w:eastAsia="zh-CN"/>
        </w:rPr>
      </w:pPr>
      <w:r>
        <w:rPr>
          <w:rFonts w:hint="eastAsia"/>
          <w:lang w:val="en-US" w:eastAsia="zh-CN"/>
        </w:rPr>
        <w:t>3.5深圳证券交易所数据源：</w:t>
      </w:r>
      <w:r>
        <w:rPr>
          <w:rFonts w:hint="eastAsia"/>
          <w:lang w:val="en-US" w:eastAsia="zh-CN"/>
        </w:rPr>
        <w:fldChar w:fldCharType="begin"/>
      </w:r>
      <w:r>
        <w:rPr>
          <w:rFonts w:hint="eastAsia"/>
          <w:lang w:val="en-US" w:eastAsia="zh-CN"/>
        </w:rPr>
        <w:instrText xml:space="preserve"> HYPERLINK "http://disclosure.szse.cn/m/zqgg.htm" </w:instrText>
      </w:r>
      <w:r>
        <w:rPr>
          <w:rFonts w:hint="eastAsia"/>
          <w:lang w:val="en-US" w:eastAsia="zh-CN"/>
        </w:rPr>
        <w:fldChar w:fldCharType="separate"/>
      </w:r>
      <w:r>
        <w:rPr>
          <w:rStyle w:val="30"/>
          <w:rFonts w:hint="eastAsia"/>
          <w:lang w:val="en-US" w:eastAsia="zh-CN"/>
        </w:rPr>
        <w:t>http://disclosure.szse.cn/m/zqgg.htm</w:t>
      </w:r>
      <w:r>
        <w:rPr>
          <w:rFonts w:hint="eastAsia"/>
          <w:lang w:val="en-US" w:eastAsia="zh-CN"/>
        </w:rPr>
        <w:fldChar w:fldCharType="end"/>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lang w:val="en-US" w:eastAsia="zh-CN"/>
        </w:rPr>
      </w:pPr>
      <w:r>
        <w:rPr>
          <w:bdr w:val="single" w:sz="4" w:space="0"/>
        </w:rPr>
        <w:drawing>
          <wp:inline distT="0" distB="0" distL="114300" distR="114300">
            <wp:extent cx="5266690" cy="2186940"/>
            <wp:effectExtent l="0" t="0" r="10160"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2"/>
                    <a:stretch>
                      <a:fillRect/>
                    </a:stretch>
                  </pic:blipFill>
                  <pic:spPr>
                    <a:xfrm>
                      <a:off x="0" y="0"/>
                      <a:ext cx="5266690" cy="2186940"/>
                    </a:xfrm>
                    <a:prstGeom prst="rect">
                      <a:avLst/>
                    </a:prstGeom>
                    <a:noFill/>
                    <a:ln w="9525">
                      <a:noFill/>
                    </a:ln>
                  </pic:spPr>
                </pic:pic>
              </a:graphicData>
            </a:graphic>
          </wp:inline>
        </w:drawing>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ascii="宋体" w:hAnsi="宋体" w:eastAsia="宋体" w:cs="宋体"/>
          <w:color w:val="000000"/>
          <w:kern w:val="0"/>
          <w:sz w:val="21"/>
          <w:szCs w:val="21"/>
          <w:u w:val="none"/>
          <w:lang w:val="en-US" w:eastAsia="zh-CN" w:bidi="ar"/>
        </w:rPr>
      </w:pPr>
      <w:r>
        <w:rPr>
          <w:rFonts w:hint="eastAsia"/>
          <w:lang w:val="en-US" w:eastAsia="zh-CN"/>
        </w:rPr>
        <w:t>样例1</w:t>
      </w:r>
      <w:r>
        <w:rPr>
          <w:rFonts w:hint="eastAsia" w:ascii="宋体" w:hAnsi="宋体" w:eastAsia="宋体" w:cs="宋体"/>
          <w:b w:val="0"/>
          <w:bCs w:val="0"/>
          <w:sz w:val="21"/>
          <w:szCs w:val="21"/>
          <w:lang w:val="en-US" w:eastAsia="zh-CN"/>
        </w:rPr>
        <w:t>：</w:t>
      </w:r>
      <w:r>
        <w:rPr>
          <w:rStyle w:val="25"/>
          <w:rFonts w:hint="eastAsia" w:ascii="宋体" w:hAnsi="宋体" w:eastAsia="宋体" w:cs="宋体"/>
          <w:b w:val="0"/>
          <w:bCs w:val="0"/>
          <w:color w:val="000000"/>
          <w:kern w:val="0"/>
          <w:sz w:val="21"/>
          <w:szCs w:val="21"/>
          <w:u w:val="none"/>
          <w:lang w:val="en-US" w:eastAsia="zh-CN" w:bidi="ar"/>
        </w:rPr>
        <w:t>11泰隆次级债（1120006）含权债券履行结果公告</w:t>
      </w:r>
      <w:r>
        <w:rPr>
          <w:rFonts w:hint="eastAsia" w:ascii="宋体" w:hAnsi="宋体" w:eastAsia="宋体" w:cs="宋体"/>
          <w:b w:val="0"/>
          <w:bCs w:val="0"/>
          <w:color w:val="000000"/>
          <w:kern w:val="0"/>
          <w:sz w:val="21"/>
          <w:szCs w:val="21"/>
          <w:u w:val="none"/>
          <w:lang w:val="en-US" w:eastAsia="zh-CN" w:bidi="ar"/>
        </w:rPr>
        <w:t xml:space="preserve"> </w:t>
      </w:r>
      <w:r>
        <w:rPr>
          <w:rFonts w:hint="eastAsia" w:ascii="宋体" w:hAnsi="宋体" w:eastAsia="宋体" w:cs="宋体"/>
          <w:color w:val="454545"/>
          <w:kern w:val="0"/>
          <w:sz w:val="21"/>
          <w:szCs w:val="21"/>
          <w:u w:val="none"/>
          <w:lang w:val="en-US" w:eastAsia="zh-CN" w:bidi="ar"/>
        </w:rPr>
        <w:t>中债托管[2016]088号</w:t>
      </w:r>
      <w:r>
        <w:rPr>
          <w:rFonts w:hint="eastAsia" w:ascii="宋体" w:hAnsi="宋体" w:eastAsia="宋体" w:cs="宋体"/>
          <w:color w:val="000000"/>
          <w:kern w:val="0"/>
          <w:sz w:val="21"/>
          <w:szCs w:val="21"/>
          <w:u w:val="none"/>
          <w:lang w:val="en-US" w:eastAsia="zh-CN" w:bidi="ar"/>
        </w:rPr>
        <w:t xml:space="preserve"> </w:t>
      </w:r>
    </w:p>
    <w:p>
      <w:pPr>
        <w:keepNext w:val="0"/>
        <w:keepLines w:val="0"/>
        <w:widowControl/>
        <w:suppressLineNumbers w:val="0"/>
        <w:pBdr>
          <w:bottom w:val="none" w:color="auto" w:sz="0" w:space="0"/>
        </w:pBdr>
        <w:spacing w:before="0" w:beforeAutospacing="0" w:after="0" w:afterAutospacing="0" w:line="240" w:lineRule="auto"/>
        <w:ind w:left="0" w:right="0"/>
        <w:jc w:val="both"/>
        <w:rPr>
          <w:rFonts w:hint="eastAsia"/>
          <w:lang w:val="en-US" w:eastAsia="zh-CN"/>
        </w:rPr>
      </w:pPr>
      <w:r>
        <w:rPr>
          <w:rFonts w:hint="eastAsia" w:ascii="宋体" w:hAnsi="宋体" w:cs="宋体"/>
          <w:color w:val="000000"/>
          <w:kern w:val="0"/>
          <w:sz w:val="21"/>
          <w:szCs w:val="21"/>
          <w:u w:val="none"/>
          <w:lang w:val="en-US" w:eastAsia="zh-CN" w:bidi="ar"/>
        </w:rPr>
        <w:t>中国债券信息网</w:t>
      </w:r>
      <w:r>
        <w:rPr>
          <w:rFonts w:hint="eastAsia"/>
          <w:lang w:val="en-US" w:eastAsia="zh-CN"/>
        </w:rPr>
        <w:t>数据源：</w:t>
      </w:r>
      <w:r>
        <w:rPr>
          <w:rFonts w:hint="eastAsia"/>
          <w:lang w:val="en-US" w:eastAsia="zh-CN"/>
        </w:rPr>
        <w:fldChar w:fldCharType="begin"/>
      </w:r>
      <w:r>
        <w:rPr>
          <w:rFonts w:hint="eastAsia"/>
          <w:lang w:val="en-US" w:eastAsia="zh-CN"/>
        </w:rPr>
        <w:instrText xml:space="preserve"> HYPERLINK "http://www.chinabond.com.cn/Info/23963951" </w:instrText>
      </w:r>
      <w:r>
        <w:rPr>
          <w:rFonts w:hint="eastAsia"/>
          <w:lang w:val="en-US" w:eastAsia="zh-CN"/>
        </w:rPr>
        <w:fldChar w:fldCharType="separate"/>
      </w:r>
      <w:r>
        <w:rPr>
          <w:rStyle w:val="30"/>
          <w:rFonts w:hint="eastAsia"/>
          <w:lang w:val="en-US" w:eastAsia="zh-CN"/>
        </w:rPr>
        <w:t>http://www.chinabond.com.cn/Info/23963951</w:t>
      </w:r>
      <w:r>
        <w:rPr>
          <w:rFonts w:hint="eastAsia"/>
          <w:lang w:val="en-US" w:eastAsia="zh-CN"/>
        </w:rPr>
        <w:fldChar w:fldCharType="end"/>
      </w:r>
    </w:p>
    <w:p>
      <w:pPr>
        <w:pStyle w:val="4"/>
        <w:ind w:left="0" w:leftChars="0" w:firstLine="0" w:firstLineChars="0"/>
        <w:rPr>
          <w:bdr w:val="single" w:sz="4" w:space="0"/>
        </w:rPr>
      </w:pPr>
      <w:r>
        <w:rPr>
          <w:bdr w:val="single" w:sz="4" w:space="0"/>
        </w:rPr>
        <w:drawing>
          <wp:inline distT="0" distB="0" distL="114300" distR="114300">
            <wp:extent cx="5271770" cy="2237105"/>
            <wp:effectExtent l="0" t="0" r="5080"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3"/>
                    <a:stretch>
                      <a:fillRect/>
                    </a:stretch>
                  </pic:blipFill>
                  <pic:spPr>
                    <a:xfrm>
                      <a:off x="0" y="0"/>
                      <a:ext cx="5271770" cy="2237105"/>
                    </a:xfrm>
                    <a:prstGeom prst="rect">
                      <a:avLst/>
                    </a:prstGeom>
                    <a:noFill/>
                    <a:ln w="9525">
                      <a:noFill/>
                    </a:ln>
                  </pic:spPr>
                </pic:pic>
              </a:graphicData>
            </a:graphic>
          </wp:inline>
        </w:drawing>
      </w:r>
    </w:p>
    <w:p>
      <w:pPr>
        <w:pStyle w:val="4"/>
        <w:ind w:left="0" w:leftChars="0" w:firstLine="0" w:firstLineChars="0"/>
        <w:rPr>
          <w:rFonts w:hint="eastAsia"/>
          <w:lang w:val="en-US" w:eastAsia="zh-CN"/>
        </w:rPr>
      </w:pPr>
      <w:r>
        <w:rPr>
          <w:rFonts w:hint="eastAsia"/>
          <w:lang w:val="en-US" w:eastAsia="zh-CN"/>
        </w:rPr>
        <w:t>从公告内容上可以看出：行权日期为</w:t>
      </w:r>
      <w:r>
        <w:rPr>
          <w:rFonts w:hint="eastAsia"/>
          <w:color w:val="FF0000"/>
          <w:lang w:val="en-US" w:eastAsia="zh-CN"/>
        </w:rPr>
        <w:t>赎回结果中的行权</w:t>
      </w:r>
      <w:bookmarkStart w:id="49" w:name="_GoBack"/>
      <w:bookmarkEnd w:id="49"/>
      <w:r>
        <w:rPr>
          <w:rFonts w:hint="eastAsia"/>
          <w:color w:val="FF0000"/>
          <w:lang w:val="en-US" w:eastAsia="zh-CN"/>
        </w:rPr>
        <w:t>日期</w:t>
      </w:r>
      <w:r>
        <w:rPr>
          <w:rFonts w:hint="eastAsia"/>
          <w:lang w:val="en-US" w:eastAsia="zh-CN"/>
        </w:rPr>
        <w:t>2016年6月30日，公告日期为2016年7月1日，本次赎回规模为3.5亿元，变动规模为-3.5亿元，债券剩余规模变为0。变动类型为债券赎回。</w:t>
      </w:r>
    </w:p>
    <w:p>
      <w:pPr>
        <w:pStyle w:val="4"/>
        <w:ind w:left="0" w:leftChars="0" w:firstLine="0" w:firstLineChars="0"/>
        <w:rPr>
          <w:rFonts w:hint="eastAsia"/>
          <w:color w:val="00B0F0"/>
          <w:lang w:val="en-US" w:eastAsia="zh-CN"/>
        </w:rPr>
      </w:pPr>
      <w:r>
        <w:rPr>
          <w:rFonts w:hint="eastAsia"/>
          <w:color w:val="00B0F0"/>
          <w:lang w:val="en-US" w:eastAsia="zh-CN"/>
        </w:rPr>
        <w:t>债券名称：</w:t>
      </w:r>
      <w:r>
        <w:rPr>
          <w:rFonts w:hint="eastAsia"/>
          <w:color w:val="00B0F0"/>
          <w:lang w:val="en-US" w:eastAsia="zh-CN"/>
        </w:rPr>
        <w:fldChar w:fldCharType="begin"/>
      </w:r>
      <w:r>
        <w:rPr>
          <w:rFonts w:hint="eastAsia"/>
          <w:color w:val="00B0F0"/>
          <w:lang w:val="en-US" w:eastAsia="zh-CN"/>
        </w:rPr>
        <w:instrText xml:space="preserve"> HYPERLINK "http://www.baidu.com/link?url=mNp0Z23nfyPb6ZmpjrC-LBysB2y1nJEUNNzJAcMVjfiSlzXlN7hjkSddaCADtPeU4pAFTN0FgsymRUPV8IQ_Qq" \t "https://www.baidu.com/_blank" </w:instrText>
      </w:r>
      <w:r>
        <w:rPr>
          <w:rFonts w:hint="eastAsia"/>
          <w:color w:val="00B0F0"/>
          <w:lang w:val="en-US" w:eastAsia="zh-CN"/>
        </w:rPr>
        <w:fldChar w:fldCharType="separate"/>
      </w:r>
      <w:r>
        <w:rPr>
          <w:rFonts w:hint="eastAsia"/>
          <w:color w:val="00B0F0"/>
          <w:lang w:val="en-US" w:eastAsia="zh-CN"/>
        </w:rPr>
        <w:t>浙江泰隆商业银行股份有限公司2011年次级债券</w:t>
      </w:r>
      <w:r>
        <w:rPr>
          <w:rFonts w:hint="eastAsia"/>
          <w:color w:val="00B0F0"/>
          <w:lang w:val="en-US" w:eastAsia="zh-CN"/>
        </w:rPr>
        <w:fldChar w:fldCharType="end"/>
      </w:r>
    </w:p>
    <w:p>
      <w:pPr>
        <w:pStyle w:val="4"/>
        <w:ind w:left="0" w:leftChars="0" w:firstLine="0" w:firstLineChars="0"/>
        <w:rPr>
          <w:rFonts w:hint="eastAsia"/>
          <w:color w:val="00B0F0"/>
          <w:lang w:val="en-US" w:eastAsia="zh-CN"/>
        </w:rPr>
      </w:pPr>
      <w:r>
        <w:rPr>
          <w:rFonts w:hint="eastAsia"/>
          <w:color w:val="00B0F0"/>
          <w:lang w:val="en-US" w:eastAsia="zh-CN"/>
        </w:rPr>
        <w:t>公告日期：20160701</w:t>
      </w:r>
    </w:p>
    <w:p>
      <w:pPr>
        <w:pStyle w:val="4"/>
        <w:ind w:left="0" w:leftChars="0" w:firstLine="0" w:firstLineChars="0"/>
        <w:rPr>
          <w:rFonts w:hint="eastAsia"/>
          <w:color w:val="00B0F0"/>
          <w:lang w:val="en-US" w:eastAsia="zh-CN"/>
        </w:rPr>
      </w:pPr>
      <w:r>
        <w:rPr>
          <w:rFonts w:hint="eastAsia"/>
          <w:color w:val="00B0F0"/>
          <w:lang w:val="en-US" w:eastAsia="zh-CN"/>
        </w:rPr>
        <w:t>变动日期：20160630</w:t>
      </w:r>
    </w:p>
    <w:p>
      <w:pPr>
        <w:pStyle w:val="4"/>
        <w:ind w:left="0" w:leftChars="0" w:firstLine="0" w:firstLineChars="0"/>
        <w:rPr>
          <w:rFonts w:hint="eastAsia"/>
          <w:color w:val="00B0F0"/>
          <w:lang w:val="en-US" w:eastAsia="zh-CN"/>
        </w:rPr>
      </w:pPr>
      <w:r>
        <w:rPr>
          <w:rFonts w:hint="eastAsia"/>
          <w:color w:val="00B0F0"/>
          <w:lang w:val="en-US" w:eastAsia="zh-CN"/>
        </w:rPr>
        <w:t>变动原因说明:债券行使赎回选择权</w:t>
      </w:r>
    </w:p>
    <w:p>
      <w:pPr>
        <w:pStyle w:val="4"/>
        <w:ind w:left="0" w:leftChars="0" w:firstLine="0" w:firstLineChars="0"/>
        <w:rPr>
          <w:rFonts w:hint="eastAsia"/>
          <w:color w:val="00B0F0"/>
          <w:lang w:val="en-US" w:eastAsia="zh-CN"/>
        </w:rPr>
      </w:pPr>
      <w:r>
        <w:rPr>
          <w:rFonts w:hint="eastAsia"/>
          <w:color w:val="00B0F0"/>
          <w:lang w:val="en-US" w:eastAsia="zh-CN"/>
        </w:rPr>
        <w:t>变动类型:债券赎回</w:t>
      </w:r>
    </w:p>
    <w:p>
      <w:pPr>
        <w:pStyle w:val="4"/>
        <w:ind w:left="0" w:leftChars="0" w:firstLine="0" w:firstLineChars="0"/>
        <w:rPr>
          <w:rFonts w:hint="eastAsia"/>
          <w:color w:val="00B0F0"/>
          <w:lang w:val="en-US" w:eastAsia="zh-CN"/>
        </w:rPr>
      </w:pPr>
      <w:r>
        <w:rPr>
          <w:rFonts w:hint="eastAsia"/>
          <w:color w:val="00B0F0"/>
          <w:lang w:val="en-US" w:eastAsia="zh-CN"/>
        </w:rPr>
        <w:t>变动规模(元)：-3.5亿元</w:t>
      </w:r>
    </w:p>
    <w:p>
      <w:pPr>
        <w:pStyle w:val="4"/>
        <w:ind w:left="0" w:leftChars="0" w:firstLine="0" w:firstLineChars="0"/>
        <w:rPr>
          <w:rFonts w:hint="eastAsia"/>
          <w:color w:val="00B0F0"/>
          <w:lang w:val="en-US" w:eastAsia="zh-CN"/>
        </w:rPr>
      </w:pPr>
      <w:r>
        <w:rPr>
          <w:rFonts w:hint="eastAsia"/>
          <w:color w:val="00B0F0"/>
          <w:lang w:val="en-US" w:eastAsia="zh-CN"/>
        </w:rPr>
        <w:t>变动后规模(元)：0</w:t>
      </w:r>
    </w:p>
    <w:p>
      <w:pPr>
        <w:pStyle w:val="4"/>
        <w:ind w:left="0" w:leftChars="0" w:firstLine="0" w:firstLineChars="0"/>
        <w:rPr>
          <w:rFonts w:hint="eastAsia"/>
          <w:color w:val="00B0F0"/>
          <w:lang w:val="en-US" w:eastAsia="zh-CN"/>
        </w:rPr>
      </w:pPr>
      <w:r>
        <w:rPr>
          <w:rFonts w:hint="eastAsia"/>
          <w:color w:val="00B0F0"/>
          <w:lang w:val="en-US" w:eastAsia="zh-CN"/>
        </w:rPr>
        <w:t>变动后面值(元)：100</w:t>
      </w:r>
    </w:p>
    <w:p>
      <w:pPr>
        <w:pStyle w:val="4"/>
        <w:ind w:left="0" w:leftChars="0" w:firstLine="0" w:firstLineChars="0"/>
        <w:rPr>
          <w:rFonts w:hint="eastAsia"/>
          <w:color w:val="00B0F0"/>
          <w:lang w:val="en-US" w:eastAsia="zh-CN"/>
        </w:rPr>
      </w:pPr>
      <w:r>
        <w:rPr>
          <w:rFonts w:hint="eastAsia"/>
          <w:color w:val="00B0F0"/>
          <w:lang w:val="en-US" w:eastAsia="zh-CN"/>
        </w:rPr>
        <w:t>备注：空</w:t>
      </w:r>
    </w:p>
    <w:p>
      <w:pPr>
        <w:pStyle w:val="4"/>
        <w:ind w:left="0" w:leftChars="0" w:firstLine="0" w:firstLineChars="0"/>
        <w:rPr>
          <w:rFonts w:hint="eastAsia"/>
          <w:lang w:val="en-US" w:eastAsia="zh-CN"/>
        </w:rPr>
      </w:pPr>
      <w:r>
        <w:rPr>
          <w:rFonts w:hint="eastAsia"/>
          <w:color w:val="00B0F0"/>
          <w:lang w:val="en-US" w:eastAsia="zh-CN"/>
        </w:rPr>
        <w:t>是否有效：是</w:t>
      </w:r>
    </w:p>
    <w:p>
      <w:pPr>
        <w:pStyle w:val="4"/>
        <w:ind w:left="0" w:leftChars="0" w:firstLine="0" w:firstLineChars="0"/>
        <w:rPr>
          <w:rFonts w:hint="eastAsia"/>
          <w:lang w:val="en-US" w:eastAsia="zh-CN"/>
        </w:rPr>
      </w:pPr>
      <w:r>
        <w:rPr>
          <w:rFonts w:hint="eastAsia"/>
          <w:lang w:val="en-US" w:eastAsia="zh-CN"/>
        </w:rPr>
        <w:t>样例2:2010年营口银行次级债券发行人赎回选择权行使公告</w:t>
      </w:r>
    </w:p>
    <w:p>
      <w:pPr>
        <w:pStyle w:val="4"/>
        <w:ind w:left="0" w:leftChars="0" w:firstLine="0" w:firstLineChars="0"/>
        <w:rPr>
          <w:rFonts w:hint="eastAsia"/>
          <w:lang w:val="en-US" w:eastAsia="zh-CN"/>
        </w:rPr>
      </w:pPr>
      <w:r>
        <w:rPr>
          <w:rFonts w:hint="eastAsia"/>
          <w:lang w:val="en-US" w:eastAsia="zh-CN"/>
        </w:rPr>
        <w:t>中国债券信息网数据源：</w:t>
      </w:r>
      <w:r>
        <w:rPr>
          <w:rFonts w:hint="eastAsia"/>
          <w:lang w:val="en-US" w:eastAsia="zh-CN"/>
        </w:rPr>
        <w:fldChar w:fldCharType="begin"/>
      </w:r>
      <w:r>
        <w:rPr>
          <w:rFonts w:hint="eastAsia"/>
          <w:lang w:val="en-US" w:eastAsia="zh-CN"/>
        </w:rPr>
        <w:instrText xml:space="preserve"> HYPERLINK "http://www.chinamoney.com.cn/fe/Info/17675727" </w:instrText>
      </w:r>
      <w:r>
        <w:rPr>
          <w:rFonts w:hint="eastAsia"/>
          <w:lang w:val="en-US" w:eastAsia="zh-CN"/>
        </w:rPr>
        <w:fldChar w:fldCharType="separate"/>
      </w:r>
      <w:r>
        <w:rPr>
          <w:rStyle w:val="30"/>
          <w:rFonts w:hint="eastAsia"/>
          <w:lang w:val="en-US" w:eastAsia="zh-CN"/>
        </w:rPr>
        <w:t>http://www.chinamoney.com.cn/fe/Info/17675727</w:t>
      </w:r>
      <w:r>
        <w:rPr>
          <w:rFonts w:hint="eastAsia"/>
          <w:lang w:val="en-US" w:eastAsia="zh-CN"/>
        </w:rPr>
        <w:fldChar w:fldCharType="end"/>
      </w:r>
    </w:p>
    <w:p>
      <w:pPr>
        <w:pStyle w:val="4"/>
        <w:ind w:left="0" w:leftChars="0" w:firstLine="0" w:firstLineChars="0"/>
        <w:rPr>
          <w:bdr w:val="single" w:sz="4" w:space="0"/>
        </w:rPr>
      </w:pPr>
      <w:r>
        <w:rPr>
          <w:bdr w:val="single" w:sz="4" w:space="0"/>
        </w:rPr>
        <w:drawing>
          <wp:inline distT="0" distB="0" distL="114300" distR="114300">
            <wp:extent cx="5271135" cy="3159760"/>
            <wp:effectExtent l="0" t="0" r="5715"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4"/>
                    <a:stretch>
                      <a:fillRect/>
                    </a:stretch>
                  </pic:blipFill>
                  <pic:spPr>
                    <a:xfrm>
                      <a:off x="0" y="0"/>
                      <a:ext cx="5271135" cy="3159760"/>
                    </a:xfrm>
                    <a:prstGeom prst="rect">
                      <a:avLst/>
                    </a:prstGeom>
                    <a:noFill/>
                    <a:ln w="9525">
                      <a:noFill/>
                    </a:ln>
                  </pic:spPr>
                </pic:pic>
              </a:graphicData>
            </a:graphic>
          </wp:inline>
        </w:drawing>
      </w:r>
    </w:p>
    <w:p>
      <w:pPr>
        <w:pStyle w:val="4"/>
        <w:ind w:left="0" w:leftChars="0" w:firstLine="0" w:firstLineChars="0"/>
        <w:rPr>
          <w:rFonts w:hint="eastAsia"/>
          <w:lang w:val="en-US" w:eastAsia="zh-CN"/>
        </w:rPr>
      </w:pPr>
      <w:r>
        <w:rPr>
          <w:rFonts w:hint="eastAsia"/>
          <w:lang w:val="en-US" w:eastAsia="zh-CN"/>
        </w:rPr>
        <w:t>从公告内容上看，公告日期为2015年11月26日，规模的变动日期为赎回选择权行使公告的</w:t>
      </w:r>
      <w:r>
        <w:rPr>
          <w:rFonts w:hint="eastAsia"/>
          <w:color w:val="FF0000"/>
          <w:lang w:val="en-US" w:eastAsia="zh-CN"/>
        </w:rPr>
        <w:t>行权日期</w:t>
      </w:r>
      <w:r>
        <w:rPr>
          <w:rFonts w:hint="eastAsia"/>
          <w:lang w:val="en-US" w:eastAsia="zh-CN"/>
        </w:rPr>
        <w:t>:2015年12月28日。2010年营口银行次级债券发行总额为6亿元，于2015年12月28日赎回债券6亿元，变动规模为-6亿元，变动类型为债券赎回，赎回过后债券的规模变为0。</w:t>
      </w:r>
    </w:p>
    <w:p>
      <w:pPr>
        <w:pStyle w:val="4"/>
        <w:ind w:left="0" w:leftChars="0" w:firstLine="0" w:firstLineChars="0"/>
        <w:rPr>
          <w:rStyle w:val="30"/>
          <w:rFonts w:hint="eastAsia" w:ascii="宋体" w:hAnsi="宋体" w:eastAsia="宋体" w:cs="宋体"/>
          <w:sz w:val="18"/>
          <w:szCs w:val="18"/>
        </w:rPr>
      </w:pPr>
      <w:r>
        <w:rPr>
          <w:rFonts w:hint="eastAsia"/>
          <w:lang w:val="en-US" w:eastAsia="zh-CN"/>
        </w:rPr>
        <w:t>样例3：上</w:t>
      </w:r>
      <w:r>
        <w:rPr>
          <w:rStyle w:val="30"/>
          <w:rFonts w:hint="eastAsia" w:ascii="宋体" w:hAnsi="宋体" w:eastAsia="宋体" w:cs="宋体"/>
          <w:sz w:val="18"/>
          <w:szCs w:val="18"/>
        </w:rPr>
        <w:t>海金桥(集团)有限公司2013年第一期中期票据回售结果公告</w:t>
      </w:r>
    </w:p>
    <w:p>
      <w:pPr>
        <w:pStyle w:val="4"/>
        <w:ind w:left="0" w:leftChars="0" w:firstLine="0" w:firstLineChars="0"/>
        <w:rPr>
          <w:rStyle w:val="30"/>
          <w:rFonts w:hint="eastAsia" w:ascii="宋体" w:hAnsi="宋体" w:cs="宋体"/>
          <w:sz w:val="18"/>
          <w:szCs w:val="18"/>
          <w:lang w:eastAsia="zh-CN"/>
        </w:rPr>
      </w:pPr>
      <w:r>
        <w:rPr>
          <w:rStyle w:val="30"/>
          <w:rFonts w:hint="eastAsia" w:ascii="宋体" w:hAnsi="宋体" w:cs="宋体"/>
          <w:color w:val="auto"/>
          <w:sz w:val="21"/>
          <w:szCs w:val="21"/>
          <w:lang w:eastAsia="zh-CN"/>
        </w:rPr>
        <w:t>中国货币网数据源：</w:t>
      </w:r>
      <w:r>
        <w:rPr>
          <w:rStyle w:val="30"/>
          <w:rFonts w:hint="eastAsia" w:ascii="宋体" w:hAnsi="宋体" w:cs="宋体"/>
          <w:sz w:val="18"/>
          <w:szCs w:val="18"/>
          <w:lang w:eastAsia="zh-CN"/>
        </w:rPr>
        <w:fldChar w:fldCharType="begin"/>
      </w:r>
      <w:r>
        <w:rPr>
          <w:rStyle w:val="30"/>
          <w:rFonts w:hint="eastAsia" w:ascii="宋体" w:hAnsi="宋体" w:cs="宋体"/>
          <w:sz w:val="18"/>
          <w:szCs w:val="18"/>
          <w:lang w:eastAsia="zh-CN"/>
        </w:rPr>
        <w:instrText xml:space="preserve"> HYPERLINK "http://www.chinamoney.com.cn/fe/Info/32554527?infoPath=4" </w:instrText>
      </w:r>
      <w:r>
        <w:rPr>
          <w:rStyle w:val="30"/>
          <w:rFonts w:hint="eastAsia" w:ascii="宋体" w:hAnsi="宋体" w:cs="宋体"/>
          <w:sz w:val="18"/>
          <w:szCs w:val="18"/>
          <w:lang w:eastAsia="zh-CN"/>
        </w:rPr>
        <w:fldChar w:fldCharType="separate"/>
      </w:r>
      <w:r>
        <w:rPr>
          <w:rStyle w:val="30"/>
          <w:rFonts w:hint="eastAsia" w:ascii="宋体" w:hAnsi="宋体" w:cs="宋体"/>
          <w:sz w:val="18"/>
          <w:szCs w:val="18"/>
          <w:lang w:eastAsia="zh-CN"/>
        </w:rPr>
        <w:t>http://www.chinamoney.com.cn/fe/Info/32554527?infoPath=4</w:t>
      </w:r>
      <w:r>
        <w:rPr>
          <w:rStyle w:val="30"/>
          <w:rFonts w:hint="eastAsia" w:ascii="宋体" w:hAnsi="宋体" w:cs="宋体"/>
          <w:sz w:val="18"/>
          <w:szCs w:val="18"/>
          <w:lang w:eastAsia="zh-CN"/>
        </w:rPr>
        <w:fldChar w:fldCharType="end"/>
      </w:r>
    </w:p>
    <w:p>
      <w:pPr>
        <w:pStyle w:val="4"/>
        <w:ind w:left="0" w:leftChars="0" w:firstLine="0" w:firstLineChars="0"/>
        <w:rPr>
          <w:rStyle w:val="30"/>
          <w:rFonts w:hint="eastAsia" w:ascii="宋体" w:hAnsi="宋体" w:cs="宋体"/>
          <w:sz w:val="18"/>
          <w:szCs w:val="18"/>
          <w:lang w:val="en-US" w:eastAsia="zh-CN"/>
        </w:rPr>
      </w:pPr>
      <w:r>
        <w:drawing>
          <wp:inline distT="0" distB="0" distL="114300" distR="114300">
            <wp:extent cx="5273675" cy="634365"/>
            <wp:effectExtent l="0" t="0" r="3175" b="133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5"/>
                    <a:stretch>
                      <a:fillRect/>
                    </a:stretch>
                  </pic:blipFill>
                  <pic:spPr>
                    <a:xfrm>
                      <a:off x="0" y="0"/>
                      <a:ext cx="5273675" cy="634365"/>
                    </a:xfrm>
                    <a:prstGeom prst="rect">
                      <a:avLst/>
                    </a:prstGeom>
                    <a:noFill/>
                    <a:ln w="9525">
                      <a:noFill/>
                    </a:ln>
                  </pic:spPr>
                </pic:pic>
              </a:graphicData>
            </a:graphic>
          </wp:inline>
        </w:drawing>
      </w:r>
      <w:r>
        <w:rPr>
          <w:bdr w:val="single" w:sz="4" w:space="0"/>
        </w:rPr>
        <w:drawing>
          <wp:inline distT="0" distB="0" distL="114300" distR="114300">
            <wp:extent cx="5273675" cy="1516380"/>
            <wp:effectExtent l="0" t="0" r="3175"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6"/>
                    <a:stretch>
                      <a:fillRect/>
                    </a:stretch>
                  </pic:blipFill>
                  <pic:spPr>
                    <a:xfrm>
                      <a:off x="0" y="0"/>
                      <a:ext cx="5273675" cy="1516380"/>
                    </a:xfrm>
                    <a:prstGeom prst="rect">
                      <a:avLst/>
                    </a:prstGeom>
                    <a:noFill/>
                    <a:ln w="9525">
                      <a:noFill/>
                    </a:ln>
                  </pic:spPr>
                </pic:pic>
              </a:graphicData>
            </a:graphic>
          </wp:inline>
        </w:drawing>
      </w:r>
    </w:p>
    <w:p>
      <w:pPr>
        <w:pStyle w:val="4"/>
        <w:ind w:left="0" w:leftChars="0" w:firstLine="0" w:firstLineChars="0"/>
        <w:rPr>
          <w:bdr w:val="single" w:sz="4" w:space="0"/>
        </w:rPr>
      </w:pPr>
      <w:r>
        <w:rPr>
          <w:bdr w:val="single" w:sz="4" w:space="0"/>
        </w:rPr>
        <w:drawing>
          <wp:inline distT="0" distB="0" distL="114300" distR="114300">
            <wp:extent cx="5271770" cy="1722755"/>
            <wp:effectExtent l="0" t="0" r="5080"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47"/>
                    <a:stretch>
                      <a:fillRect/>
                    </a:stretch>
                  </pic:blipFill>
                  <pic:spPr>
                    <a:xfrm>
                      <a:off x="0" y="0"/>
                      <a:ext cx="5271770" cy="1722755"/>
                    </a:xfrm>
                    <a:prstGeom prst="rect">
                      <a:avLst/>
                    </a:prstGeom>
                    <a:noFill/>
                    <a:ln w="9525">
                      <a:noFill/>
                    </a:ln>
                  </pic:spPr>
                </pic:pic>
              </a:graphicData>
            </a:graphic>
          </wp:inline>
        </w:drawing>
      </w:r>
    </w:p>
    <w:p>
      <w:pPr>
        <w:pStyle w:val="4"/>
        <w:ind w:left="0" w:leftChars="0" w:firstLine="0" w:firstLineChars="0"/>
        <w:rPr>
          <w:rFonts w:hint="eastAsia"/>
          <w:bdr w:val="single" w:sz="4" w:space="0"/>
          <w:lang w:val="en-US" w:eastAsia="zh-CN"/>
        </w:rPr>
      </w:pPr>
      <w:r>
        <w:rPr>
          <w:rFonts w:hint="eastAsia"/>
          <w:lang w:val="en-US" w:eastAsia="zh-CN"/>
        </w:rPr>
        <w:t>从公告内容上看，公告日期为2016年9月6日，规模变动日期为债券回售行权日：2016年9月5日，债券发行总额为10亿元，本次债券回售金额为4亿元，剩余规模为6亿元。债券规模的变动类型为债券回售，变动后的面值为100元。</w:t>
      </w:r>
    </w:p>
    <w:p>
      <w:pPr>
        <w:numPr>
          <w:ilvl w:val="0"/>
          <w:numId w:val="5"/>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【主内部编码】主要是为了区分债券首发和续发的情况。通过债券简称和证券代码来进行查询，可自动生成。</w:t>
      </w:r>
    </w:p>
    <w:p>
      <w:pPr>
        <w:numPr>
          <w:ilvl w:val="0"/>
          <w:numId w:val="5"/>
        </w:numPr>
        <w:rPr>
          <w:rFonts w:hint="eastAsia"/>
          <w:lang w:val="en-US" w:eastAsia="zh-CN"/>
        </w:rPr>
      </w:pPr>
      <w:r>
        <w:rPr>
          <w:rFonts w:hint="eastAsia"/>
          <w:lang w:val="en-US" w:eastAsia="zh-CN"/>
        </w:rPr>
        <w:t>【是否有效】处理规则：预先录入的数据（根据募集说明书等公告中录入的理论规模变动情况），是否有效为否；根据公告披露录入的数据（实际规模变动的详细情况），是否有效为是。</w:t>
      </w:r>
    </w:p>
    <w:p>
      <w:pPr>
        <w:numPr>
          <w:ilvl w:val="0"/>
          <w:numId w:val="5"/>
        </w:numPr>
        <w:rPr>
          <w:rFonts w:hint="eastAsia"/>
          <w:lang w:val="en-US" w:eastAsia="zh-CN"/>
        </w:rPr>
      </w:pPr>
      <w:r>
        <w:rPr>
          <w:rFonts w:hint="eastAsia"/>
          <w:lang w:val="en-US" w:eastAsia="zh-CN"/>
        </w:rPr>
        <w:t>【债券名称】不用人工填写，触发器自动生成。</w:t>
      </w:r>
    </w:p>
    <w:p>
      <w:pPr>
        <w:numPr>
          <w:ilvl w:val="0"/>
          <w:numId w:val="5"/>
        </w:numPr>
        <w:rPr>
          <w:rFonts w:hint="eastAsia"/>
          <w:lang w:val="en-US" w:eastAsia="zh-CN"/>
        </w:rPr>
      </w:pPr>
      <w:r>
        <w:rPr>
          <w:rFonts w:hint="eastAsia"/>
          <w:lang w:val="en-US" w:eastAsia="zh-CN"/>
        </w:rPr>
        <w:t>【变动规模】字段里面的内容根据债券规模的增减来判断值的正负，债券规模增加，【变动规模】为正值，债券规模减少，【变动规模】为负值。</w:t>
      </w:r>
    </w:p>
    <w:p>
      <w:pPr>
        <w:numPr>
          <w:ilvl w:val="0"/>
          <w:numId w:val="5"/>
        </w:numPr>
        <w:rPr>
          <w:rFonts w:hint="eastAsia"/>
          <w:lang w:val="en-US" w:eastAsia="zh-CN"/>
        </w:rPr>
      </w:pPr>
      <w:r>
        <w:rPr>
          <w:rFonts w:hint="eastAsia"/>
          <w:lang w:val="en-US" w:eastAsia="zh-CN"/>
        </w:rPr>
        <w:t>只有特殊条款在行权日行权时，并且债券规模发生实质性变动，这样的样例才进行入库操作。</w:t>
      </w:r>
    </w:p>
    <w:p>
      <w:pPr>
        <w:pStyle w:val="5"/>
        <w:spacing w:before="468" w:after="312"/>
      </w:pPr>
      <w:bookmarkStart w:id="45" w:name="_Toc3901"/>
      <w:bookmarkStart w:id="46" w:name="_Toc16242"/>
      <w:r>
        <w:rPr>
          <w:rFonts w:hint="eastAsia"/>
        </w:rPr>
        <w:t>核查规则</w:t>
      </w:r>
      <w:bookmarkEnd w:id="45"/>
      <w:bookmarkEnd w:id="46"/>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1614941989"/>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cs="Times New Roman" w:asciiTheme="minorEastAsia" w:hAnsiTheme="minorEastAsia" w:eastAsiaTheme="minorEastAsia"/>
                    <w:b/>
                    <w:kern w:val="2"/>
                    <w:sz w:val="18"/>
                    <w:szCs w:val="18"/>
                    <w:lang w:val="en-US" w:eastAsia="zh-CN" w:bidi="ar-SA"/>
                  </w:rPr>
                  <w:t>√ 适用</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1004633486"/>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numPr>
          <w:ilvl w:val="0"/>
          <w:numId w:val="6"/>
        </w:numPr>
        <w:ind w:firstLine="420"/>
        <w:rPr>
          <w:rFonts w:hint="eastAsia"/>
          <w:lang w:val="en-US" w:eastAsia="zh-CN"/>
        </w:rPr>
      </w:pPr>
      <w:r>
        <w:rPr>
          <w:rFonts w:hint="eastAsia"/>
          <w:lang w:val="en-US" w:eastAsia="zh-CN"/>
        </w:rPr>
        <w:t>变动后的面值为0-1000之间，超过1000元需要重新核查一遍。</w:t>
      </w:r>
    </w:p>
    <w:p>
      <w:pPr>
        <w:numPr>
          <w:ilvl w:val="0"/>
          <w:numId w:val="0"/>
        </w:numPr>
        <w:rPr>
          <w:rFonts w:hint="eastAsia"/>
          <w:lang w:val="en-US" w:eastAsia="zh-CN"/>
        </w:rPr>
      </w:pPr>
      <w:r>
        <w:rPr>
          <w:rFonts w:hint="eastAsia"/>
          <w:lang w:val="en-US" w:eastAsia="zh-CN"/>
        </w:rPr>
        <w:t xml:space="preserve">Select F1 主内部编码,F2 债券名称,F4 变动日期,F6 变动类型,F9 </w:t>
      </w:r>
      <w:r>
        <w:rPr>
          <w:rFonts w:hint="eastAsia" w:ascii="宋体" w:hAnsi="宋体" w:eastAsia="宋体" w:cs="宋体"/>
          <w:i w:val="0"/>
          <w:color w:val="000000"/>
          <w:kern w:val="0"/>
          <w:sz w:val="22"/>
          <w:szCs w:val="22"/>
          <w:u w:val="none"/>
          <w:lang w:val="en-US" w:eastAsia="zh-CN" w:bidi="ar"/>
        </w:rPr>
        <w:t>变动后面值</w:t>
      </w:r>
      <w:r>
        <w:rPr>
          <w:rFonts w:hint="eastAsia" w:ascii="宋体" w:hAnsi="宋体" w:cs="宋体"/>
          <w:i w:val="0"/>
          <w:color w:val="000000"/>
          <w:kern w:val="0"/>
          <w:sz w:val="22"/>
          <w:szCs w:val="22"/>
          <w:u w:val="none"/>
          <w:lang w:val="en-US" w:eastAsia="zh-CN" w:bidi="ar"/>
        </w:rPr>
        <w:t xml:space="preserve"> </w:t>
      </w:r>
      <w:r>
        <w:rPr>
          <w:rFonts w:hint="eastAsia"/>
          <w:lang w:val="en-US" w:eastAsia="zh-CN"/>
        </w:rPr>
        <w:t>from P12013 where F9&gt;1000 order by FU desc ;查询出的结果属于异常值，需要重新核查一遍。</w:t>
      </w:r>
    </w:p>
    <w:p>
      <w:pPr>
        <w:ind w:firstLine="420"/>
        <w:rPr>
          <w:rFonts w:hint="eastAsia"/>
          <w:lang w:val="en-US" w:eastAsia="zh-CN"/>
        </w:rPr>
      </w:pPr>
      <w:r>
        <w:rPr>
          <w:rFonts w:hint="eastAsia"/>
          <w:lang w:val="en-US" w:eastAsia="zh-CN"/>
        </w:rPr>
        <w:t>2、债券变动类型为：债券发行、债券增发。债券变动规模为正值，代表债券规模在增加。债券变动类型为：债券回售、债券赎回、债券兑付、债券分期兑付、债券延期兑付、债券延期分期兑付、债券调换。债券变动规模为负值，代表债券规模在减少。</w:t>
      </w:r>
    </w:p>
    <w:p>
      <w:pPr>
        <w:rPr>
          <w:rFonts w:hint="eastAsia"/>
          <w:lang w:val="en-US" w:eastAsia="zh-CN"/>
        </w:rPr>
      </w:pPr>
      <w:r>
        <w:rPr>
          <w:rFonts w:hint="eastAsia"/>
          <w:lang w:val="en-US" w:eastAsia="zh-CN"/>
        </w:rPr>
        <w:t xml:space="preserve">例子：Select F6 变动类型,F7 变动规模 from P12013 where F6=1 and F7&gt;0;  </w:t>
      </w:r>
    </w:p>
    <w:p>
      <w:pPr>
        <w:ind w:firstLine="420"/>
        <w:rPr>
          <w:rFonts w:hint="eastAsia"/>
          <w:lang w:val="en-US" w:eastAsia="zh-CN"/>
        </w:rPr>
      </w:pPr>
      <w:r>
        <w:rPr>
          <w:rFonts w:hint="eastAsia"/>
          <w:lang w:val="en-US" w:eastAsia="zh-CN"/>
        </w:rPr>
        <w:t>Select F6 变动类型,F7 变动规模 from P12013 where F6=2 and F7&gt;0;</w:t>
      </w:r>
    </w:p>
    <w:p>
      <w:pPr>
        <w:ind w:firstLine="420"/>
        <w:rPr>
          <w:rFonts w:hint="eastAsia"/>
          <w:lang w:val="en-US" w:eastAsia="zh-CN"/>
        </w:rPr>
      </w:pPr>
      <w:r>
        <w:rPr>
          <w:rFonts w:hint="eastAsia"/>
          <w:lang w:val="en-US" w:eastAsia="zh-CN"/>
        </w:rPr>
        <w:t>Select F6 变动类型,F7 变动规模 from P12013 where F6=3 and F7&lt;0;查询出的结果属于异常值，需要重新核查一遍。</w:t>
      </w:r>
    </w:p>
    <w:p>
      <w:pPr>
        <w:pStyle w:val="5"/>
        <w:spacing w:before="468" w:after="312"/>
      </w:pPr>
      <w:bookmarkStart w:id="47" w:name="_Toc8397"/>
      <w:bookmarkStart w:id="48" w:name="_Toc18888"/>
      <w:r>
        <w:rPr>
          <w:rFonts w:hint="eastAsia"/>
        </w:rPr>
        <w:t>数据处理流程</w:t>
      </w:r>
      <w:bookmarkEnd w:id="47"/>
      <w:bookmarkEnd w:id="48"/>
    </w:p>
    <w:tbl>
      <w:tblPr>
        <w:tblStyle w:val="35"/>
        <w:tblW w:w="9287" w:type="dxa"/>
        <w:tblInd w:w="0" w:type="dxa"/>
        <w:tblLayout w:type="fixed"/>
        <w:tblCellMar>
          <w:top w:w="0" w:type="dxa"/>
          <w:left w:w="108" w:type="dxa"/>
          <w:bottom w:w="0" w:type="dxa"/>
          <w:right w:w="108" w:type="dxa"/>
        </w:tblCellMar>
      </w:tblPr>
      <w:tblGrid>
        <w:gridCol w:w="976"/>
        <w:gridCol w:w="1116"/>
        <w:gridCol w:w="1278"/>
        <w:gridCol w:w="1415"/>
        <w:gridCol w:w="994"/>
        <w:gridCol w:w="1465"/>
        <w:gridCol w:w="994"/>
        <w:gridCol w:w="1049"/>
      </w:tblGrid>
      <w:tr>
        <w:tblPrEx>
          <w:tblLayout w:type="fixed"/>
          <w:tblCellMar>
            <w:top w:w="0" w:type="dxa"/>
            <w:left w:w="108" w:type="dxa"/>
            <w:bottom w:w="0" w:type="dxa"/>
            <w:right w:w="108" w:type="dxa"/>
          </w:tblCellMar>
        </w:tblPrEx>
        <w:trPr>
          <w:trHeight w:val="285" w:hRule="atLeast"/>
        </w:trPr>
        <w:tc>
          <w:tcPr>
            <w:tcW w:w="976" w:type="dxa"/>
            <w:tcBorders>
              <w:top w:val="single" w:color="auto" w:sz="8" w:space="0"/>
              <w:left w:val="single" w:color="auto" w:sz="8" w:space="0"/>
              <w:bottom w:val="single" w:color="auto" w:sz="8" w:space="0"/>
              <w:right w:val="single" w:color="auto" w:sz="8" w:space="0"/>
            </w:tcBorders>
            <w:shd w:val="clear" w:color="000000" w:fill="D9D9D9"/>
            <w:vAlign w:val="center"/>
          </w:tcPr>
          <w:p>
            <w:pPr>
              <w:rPr>
                <w:rFonts w:asciiTheme="minorEastAsia" w:hAnsiTheme="minorEastAsia" w:eastAsiaTheme="minorEastAsia"/>
                <w:sz w:val="18"/>
                <w:szCs w:val="18"/>
              </w:rPr>
            </w:pPr>
            <w:r>
              <w:rPr>
                <w:rFonts w:hint="eastAsia"/>
                <w:b/>
                <w:bCs/>
                <w:color w:val="000000"/>
                <w:kern w:val="0"/>
                <w:sz w:val="18"/>
                <w:szCs w:val="18"/>
              </w:rPr>
              <w:t>是否适用</w:t>
            </w:r>
          </w:p>
        </w:tc>
        <w:tc>
          <w:tcPr>
            <w:tcW w:w="1116" w:type="dxa"/>
            <w:tcBorders>
              <w:top w:val="single" w:color="auto" w:sz="8" w:space="0"/>
              <w:left w:val="single" w:color="auto" w:sz="8" w:space="0"/>
              <w:bottom w:val="single" w:color="auto" w:sz="8" w:space="0"/>
              <w:right w:val="single" w:color="auto" w:sz="8" w:space="0"/>
            </w:tcBorders>
            <w:shd w:val="clear" w:color="000000" w:fill="D9D9D9"/>
            <w:vAlign w:val="center"/>
          </w:tcPr>
          <w:sdt>
            <w:sdtPr>
              <w:rPr>
                <w:rFonts w:hint="eastAsia" w:asciiTheme="minorEastAsia" w:hAnsiTheme="minorEastAsia" w:eastAsiaTheme="minorEastAsia"/>
                <w:b/>
                <w:sz w:val="18"/>
                <w:szCs w:val="18"/>
              </w:rPr>
              <w:alias w:val="是否适用"/>
              <w:tag w:val="是否适用"/>
              <w:id w:val="514505867"/>
              <w:dropDownList>
                <w:listItem w:displayText="请选择" w:value="请选择"/>
                <w:listItem w:displayText="√ 适用" w:value="√ 适用"/>
                <w:listItem w:displayText="√ 不适用" w:value="√ 不适用"/>
              </w:dropDownList>
            </w:sdtPr>
            <w:sdtEndPr>
              <w:rPr>
                <w:rFonts w:hint="eastAsia" w:asciiTheme="minorEastAsia" w:hAnsiTheme="minorEastAsia" w:eastAsiaTheme="minorEastAsia"/>
                <w:b/>
                <w:sz w:val="18"/>
                <w:szCs w:val="18"/>
              </w:rPr>
            </w:sdtEndPr>
            <w:sdtContent>
              <w:p>
                <w:pPr>
                  <w:rPr>
                    <w:rFonts w:asciiTheme="minorEastAsia" w:hAnsiTheme="minorEastAsia" w:eastAsiaTheme="minorEastAsia"/>
                    <w:sz w:val="18"/>
                    <w:szCs w:val="18"/>
                  </w:rPr>
                </w:pPr>
                <w:r>
                  <w:rPr>
                    <w:rFonts w:hint="eastAsia" w:asciiTheme="minorEastAsia" w:hAnsiTheme="minorEastAsia" w:eastAsiaTheme="minorEastAsia"/>
                    <w:b/>
                    <w:sz w:val="18"/>
                    <w:szCs w:val="18"/>
                  </w:rPr>
                  <w:t>请选择</w:t>
                </w:r>
              </w:p>
            </w:sdtContent>
          </w:sdt>
        </w:tc>
        <w:tc>
          <w:tcPr>
            <w:tcW w:w="1278"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实施组</w:t>
            </w:r>
            <w:r>
              <w:rPr>
                <w:rFonts w:hint="eastAsia" w:asciiTheme="minorEastAsia" w:hAnsiTheme="minorEastAsia" w:eastAsiaTheme="minorEastAsia"/>
                <w:color w:val="000000"/>
                <w:kern w:val="0"/>
                <w:sz w:val="18"/>
                <w:szCs w:val="18"/>
              </w:rPr>
              <w:t>/</w:t>
            </w:r>
            <w:r>
              <w:rPr>
                <w:rFonts w:hint="eastAsia" w:cs="宋体" w:asciiTheme="minorEastAsia" w:hAnsiTheme="minorEastAsia" w:eastAsiaTheme="minorEastAsia"/>
                <w:color w:val="000000"/>
                <w:kern w:val="0"/>
                <w:sz w:val="18"/>
                <w:szCs w:val="18"/>
              </w:rPr>
              <w:t>部门</w:t>
            </w:r>
          </w:p>
        </w:tc>
        <w:tc>
          <w:tcPr>
            <w:tcW w:w="1415"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实施人员</w:t>
            </w:r>
          </w:p>
        </w:tc>
        <w:tc>
          <w:tcPr>
            <w:tcW w:w="1465" w:type="dxa"/>
            <w:tcBorders>
              <w:top w:val="single" w:color="auto" w:sz="8" w:space="0"/>
              <w:left w:val="nil"/>
              <w:bottom w:val="single" w:color="auto" w:sz="8" w:space="0"/>
              <w:right w:val="single" w:color="auto" w:sz="8" w:space="0"/>
            </w:tcBorders>
            <w:shd w:val="clear" w:color="auto" w:fill="auto"/>
            <w:vAlign w:val="center"/>
          </w:tcPr>
          <w:p>
            <w:pPr>
              <w:widowControl/>
              <w:rPr>
                <w:rFonts w:asciiTheme="minorEastAsia" w:hAnsiTheme="minorEastAsia" w:eastAsiaTheme="minorEastAsia"/>
                <w:color w:val="000000"/>
                <w:kern w:val="0"/>
                <w:sz w:val="18"/>
                <w:szCs w:val="18"/>
              </w:rPr>
            </w:pPr>
          </w:p>
        </w:tc>
        <w:tc>
          <w:tcPr>
            <w:tcW w:w="994" w:type="dxa"/>
            <w:tcBorders>
              <w:top w:val="single" w:color="auto" w:sz="8" w:space="0"/>
              <w:left w:val="nil"/>
              <w:bottom w:val="single" w:color="auto" w:sz="8" w:space="0"/>
              <w:right w:val="single" w:color="auto" w:sz="8" w:space="0"/>
            </w:tcBorders>
            <w:shd w:val="clear" w:color="auto" w:fill="auto"/>
            <w:vAlign w:val="center"/>
          </w:tcPr>
          <w:p>
            <w:pPr>
              <w:widowControl/>
              <w:rPr>
                <w:rFonts w:cs="宋体" w:asciiTheme="minorEastAsia" w:hAnsiTheme="minorEastAsia" w:eastAsiaTheme="minorEastAsia"/>
                <w:color w:val="000000"/>
                <w:kern w:val="0"/>
                <w:sz w:val="18"/>
                <w:szCs w:val="18"/>
              </w:rPr>
            </w:pPr>
            <w:r>
              <w:rPr>
                <w:rFonts w:hint="eastAsia" w:cs="宋体" w:asciiTheme="minorEastAsia" w:hAnsiTheme="minorEastAsia" w:eastAsiaTheme="minorEastAsia"/>
                <w:color w:val="000000"/>
                <w:kern w:val="0"/>
                <w:sz w:val="18"/>
                <w:szCs w:val="18"/>
              </w:rPr>
              <w:t>完成日期</w:t>
            </w:r>
          </w:p>
        </w:tc>
        <w:tc>
          <w:tcPr>
            <w:tcW w:w="1049" w:type="dxa"/>
            <w:tcBorders>
              <w:top w:val="single" w:color="auto" w:sz="8" w:space="0"/>
              <w:left w:val="nil"/>
              <w:bottom w:val="single" w:color="auto" w:sz="8" w:space="0"/>
              <w:right w:val="single" w:color="auto" w:sz="8" w:space="0"/>
            </w:tcBorders>
            <w:shd w:val="clear" w:color="auto" w:fill="auto"/>
            <w:vAlign w:val="center"/>
          </w:tcPr>
          <w:sdt>
            <w:sdtPr>
              <w:rPr>
                <w:rFonts w:asciiTheme="minorEastAsia" w:hAnsiTheme="minorEastAsia" w:eastAsiaTheme="minorEastAsia"/>
                <w:sz w:val="18"/>
                <w:szCs w:val="18"/>
              </w:rPr>
              <w:alias w:val="完成时间"/>
              <w:tag w:val="完成时间"/>
              <w:id w:val="-2070107060"/>
              <w:showingPlcHdr/>
              <w:date w:fullDate="2013-10-25T00:00:00Z">
                <w:dateFormat w:val="yyyy-M-d"/>
                <w:lid w:val="zh-CN"/>
                <w:storeMappedDataAs w:val="datetime"/>
                <w:calendar w:val="gregorian"/>
              </w:date>
            </w:sdtPr>
            <w:sdtEndPr>
              <w:rPr>
                <w:rFonts w:asciiTheme="minorEastAsia" w:hAnsiTheme="minorEastAsia" w:eastAsiaTheme="minorEastAsia"/>
                <w:sz w:val="18"/>
                <w:szCs w:val="18"/>
              </w:rPr>
            </w:sdtEndPr>
            <w:sdtContent>
              <w:p>
                <w:pPr>
                  <w:rPr>
                    <w:rFonts w:asciiTheme="minorEastAsia" w:hAnsiTheme="minorEastAsia" w:eastAsiaTheme="minorEastAsia"/>
                    <w:sz w:val="18"/>
                    <w:szCs w:val="18"/>
                  </w:rPr>
                </w:pPr>
                <w:r>
                  <w:rPr>
                    <w:rStyle w:val="37"/>
                    <w:rFonts w:hint="eastAsia"/>
                    <w:color w:val="BFBFBF" w:themeColor="background1" w:themeShade="BF"/>
                    <w:sz w:val="18"/>
                    <w:szCs w:val="18"/>
                  </w:rPr>
                  <w:t>输入日期</w:t>
                </w:r>
              </w:p>
            </w:sdtContent>
          </w:sdt>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1757568" behindDoc="0" locked="0" layoutInCell="1" allowOverlap="1">
                <wp:simplePos x="0" y="0"/>
                <wp:positionH relativeFrom="column">
                  <wp:posOffset>3470910</wp:posOffset>
                </wp:positionH>
                <wp:positionV relativeFrom="paragraph">
                  <wp:posOffset>122555</wp:posOffset>
                </wp:positionV>
                <wp:extent cx="1976755" cy="720725"/>
                <wp:effectExtent l="1905" t="4445" r="2540" b="17780"/>
                <wp:wrapNone/>
                <wp:docPr id="70" name="直接箭头连接符 70"/>
                <wp:cNvGraphicFramePr/>
                <a:graphic xmlns:a="http://schemas.openxmlformats.org/drawingml/2006/main">
                  <a:graphicData uri="http://schemas.microsoft.com/office/word/2010/wordprocessingShape">
                    <wps:wsp>
                      <wps:cNvCnPr>
                        <a:stCxn id="45" idx="3"/>
                        <a:endCxn id="65" idx="0"/>
                      </wps:cNvCnPr>
                      <wps:spPr>
                        <a:xfrm>
                          <a:off x="4613910" y="1036955"/>
                          <a:ext cx="1976755" cy="720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3.3pt;margin-top:9.65pt;height:56.75pt;width:155.65pt;z-index:251757568;mso-width-relative:page;mso-height-relative:page;" filled="f" stroked="t" coordsize="21600,21600" o:gfxdata="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rATA71wAAAAoBAAAP&#10;AAAAAAAAAAEAIAAAACIAAABkcnMvZG93bnJldi54bWxQSwECFAAUAAAACACHTuJAVt6TUxkCAADl&#10;AwAADgAAAAAAAAABACAAAAAmAQAAZHJzL2Uyb0RvYy54bWxQSwUGAAAAAAYABgBZAQAAs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2208" behindDoc="0" locked="0" layoutInCell="1" allowOverlap="1">
                <wp:simplePos x="0" y="0"/>
                <wp:positionH relativeFrom="column">
                  <wp:posOffset>1604010</wp:posOffset>
                </wp:positionH>
                <wp:positionV relativeFrom="paragraph">
                  <wp:posOffset>122555</wp:posOffset>
                </wp:positionV>
                <wp:extent cx="847725" cy="228600"/>
                <wp:effectExtent l="1270" t="25400" r="8255" b="12700"/>
                <wp:wrapNone/>
                <wp:docPr id="55" name="直接箭头连接符 55"/>
                <wp:cNvGraphicFramePr/>
                <a:graphic xmlns:a="http://schemas.openxmlformats.org/drawingml/2006/main">
                  <a:graphicData uri="http://schemas.microsoft.com/office/word/2010/wordprocessingShape">
                    <wps:wsp>
                      <wps:cNvCnPr>
                        <a:stCxn id="37" idx="3"/>
                        <a:endCxn id="45" idx="1"/>
                      </wps:cNvCnPr>
                      <wps:spPr>
                        <a:xfrm flipV="1">
                          <a:off x="2747010" y="1036955"/>
                          <a:ext cx="8477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26.3pt;margin-top:9.65pt;height:18pt;width:66.75pt;z-index:251742208;mso-width-relative:page;mso-height-relative:page;" filled="f" stroked="t" coordsize="21600,21600" o:gfxdata="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VH62w&#10;2AAAAAkBAAAPAAAAAAAAAAEAIAAAACIAAABkcnMvZG93bnJldi54bWxQSwECFAAUAAAACACHTuJA&#10;/2KzRSECAADuAwAADgAAAAAAAAABACAAAAAnAQAAZHJzL2Uyb0RvYy54bWxQSwUGAAAAAAYABgBZ&#10;AQAAu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2451735</wp:posOffset>
                </wp:positionH>
                <wp:positionV relativeFrom="paragraph">
                  <wp:posOffset>-20320</wp:posOffset>
                </wp:positionV>
                <wp:extent cx="1019175" cy="285750"/>
                <wp:effectExtent l="6350" t="6350" r="22225" b="12700"/>
                <wp:wrapNone/>
                <wp:docPr id="45" name="流程图: 过程 45"/>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债券分期兑付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3.05pt;margin-top:-1.6pt;height:22.5pt;width:80.25pt;z-index:251706368;v-text-anchor:middle;mso-width-relative:page;mso-height-relative:page;" fillcolor="#5B9BD5 [3204]" filled="t" stroked="t" coordsize="21600,21600" o:gfxdata="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QvDBrZAAAACQEAAA8A&#10;AAAAAAAAAQAgAAAAIgAAAGRycy9kb3ducmV2LnhtbFBLAQIUABQAAAAIAIdO4kCPHSxYiAIAAOsE&#10;AAAOAAAAAAAAAAEAIAAAACgBAABkcnMvZTJvRG9jLnhtbFBLBQYAAAAABgAGAFkBAAAi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债券分期兑付</w:t>
                      </w:r>
                    </w:p>
                  </w:txbxContent>
                </v:textbox>
              </v:shape>
            </w:pict>
          </mc:Fallback>
        </mc:AlternateContent>
      </w:r>
    </w:p>
    <w:p>
      <w:pPr>
        <w:rPr>
          <w:sz w:val="21"/>
        </w:rPr>
      </w:pPr>
      <w:r>
        <w:rPr>
          <w:sz w:val="21"/>
        </w:rPr>
        <mc:AlternateContent>
          <mc:Choice Requires="wps">
            <w:drawing>
              <wp:anchor distT="0" distB="0" distL="114300" distR="114300" simplePos="0" relativeHeight="251770880" behindDoc="0" locked="0" layoutInCell="1" allowOverlap="1">
                <wp:simplePos x="0" y="0"/>
                <wp:positionH relativeFrom="column">
                  <wp:posOffset>1604010</wp:posOffset>
                </wp:positionH>
                <wp:positionV relativeFrom="paragraph">
                  <wp:posOffset>168910</wp:posOffset>
                </wp:positionV>
                <wp:extent cx="847725" cy="1127125"/>
                <wp:effectExtent l="3810" t="3175" r="5715" b="12700"/>
                <wp:wrapNone/>
                <wp:docPr id="83" name="直接箭头连接符 83"/>
                <wp:cNvGraphicFramePr/>
                <a:graphic xmlns:a="http://schemas.openxmlformats.org/drawingml/2006/main">
                  <a:graphicData uri="http://schemas.microsoft.com/office/word/2010/wordprocessingShape">
                    <wps:wsp>
                      <wps:cNvCnPr>
                        <a:endCxn id="48" idx="1"/>
                      </wps:cNvCnPr>
                      <wps:spPr>
                        <a:xfrm>
                          <a:off x="2747010" y="1281430"/>
                          <a:ext cx="847725" cy="1127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6.3pt;margin-top:13.3pt;height:88.75pt;width:66.75pt;z-index:251770880;mso-width-relative:page;mso-height-relative:page;" filled="f" stroked="t" coordsize="21600,21600" o:gfxdata="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w64mvdYAAAAKAQAADwAAAAAAAAABACAA&#10;AAAiAAAAZHJzL2Rvd25yZXYueG1sUEsBAhQAFAAAAAgAh07iQJfuxTUPAgAAywMAAA4AAAAAAAAA&#10;AQAgAAAAJQEAAGRycy9lMm9Eb2MueG1sUEsFBgAAAAAGAAYAWQEAAKY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56544" behindDoc="0" locked="0" layoutInCell="1" allowOverlap="1">
                <wp:simplePos x="0" y="0"/>
                <wp:positionH relativeFrom="column">
                  <wp:posOffset>1861185</wp:posOffset>
                </wp:positionH>
                <wp:positionV relativeFrom="paragraph">
                  <wp:posOffset>3811270</wp:posOffset>
                </wp:positionV>
                <wp:extent cx="685800" cy="1618615"/>
                <wp:effectExtent l="4445" t="1905" r="14605" b="17780"/>
                <wp:wrapNone/>
                <wp:docPr id="69" name="直接箭头连接符 69"/>
                <wp:cNvGraphicFramePr/>
                <a:graphic xmlns:a="http://schemas.openxmlformats.org/drawingml/2006/main">
                  <a:graphicData uri="http://schemas.microsoft.com/office/word/2010/wordprocessingShape">
                    <wps:wsp>
                      <wps:cNvCnPr>
                        <a:endCxn id="44" idx="1"/>
                      </wps:cNvCnPr>
                      <wps:spPr>
                        <a:xfrm>
                          <a:off x="3004185" y="4923790"/>
                          <a:ext cx="685800" cy="1618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6.55pt;margin-top:300.1pt;height:127.45pt;width:54pt;z-index:251756544;mso-width-relative:page;mso-height-relative:page;" filled="f" stroked="t" coordsize="21600,21600" o:gfxdata="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yWcD4NgAAAALAQAADwAAAAAAAAAB&#10;ACAAAAAiAAAAZHJzL2Rvd25yZXYueG1sUEsBAhQAFAAAAAgAh07iQBAi3MkQAgAAywMAAA4AAAAA&#10;AAAAAQAgAAAAJw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55520" behindDoc="0" locked="0" layoutInCell="1" allowOverlap="1">
                <wp:simplePos x="0" y="0"/>
                <wp:positionH relativeFrom="column">
                  <wp:posOffset>1860550</wp:posOffset>
                </wp:positionH>
                <wp:positionV relativeFrom="paragraph">
                  <wp:posOffset>3793490</wp:posOffset>
                </wp:positionV>
                <wp:extent cx="667385" cy="1017270"/>
                <wp:effectExtent l="3810" t="2540" r="14605" b="8890"/>
                <wp:wrapNone/>
                <wp:docPr id="68" name="直接箭头连接符 68"/>
                <wp:cNvGraphicFramePr/>
                <a:graphic xmlns:a="http://schemas.openxmlformats.org/drawingml/2006/main">
                  <a:graphicData uri="http://schemas.microsoft.com/office/word/2010/wordprocessingShape">
                    <wps:wsp>
                      <wps:cNvCnPr>
                        <a:stCxn id="36" idx="3"/>
                        <a:endCxn id="43" idx="1"/>
                      </wps:cNvCnPr>
                      <wps:spPr>
                        <a:xfrm>
                          <a:off x="3003550" y="4906010"/>
                          <a:ext cx="667385" cy="1017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6.5pt;margin-top:298.7pt;height:80.1pt;width:52.55pt;z-index:251755520;mso-width-relative:page;mso-height-relative:page;" filled="f" stroked="t" coordsize="21600,21600" o:gfxdata="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jDa792QAAAAsB&#10;AAAPAAAAAAAAAAEAIAAAACIAAABkcnMvZG93bnJldi54bWxQSwECFAAUAAAACACHTuJAhYid7RoC&#10;AADlAwAADgAAAAAAAAABACAAAAAoAQAAZHJzL2Uyb0RvYy54bWxQSwUGAAAAAAYABgBZAQAAtAUA&#10;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54496" behindDoc="0" locked="0" layoutInCell="1" allowOverlap="1">
                <wp:simplePos x="0" y="0"/>
                <wp:positionH relativeFrom="column">
                  <wp:posOffset>1861185</wp:posOffset>
                </wp:positionH>
                <wp:positionV relativeFrom="paragraph">
                  <wp:posOffset>3811270</wp:posOffset>
                </wp:positionV>
                <wp:extent cx="695325" cy="504190"/>
                <wp:effectExtent l="2540" t="3810" r="6985" b="6350"/>
                <wp:wrapNone/>
                <wp:docPr id="67" name="直接箭头连接符 67"/>
                <wp:cNvGraphicFramePr/>
                <a:graphic xmlns:a="http://schemas.openxmlformats.org/drawingml/2006/main">
                  <a:graphicData uri="http://schemas.microsoft.com/office/word/2010/wordprocessingShape">
                    <wps:wsp>
                      <wps:cNvCnPr>
                        <a:endCxn id="40" idx="1"/>
                      </wps:cNvCnPr>
                      <wps:spPr>
                        <a:xfrm>
                          <a:off x="3004185" y="4923790"/>
                          <a:ext cx="695325" cy="5041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6.55pt;margin-top:300.1pt;height:39.7pt;width:54.75pt;z-index:251754496;mso-width-relative:page;mso-height-relative:page;" filled="f" stroked="t" coordsize="21600,21600" o:gfxdata="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rNHz32AAAAAsBAAAPAAAAAAAAAAEA&#10;IAAAACIAAABkcnMvZG93bnJldi54bWxQSwECFAAUAAAACACHTuJA+DzdXw8CAADKAwAADgAAAAAA&#10;AAABACAAAAAnAQAAZHJzL2Uyb0RvYy54bWxQSwUGAAAAAAYABgBZAQAAq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53472" behindDoc="0" locked="0" layoutInCell="1" allowOverlap="1">
                <wp:simplePos x="0" y="0"/>
                <wp:positionH relativeFrom="column">
                  <wp:posOffset>1860550</wp:posOffset>
                </wp:positionH>
                <wp:positionV relativeFrom="paragraph">
                  <wp:posOffset>3296285</wp:posOffset>
                </wp:positionV>
                <wp:extent cx="667385" cy="497205"/>
                <wp:effectExtent l="2540" t="0" r="15875" b="17145"/>
                <wp:wrapNone/>
                <wp:docPr id="66" name="直接箭头连接符 66"/>
                <wp:cNvGraphicFramePr/>
                <a:graphic xmlns:a="http://schemas.openxmlformats.org/drawingml/2006/main">
                  <a:graphicData uri="http://schemas.microsoft.com/office/word/2010/wordprocessingShape">
                    <wps:wsp>
                      <wps:cNvCnPr>
                        <a:stCxn id="36" idx="3"/>
                        <a:endCxn id="39" idx="1"/>
                      </wps:cNvCnPr>
                      <wps:spPr>
                        <a:xfrm flipV="1">
                          <a:off x="3003550" y="4408805"/>
                          <a:ext cx="667385" cy="497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6.5pt;margin-top:259.55pt;height:39.15pt;width:52.55pt;z-index:251753472;mso-width-relative:page;mso-height-relative:page;" filled="f" stroked="t" coordsize="21600,21600" o:gfxdata="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16ekt&#10;2gAAAAsBAAAPAAAAAAAAAAEAIAAAACIAAABkcnMvZG93bnJldi54bWxQSwECFAAUAAAACACHTuJA&#10;yVeZYB8CAADuAwAADgAAAAAAAAABACAAAAApAQAAZHJzL2Uyb0RvYy54bWxQSwUGAAAAAAYABgBZ&#10;AQAAu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2546985</wp:posOffset>
                </wp:positionH>
                <wp:positionV relativeFrom="paragraph">
                  <wp:posOffset>5287010</wp:posOffset>
                </wp:positionV>
                <wp:extent cx="1019175" cy="285750"/>
                <wp:effectExtent l="6350" t="6350" r="22225" b="12700"/>
                <wp:wrapNone/>
                <wp:docPr id="44" name="流程图: 过程 44"/>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债券转售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00.55pt;margin-top:416.3pt;height:22.5pt;width:80.25pt;z-index:251700224;v-text-anchor:middle;mso-width-relative:page;mso-height-relative:page;" fillcolor="#5B9BD5 [3204]" filled="t" stroked="t" coordsize="21600,21600" o:gfxdata="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5oj/oNoAAAALAQAADwAA&#10;AAAAAAABACAAAAAiAAAAZHJzL2Rvd25yZXYueG1sUEsBAhQAFAAAAAgAh07iQI8O+WyGAgAA6wQA&#10;AA4AAAAAAAAAAQAgAAAAKQEAAGRycy9lMm9Eb2MueG1sUEsFBgAAAAAGAAYAWQEAACEGA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债券转售</w:t>
                      </w:r>
                    </w:p>
                  </w:txbxContent>
                </v:textbox>
              </v:shape>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2527935</wp:posOffset>
                </wp:positionH>
                <wp:positionV relativeFrom="paragraph">
                  <wp:posOffset>4667885</wp:posOffset>
                </wp:positionV>
                <wp:extent cx="1019175" cy="285750"/>
                <wp:effectExtent l="6350" t="6350" r="22225" b="12700"/>
                <wp:wrapNone/>
                <wp:docPr id="43" name="流程图: 过程 43"/>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债券转换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9.05pt;margin-top:367.55pt;height:22.5pt;width:80.25pt;z-index:251694080;v-text-anchor:middle;mso-width-relative:page;mso-height-relative:page;" fillcolor="#5B9BD5 [3204]" filled="t" stroked="t" coordsize="21600,21600" o:gfxdata="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3PwiNdoAAAALAQAADwAA&#10;AAAAAAABACAAAAAiAAAAZHJzL2Rvd25yZXYueG1sUEsBAhQAFAAAAAgAh07iQI930uKGAgAA6wQA&#10;AA4AAAAAAAAAAQAgAAAAKQEAAGRycy9lMm9Eb2MueG1sUEsFBgAAAAAGAAYAWQEAACEGA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债券转换</w:t>
                      </w:r>
                    </w:p>
                  </w:txbxContent>
                </v:textbox>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2556510</wp:posOffset>
                </wp:positionH>
                <wp:positionV relativeFrom="paragraph">
                  <wp:posOffset>4172585</wp:posOffset>
                </wp:positionV>
                <wp:extent cx="1019175" cy="285750"/>
                <wp:effectExtent l="6350" t="6350" r="22225" b="12700"/>
                <wp:wrapNone/>
                <wp:docPr id="40" name="流程图: 过程 40"/>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债券回售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01.3pt;margin-top:328.55pt;height:22.5pt;width:80.25pt;z-index:251681792;v-text-anchor:middle;mso-width-relative:page;mso-height-relative:page;" fillcolor="#5B9BD5 [3204]" filled="t" stroked="t" coordsize="21600,21600" o:gfxdata="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IY/EY2gAAAAsBAAAPAAAA&#10;AAAAAAEAIAAAACIAAABkcnMvZG93bnJldi54bWxQSwECFAAUAAAACACHTuJAj0Ktv4UCAADrBAAA&#10;DgAAAAAAAAABACAAAAApAQAAZHJzL2Uyb0RvYy54bWxQSwUGAAAAAAYABgBZAQAAIAY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债券回售</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2499360</wp:posOffset>
                </wp:positionH>
                <wp:positionV relativeFrom="paragraph">
                  <wp:posOffset>3696335</wp:posOffset>
                </wp:positionV>
                <wp:extent cx="1019175" cy="285750"/>
                <wp:effectExtent l="6350" t="6350" r="22225" b="12700"/>
                <wp:wrapNone/>
                <wp:docPr id="38" name="流程图: 过程 38"/>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债券减记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6.8pt;margin-top:291.05pt;height:22.5pt;width:80.25pt;z-index:251669504;v-text-anchor:middle;mso-width-relative:page;mso-height-relative:page;" fillcolor="#5B9BD5 [3204]" filled="t" stroked="t" coordsize="21600,21600" o:gfxdata="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iniPRNoAAAALAQAADwAA&#10;AAAAAAABACAAAAAiAAAAZHJzL2Rvd25yZXYueG1sUEsBAhQAFAAAAAgAh07iQLf3+sKGAgAA6wQA&#10;AA4AAAAAAAAAAQAgAAAAKQEAAGRycy9lMm9Eb2MueG1sUEsFBgAAAAAGAAYAWQEAACEGA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债券减记</w:t>
                      </w:r>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2527935</wp:posOffset>
                </wp:positionH>
                <wp:positionV relativeFrom="paragraph">
                  <wp:posOffset>3153410</wp:posOffset>
                </wp:positionV>
                <wp:extent cx="1019175" cy="285750"/>
                <wp:effectExtent l="6350" t="6350" r="22225" b="12700"/>
                <wp:wrapNone/>
                <wp:docPr id="39" name="流程图: 过程 39"/>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债券赎回</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9.05pt;margin-top:248.3pt;height:22.5pt;width:80.25pt;z-index:251675648;v-text-anchor:middle;mso-width-relative:page;mso-height-relative:page;" fillcolor="#5B9BD5 [3204]" filled="t" stroked="t" coordsize="21600,21600" o:gfxdata="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1EY/U2QAAAAsBAAAPAAAA&#10;AAAAAAEAIAAAACIAAABkcnMvZG93bnJldi54bWxQSwECFAAUAAAACACHTuJAt+Qv9oYCAADrBAAA&#10;DgAAAAAAAAABACAAAAAoAQAAZHJzL2Uyb0RvYy54bWxQSwUGAAAAAAYABgBZAQAAIAY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债券赎回</w:t>
                      </w:r>
                    </w:p>
                  </w:txbxContent>
                </v:textbox>
              </v:shape>
            </w:pict>
          </mc:Fallback>
        </mc:AlternateContent>
      </w:r>
      <w:r>
        <w:rPr>
          <w:sz w:val="21"/>
        </w:rPr>
        <mc:AlternateContent>
          <mc:Choice Requires="wps">
            <w:drawing>
              <wp:anchor distT="0" distB="0" distL="114300" distR="114300" simplePos="0" relativeHeight="251687936" behindDoc="0" locked="0" layoutInCell="1" allowOverlap="1">
                <wp:simplePos x="0" y="0"/>
                <wp:positionH relativeFrom="column">
                  <wp:posOffset>2518410</wp:posOffset>
                </wp:positionH>
                <wp:positionV relativeFrom="paragraph">
                  <wp:posOffset>2600960</wp:posOffset>
                </wp:positionV>
                <wp:extent cx="1019175" cy="285750"/>
                <wp:effectExtent l="6350" t="6350" r="22225" b="12700"/>
                <wp:wrapNone/>
                <wp:docPr id="42" name="流程图: 过程 42"/>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债券注销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8.3pt;margin-top:204.8pt;height:22.5pt;width:80.25pt;z-index:251687936;v-text-anchor:middle;mso-width-relative:page;mso-height-relative:page;" fillcolor="#5B9BD5 [3204]" filled="t" stroked="t" coordsize="21600,21600" o:gfxdata="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7exvLNoAAAALAQAADwAA&#10;AAAAAAABACAAAAAiAAAAZHJzL2Rvd25yZXYueG1sUEsBAhQAFAAAAAgAh07iQI9kB9aGAgAA6wQA&#10;AA4AAAAAAAAAAQAgAAAAKQEAAGRycy9lMm9Eb2MueG1sUEsFBgAAAAAGAAYAWQEAACEGA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债券注销</w:t>
                      </w:r>
                    </w:p>
                  </w:txbxContent>
                </v:textbox>
              </v:shape>
            </w:pict>
          </mc:Fallback>
        </mc:AlternateContent>
      </w:r>
      <w:r>
        <w:rPr>
          <w:sz w:val="21"/>
        </w:rPr>
        <mc:AlternateContent>
          <mc:Choice Requires="wps">
            <w:drawing>
              <wp:anchor distT="0" distB="0" distL="114300" distR="114300" simplePos="0" relativeHeight="251752448" behindDoc="0" locked="0" layoutInCell="1" allowOverlap="1">
                <wp:simplePos x="0" y="0"/>
                <wp:positionH relativeFrom="column">
                  <wp:posOffset>5242560</wp:posOffset>
                </wp:positionH>
                <wp:positionV relativeFrom="paragraph">
                  <wp:posOffset>645160</wp:posOffset>
                </wp:positionV>
                <wp:extent cx="409575" cy="2371725"/>
                <wp:effectExtent l="6350" t="6350" r="22225" b="22225"/>
                <wp:wrapNone/>
                <wp:docPr id="65" name="流程图: 过程 65"/>
                <wp:cNvGraphicFramePr/>
                <a:graphic xmlns:a="http://schemas.openxmlformats.org/drawingml/2006/main">
                  <a:graphicData uri="http://schemas.microsoft.com/office/word/2010/wordprocessingShape">
                    <wps:wsp>
                      <wps:cNvSpPr/>
                      <wps:spPr>
                        <a:xfrm>
                          <a:off x="6309360" y="1862455"/>
                          <a:ext cx="409575" cy="23717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债券规模变动表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12.8pt;margin-top:50.8pt;height:186.75pt;width:32.25pt;z-index:251752448;v-text-anchor:middle;mso-width-relative:page;mso-height-relative:page;" fillcolor="#5B9BD5 [3204]" filled="t" stroked="t" coordsize="21600,21600" o:gfxdata="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ErJbdtoAAAALAQAADwAAAAAAAAABACAAAAAiAAAAZHJzL2Rvd25yZXYueG1sUEsBAhQAFAAAAAgA&#10;h07iQER2ZfqVAgAA9wQAAA4AAAAAAAAAAQAgAAAAKQEAAGRycy9lMm9Eb2MueG1sUEsFBgAAAAAG&#10;AAYAWQEAADAGA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债券规模变动表</w:t>
                      </w:r>
                    </w:p>
                  </w:txbxContent>
                </v:textbox>
              </v:shape>
            </w:pict>
          </mc:Fallback>
        </mc:AlternateContent>
      </w:r>
      <w:r>
        <w:rPr>
          <w:sz w:val="21"/>
        </w:rPr>
        <mc:AlternateContent>
          <mc:Choice Requires="wps">
            <w:drawing>
              <wp:anchor distT="0" distB="0" distL="114300" distR="114300" simplePos="0" relativeHeight="251748352" behindDoc="0" locked="0" layoutInCell="1" allowOverlap="1">
                <wp:simplePos x="0" y="0"/>
                <wp:positionH relativeFrom="column">
                  <wp:posOffset>1860550</wp:posOffset>
                </wp:positionH>
                <wp:positionV relativeFrom="paragraph">
                  <wp:posOffset>3793490</wp:posOffset>
                </wp:positionV>
                <wp:extent cx="638810" cy="45720"/>
                <wp:effectExtent l="635" t="9525" r="8255" b="59055"/>
                <wp:wrapNone/>
                <wp:docPr id="61" name="直接箭头连接符 61"/>
                <wp:cNvGraphicFramePr/>
                <a:graphic xmlns:a="http://schemas.openxmlformats.org/drawingml/2006/main">
                  <a:graphicData uri="http://schemas.microsoft.com/office/word/2010/wordprocessingShape">
                    <wps:wsp>
                      <wps:cNvCnPr>
                        <a:stCxn id="36" idx="3"/>
                        <a:endCxn id="38" idx="1"/>
                      </wps:cNvCnPr>
                      <wps:spPr>
                        <a:xfrm>
                          <a:off x="3003550" y="4906010"/>
                          <a:ext cx="638810" cy="45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6.5pt;margin-top:298.7pt;height:3.6pt;width:50.3pt;z-index:251748352;mso-width-relative:page;mso-height-relative:page;" filled="f" stroked="t" coordsize="21600,21600" o:gfxdata="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H+0cfaAAAACwEAAA8A&#10;AAAAAAAAAQAgAAAAIgAAAGRycy9kb3ducmV2LnhtbFBLAQIUABQAAAAIAIdO4kDuBXaAFQIAAOMD&#10;AAAOAAAAAAAAAAEAIAAAACkBAABkcnMvZTJvRG9jLnhtbFBLBQYAAAAABgAGAFkBAACw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6304" behindDoc="0" locked="0" layoutInCell="1" allowOverlap="1">
                <wp:simplePos x="0" y="0"/>
                <wp:positionH relativeFrom="column">
                  <wp:posOffset>1860550</wp:posOffset>
                </wp:positionH>
                <wp:positionV relativeFrom="paragraph">
                  <wp:posOffset>2743835</wp:posOffset>
                </wp:positionV>
                <wp:extent cx="657860" cy="1049655"/>
                <wp:effectExtent l="3810" t="0" r="5080" b="17145"/>
                <wp:wrapNone/>
                <wp:docPr id="59" name="直接箭头连接符 59"/>
                <wp:cNvGraphicFramePr/>
                <a:graphic xmlns:a="http://schemas.openxmlformats.org/drawingml/2006/main">
                  <a:graphicData uri="http://schemas.microsoft.com/office/word/2010/wordprocessingShape">
                    <wps:wsp>
                      <wps:cNvCnPr>
                        <a:stCxn id="36" idx="3"/>
                        <a:endCxn id="42" idx="1"/>
                      </wps:cNvCnPr>
                      <wps:spPr>
                        <a:xfrm flipV="1">
                          <a:off x="3003550" y="3770630"/>
                          <a:ext cx="657860" cy="10496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6.5pt;margin-top:216.05pt;height:82.65pt;width:51.8pt;z-index:251746304;mso-width-relative:page;mso-height-relative:page;" filled="f" stroked="t" coordsize="21600,21600" o:gfxdata="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CC&#10;3tsAAAALAQAADwAAAAAAAAABACAAAAAiAAAAZHJzL2Rvd25yZXYueG1sUEsBAhQAFAAAAAgAh07i&#10;QBfuKwkfAgAA7wMAAA4AAAAAAAAAAQAgAAAAKgEAAGRycy9lMm9Eb2MueG1sUEsFBgAAAAAGAAYA&#10;WQEAALs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4256" behindDoc="0" locked="0" layoutInCell="1" allowOverlap="1">
                <wp:simplePos x="0" y="0"/>
                <wp:positionH relativeFrom="column">
                  <wp:posOffset>1604010</wp:posOffset>
                </wp:positionH>
                <wp:positionV relativeFrom="paragraph">
                  <wp:posOffset>153035</wp:posOffset>
                </wp:positionV>
                <wp:extent cx="847725" cy="752475"/>
                <wp:effectExtent l="3175" t="3810" r="6350" b="5715"/>
                <wp:wrapNone/>
                <wp:docPr id="57" name="直接箭头连接符 57"/>
                <wp:cNvGraphicFramePr/>
                <a:graphic xmlns:a="http://schemas.openxmlformats.org/drawingml/2006/main">
                  <a:graphicData uri="http://schemas.microsoft.com/office/word/2010/wordprocessingShape">
                    <wps:wsp>
                      <wps:cNvCnPr>
                        <a:stCxn id="37" idx="3"/>
                        <a:endCxn id="47" idx="1"/>
                      </wps:cNvCnPr>
                      <wps:spPr>
                        <a:xfrm>
                          <a:off x="2747010" y="1265555"/>
                          <a:ext cx="847725" cy="752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6.3pt;margin-top:12.05pt;height:59.25pt;width:66.75pt;z-index:251744256;mso-width-relative:page;mso-height-relative:page;" filled="f" stroked="t" coordsize="21600,21600" o:gfxdata="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yF6KzWAAAACgEAAA8AAAAA&#10;AAAAAQAgAAAAIgAAAGRycy9kb3ducmV2LnhtbFBLAQIUABQAAAAIAIdO4kAuG62WFgIAAOQDAAAO&#10;AAAAAAAAAAEAIAAAACUBAABkcnMvZTJvRG9jLnhtbFBLBQYAAAAABgAGAFkBAACt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3232" behindDoc="0" locked="0" layoutInCell="1" allowOverlap="1">
                <wp:simplePos x="0" y="0"/>
                <wp:positionH relativeFrom="column">
                  <wp:posOffset>1613535</wp:posOffset>
                </wp:positionH>
                <wp:positionV relativeFrom="paragraph">
                  <wp:posOffset>157480</wp:posOffset>
                </wp:positionV>
                <wp:extent cx="866775" cy="290830"/>
                <wp:effectExtent l="1270" t="4445" r="8255" b="28575"/>
                <wp:wrapNone/>
                <wp:docPr id="56" name="直接箭头连接符 56"/>
                <wp:cNvGraphicFramePr/>
                <a:graphic xmlns:a="http://schemas.openxmlformats.org/drawingml/2006/main">
                  <a:graphicData uri="http://schemas.microsoft.com/office/word/2010/wordprocessingShape">
                    <wps:wsp>
                      <wps:cNvCnPr>
                        <a:endCxn id="46" idx="1"/>
                      </wps:cNvCnPr>
                      <wps:spPr>
                        <a:xfrm>
                          <a:off x="2756535" y="1270000"/>
                          <a:ext cx="866775" cy="290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7.05pt;margin-top:12.4pt;height:22.9pt;width:68.25pt;z-index:251743232;mso-width-relative:page;mso-height-relative:page;" filled="f" stroked="t" coordsize="21600,21600" o:gfxdata="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Xtv0b1wAAAAkBAAAPAAAAAAAAAAEA&#10;IAAAACIAAABkcnMvZG93bnJldi54bWxQSwECFAAUAAAACACHTuJAEHCOHhACAADKAwAADgAAAAAA&#10;AAABACAAAAAmAQAAZHJzL2Uyb0RvYy54bWxQSwUGAAAAAAYABgBZAQAAq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37088" behindDoc="0" locked="0" layoutInCell="1" allowOverlap="1">
                <wp:simplePos x="0" y="0"/>
                <wp:positionH relativeFrom="column">
                  <wp:posOffset>594360</wp:posOffset>
                </wp:positionH>
                <wp:positionV relativeFrom="paragraph">
                  <wp:posOffset>2010410</wp:posOffset>
                </wp:positionV>
                <wp:extent cx="1019175" cy="285750"/>
                <wp:effectExtent l="6350" t="6350" r="22225" b="12700"/>
                <wp:wrapNone/>
                <wp:docPr id="50" name="流程图: 过程 50"/>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债券续发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6.8pt;margin-top:158.3pt;height:22.5pt;width:80.25pt;z-index:251737088;v-text-anchor:middle;mso-width-relative:page;mso-height-relative:page;" fillcolor="#5B9BD5 [3204]" filled="t" stroked="t" coordsize="21600,21600" o:gfxdata="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qGOof2AAAAAoBAAAPAAAAAAAA&#10;AAEAIAAAACIAAABkcnMvZG93bnJldi54bWxQSwECFAAUAAAACACHTuJAnJeZv4QCAADrBAAADgAA&#10;AAAAAAABACAAAAAnAQAAZHJzL2Uyb0RvYy54bWxQSwUGAAAAAAYABgBZAQAAHQY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债券续发</w:t>
                      </w:r>
                    </w:p>
                  </w:txbxContent>
                </v:textbox>
              </v:shape>
            </w:pict>
          </mc:Fallback>
        </mc:AlternateContent>
      </w:r>
      <w:r>
        <w:rPr>
          <w:sz w:val="21"/>
        </w:rPr>
        <mc:AlternateContent>
          <mc:Choice Requires="wps">
            <w:drawing>
              <wp:anchor distT="0" distB="0" distL="114300" distR="114300" simplePos="0" relativeHeight="251730944" behindDoc="0" locked="0" layoutInCell="1" allowOverlap="1">
                <wp:simplePos x="0" y="0"/>
                <wp:positionH relativeFrom="column">
                  <wp:posOffset>632460</wp:posOffset>
                </wp:positionH>
                <wp:positionV relativeFrom="paragraph">
                  <wp:posOffset>1286510</wp:posOffset>
                </wp:positionV>
                <wp:extent cx="1019175" cy="285750"/>
                <wp:effectExtent l="6350" t="6350" r="22225" b="12700"/>
                <wp:wrapNone/>
                <wp:docPr id="49" name="流程图: 过程 49"/>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债券发行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9.8pt;margin-top:101.3pt;height:22.5pt;width:80.25pt;z-index:251730944;v-text-anchor:middle;mso-width-relative:page;mso-height-relative:page;" fillcolor="#5B9BD5 [3204]" filled="t" stroked="t" coordsize="21600,21600" o:gfxdata="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6CT+7YAAAACgEAAA8AAAAA&#10;AAAAAQAgAAAAIgAAAGRycy9kb3ducmV2LnhtbFBLAQIUABQAAAAIAIdO4kDOz6H2hgIAAOsEAAAO&#10;AAAAAAAAAAEAIAAAACcBAABkcnMvZTJvRG9jLnhtbFBLBQYAAAAABgAGAFkBAAAf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债券发行</w:t>
                      </w:r>
                    </w:p>
                  </w:txbxContent>
                </v:textbox>
              </v:shape>
            </w:pict>
          </mc:Fallback>
        </mc:AlternateContent>
      </w:r>
      <w:r>
        <w:rPr>
          <w:sz w:val="21"/>
        </w:rPr>
        <mc:AlternateContent>
          <mc:Choice Requires="wps">
            <w:drawing>
              <wp:anchor distT="0" distB="0" distL="114300" distR="114300" simplePos="0" relativeHeight="251741184" behindDoc="0" locked="0" layoutInCell="1" allowOverlap="1">
                <wp:simplePos x="0" y="0"/>
                <wp:positionH relativeFrom="column">
                  <wp:posOffset>203835</wp:posOffset>
                </wp:positionH>
                <wp:positionV relativeFrom="paragraph">
                  <wp:posOffset>1734185</wp:posOffset>
                </wp:positionV>
                <wp:extent cx="390525" cy="419100"/>
                <wp:effectExtent l="3175" t="3175" r="6350" b="15875"/>
                <wp:wrapNone/>
                <wp:docPr id="54" name="直接箭头连接符 54"/>
                <wp:cNvGraphicFramePr/>
                <a:graphic xmlns:a="http://schemas.openxmlformats.org/drawingml/2006/main">
                  <a:graphicData uri="http://schemas.microsoft.com/office/word/2010/wordprocessingShape">
                    <wps:wsp>
                      <wps:cNvCnPr>
                        <a:stCxn id="33" idx="3"/>
                        <a:endCxn id="50" idx="1"/>
                      </wps:cNvCnPr>
                      <wps:spPr>
                        <a:xfrm>
                          <a:off x="1346835" y="2846705"/>
                          <a:ext cx="39052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05pt;margin-top:136.55pt;height:33pt;width:30.75pt;z-index:251741184;mso-width-relative:page;mso-height-relative:page;" filled="f" stroked="t" coordsize="21600,21600" o:gfxdata="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Q2htXXAAAACQEA&#10;AA8AAAAAAAAAAQAgAAAAIgAAAGRycy9kb3ducmV2LnhtbFBLAQIUABQAAAAIAIdO4kBYl9/dGwIA&#10;AOQDAAAOAAAAAAAAAAEAIAAAACYBAABkcnMvZTJvRG9jLnhtbFBLBQYAAAAABgAGAFkBAACzBQAA&#10;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40160" behindDoc="0" locked="0" layoutInCell="1" allowOverlap="1">
                <wp:simplePos x="0" y="0"/>
                <wp:positionH relativeFrom="column">
                  <wp:posOffset>203835</wp:posOffset>
                </wp:positionH>
                <wp:positionV relativeFrom="paragraph">
                  <wp:posOffset>1429385</wp:posOffset>
                </wp:positionV>
                <wp:extent cx="428625" cy="304800"/>
                <wp:effectExtent l="2540" t="0" r="6985" b="19050"/>
                <wp:wrapNone/>
                <wp:docPr id="53" name="直接箭头连接符 53"/>
                <wp:cNvGraphicFramePr/>
                <a:graphic xmlns:a="http://schemas.openxmlformats.org/drawingml/2006/main">
                  <a:graphicData uri="http://schemas.microsoft.com/office/word/2010/wordprocessingShape">
                    <wps:wsp>
                      <wps:cNvCnPr>
                        <a:stCxn id="33" idx="3"/>
                        <a:endCxn id="49" idx="1"/>
                      </wps:cNvCnPr>
                      <wps:spPr>
                        <a:xfrm flipV="1">
                          <a:off x="1346835" y="2570480"/>
                          <a:ext cx="428625"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pt;margin-top:112.55pt;height:24pt;width:33.75pt;z-index:251740160;mso-width-relative:page;mso-height-relative:page;" filled="f" stroked="t" coordsize="21600,21600" o:gfxdata="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Z6XKh&#10;2AAAAAkBAAAPAAAAAAAAAAEAIAAAACIAAABkcnMvZG93bnJldi54bWxQSwECFAAUAAAACACHTuJA&#10;qR+yfSECAADuAwAADgAAAAAAAAABACAAAAAnAQAAZHJzL2Uyb0RvYy54bWxQSwUGAAAAAAYABgBZ&#10;AQAAu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39136" behindDoc="0" locked="0" layoutInCell="1" allowOverlap="1">
                <wp:simplePos x="0" y="0"/>
                <wp:positionH relativeFrom="column">
                  <wp:posOffset>-305435</wp:posOffset>
                </wp:positionH>
                <wp:positionV relativeFrom="paragraph">
                  <wp:posOffset>1877060</wp:posOffset>
                </wp:positionV>
                <wp:extent cx="833120" cy="1916430"/>
                <wp:effectExtent l="4445" t="1905" r="19685" b="5715"/>
                <wp:wrapNone/>
                <wp:docPr id="52" name="直接箭头连接符 52"/>
                <wp:cNvGraphicFramePr/>
                <a:graphic xmlns:a="http://schemas.openxmlformats.org/drawingml/2006/main">
                  <a:graphicData uri="http://schemas.microsoft.com/office/word/2010/wordprocessingShape">
                    <wps:wsp>
                      <wps:cNvCnPr>
                        <a:stCxn id="33" idx="2"/>
                        <a:endCxn id="36" idx="1"/>
                      </wps:cNvCnPr>
                      <wps:spPr>
                        <a:xfrm>
                          <a:off x="837565" y="2989580"/>
                          <a:ext cx="833120" cy="1916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05pt;margin-top:147.8pt;height:150.9pt;width:65.6pt;z-index:251739136;mso-width-relative:page;mso-height-relative:page;" filled="f" stroked="t" coordsize="21600,21600" o:gfxdata="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G1Rcp2AAAAAoBAAAP&#10;AAAAAAAAAAEAIAAAACIAAABkcnMvZG93bnJldi54bWxQSwECFAAUAAAACACHTuJAajlG1RgCAADk&#10;AwAADgAAAAAAAAABACAAAAAnAQAAZHJzL2Uyb0RvYy54bWxQSwUGAAAAAAYABgBZAQAAs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38112" behindDoc="0" locked="0" layoutInCell="1" allowOverlap="1">
                <wp:simplePos x="0" y="0"/>
                <wp:positionH relativeFrom="column">
                  <wp:posOffset>-305435</wp:posOffset>
                </wp:positionH>
                <wp:positionV relativeFrom="paragraph">
                  <wp:posOffset>153035</wp:posOffset>
                </wp:positionV>
                <wp:extent cx="890270" cy="1438275"/>
                <wp:effectExtent l="3810" t="0" r="1270" b="9525"/>
                <wp:wrapNone/>
                <wp:docPr id="51" name="直接箭头连接符 51"/>
                <wp:cNvGraphicFramePr/>
                <a:graphic xmlns:a="http://schemas.openxmlformats.org/drawingml/2006/main">
                  <a:graphicData uri="http://schemas.microsoft.com/office/word/2010/wordprocessingShape">
                    <wps:wsp>
                      <wps:cNvCnPr>
                        <a:stCxn id="33" idx="0"/>
                        <a:endCxn id="37" idx="1"/>
                      </wps:cNvCnPr>
                      <wps:spPr>
                        <a:xfrm flipV="1">
                          <a:off x="837565" y="1265555"/>
                          <a:ext cx="890270" cy="1438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05pt;margin-top:12.05pt;height:113.25pt;width:70.1pt;z-index:251738112;mso-width-relative:page;mso-height-relative:page;" filled="f" stroked="t" coordsize="21600,21600" o:gfxdata="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VJwIDXAAAACQEA&#10;AA8AAAAAAAAAAQAgAAAAIgAAAGRycy9kb3ducmV2LnhtbFBLAQIUABQAAAAIAIdO4kDSX8UDGwIA&#10;AO4DAAAOAAAAAAAAAAEAIAAAACYBAABkcnMvZTJvRG9jLnhtbFBLBQYAAAAABgAGAFkBAACzBQAA&#10;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527685</wp:posOffset>
                </wp:positionH>
                <wp:positionV relativeFrom="paragraph">
                  <wp:posOffset>3650615</wp:posOffset>
                </wp:positionV>
                <wp:extent cx="1332865" cy="285750"/>
                <wp:effectExtent l="6350" t="6350" r="13335" b="12700"/>
                <wp:wrapNone/>
                <wp:docPr id="36" name="流程图: 过程 36"/>
                <wp:cNvGraphicFramePr/>
                <a:graphic xmlns:a="http://schemas.openxmlformats.org/drawingml/2006/main">
                  <a:graphicData uri="http://schemas.microsoft.com/office/word/2010/wordprocessingShape">
                    <wps:wsp>
                      <wps:cNvSpPr/>
                      <wps:spPr>
                        <a:xfrm>
                          <a:off x="0" y="0"/>
                          <a:ext cx="133286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特殊条款行权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1.55pt;margin-top:287.45pt;height:22.5pt;width:104.95pt;z-index:251661312;v-text-anchor:middle;mso-width-relative:page;mso-height-relative:page;" fillcolor="#5B9BD5 [3204]" filled="t" stroked="t" coordsize="21600,21600" o:gfxdata="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gAkEHaAAAACgEAAA8A&#10;AAAAAAAAAQAgAAAAIgAAAGRycy9kb3ducmV2LnhtbFBLAQIUABQAAAAIAIdO4kBZvQlWhwIAAOsE&#10;AAAOAAAAAAAAAAEAIAAAACkBAABkcnMvZTJvRG9jLnhtbFBLBQYAAAAABgAGAFkBAAAi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特殊条款行权</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584835</wp:posOffset>
                </wp:positionH>
                <wp:positionV relativeFrom="paragraph">
                  <wp:posOffset>10160</wp:posOffset>
                </wp:positionV>
                <wp:extent cx="1019175" cy="285750"/>
                <wp:effectExtent l="6350" t="6350" r="22225" b="12700"/>
                <wp:wrapNone/>
                <wp:docPr id="37" name="流程图: 过程 37"/>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兑付阶段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6.05pt;margin-top:0.8pt;height:22.5pt;width:80.25pt;z-index:251663360;v-text-anchor:middle;mso-width-relative:page;mso-height-relative:page;" fillcolor="#5B9BD5 [3204]" filled="t" stroked="t" coordsize="21600,21600" o:gfxdata="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LLQU7VAAAABwEAAA8AAAAAAAAA&#10;AQAgAAAAIgAAAGRycy9kb3ducmV2LnhtbFBLAQIUABQAAAAIAIdO4kD2EAgxhgIAAOsEAAAOAAAA&#10;AAAAAAEAIAAAACQBAABkcnMvZTJvRG9jLnhtbFBLBQYAAAAABgAGAFkBAAAc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兑付阶段</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-815340</wp:posOffset>
                </wp:positionH>
                <wp:positionV relativeFrom="paragraph">
                  <wp:posOffset>1591310</wp:posOffset>
                </wp:positionV>
                <wp:extent cx="1019175" cy="285750"/>
                <wp:effectExtent l="6350" t="6350" r="22225" b="12700"/>
                <wp:wrapNone/>
                <wp:docPr id="33" name="流程图: 过程 33"/>
                <wp:cNvGraphicFramePr/>
                <a:graphic xmlns:a="http://schemas.openxmlformats.org/drawingml/2006/main">
                  <a:graphicData uri="http://schemas.microsoft.com/office/word/2010/wordprocessingShape">
                    <wps:wsp>
                      <wps:cNvSpPr/>
                      <wps:spPr>
                        <a:xfrm>
                          <a:off x="1061085" y="832866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发行阶段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64.2pt;margin-top:125.3pt;height:22.5pt;width:80.25pt;z-index:251659264;v-text-anchor:middle;mso-width-relative:page;mso-height-relative:page;" fillcolor="#5B9BD5 [3204]" filled="t" stroked="t" coordsize="21600,21600" o:gfxdata="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CEl&#10;IKTbAAAACwEAAA8AAAAAAAAAAQAgAAAAIgAAAGRycy9kb3ducmV2LnhtbFBLAQIUABQAAAAIAIdO&#10;4kB65JFJkgIAAPcEAAAOAAAAAAAAAAEAIAAAACoBAABkcnMvZTJvRG9jLnhtbFBLBQYAAAAABgAG&#10;AFkBAAAu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发行阶段</w:t>
                      </w:r>
                    </w:p>
                  </w:txbxContent>
                </v:textbox>
              </v:shape>
            </w:pict>
          </mc:Fallback>
        </mc:AlternateContent>
      </w:r>
      <w:r>
        <w:rPr>
          <w:sz w:val="21"/>
        </w:rPr>
        <mc:AlternateContent>
          <mc:Choice Requires="wps">
            <w:drawing>
              <wp:anchor distT="0" distB="0" distL="114300" distR="114300" simplePos="0" relativeHeight="251718656" behindDoc="0" locked="0" layoutInCell="1" allowOverlap="1">
                <wp:simplePos x="0" y="0"/>
                <wp:positionH relativeFrom="column">
                  <wp:posOffset>2451735</wp:posOffset>
                </wp:positionH>
                <wp:positionV relativeFrom="paragraph">
                  <wp:posOffset>762635</wp:posOffset>
                </wp:positionV>
                <wp:extent cx="1019175" cy="285750"/>
                <wp:effectExtent l="6350" t="6350" r="22225" b="12700"/>
                <wp:wrapNone/>
                <wp:docPr id="47" name="流程图: 过程 47"/>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债券兑付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3.05pt;margin-top:60.05pt;height:22.5pt;width:80.25pt;z-index:251718656;v-text-anchor:middle;mso-width-relative:page;mso-height-relative:page;" fillcolor="#5B9BD5 [3204]" filled="t" stroked="t" coordsize="21600,21600" o:gfxdata="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uWB/HdoAAAALAQAADwAA&#10;AAAAAAABACAAAAAiAAAAZHJzL2Rvd25yZXYueG1sUEsBAhQAFAAAAAgAh07iQI87hjGGAgAA6wQA&#10;AA4AAAAAAAAAAQAgAAAAKQEAAGRycy9lMm9Eb2MueG1sUEsFBgAAAAAGAAYAWQEAACEGA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债券兑付</w:t>
                      </w:r>
                    </w:p>
                  </w:txbxContent>
                </v:textbox>
              </v:shape>
            </w:pict>
          </mc:Fallback>
        </mc:AlternateContent>
      </w:r>
      <w:r>
        <w:rPr>
          <w:sz w:val="21"/>
        </w:rPr>
        <mc:AlternateContent>
          <mc:Choice Requires="wps">
            <w:drawing>
              <wp:anchor distT="0" distB="0" distL="114300" distR="114300" simplePos="0" relativeHeight="251712512" behindDoc="0" locked="0" layoutInCell="1" allowOverlap="1">
                <wp:simplePos x="0" y="0"/>
                <wp:positionH relativeFrom="column">
                  <wp:posOffset>2480310</wp:posOffset>
                </wp:positionH>
                <wp:positionV relativeFrom="paragraph">
                  <wp:posOffset>305435</wp:posOffset>
                </wp:positionV>
                <wp:extent cx="1019175" cy="285750"/>
                <wp:effectExtent l="6350" t="6350" r="22225" b="12700"/>
                <wp:wrapNone/>
                <wp:docPr id="46" name="流程图: 过程 46"/>
                <wp:cNvGraphicFramePr/>
                <a:graphic xmlns:a="http://schemas.openxmlformats.org/drawingml/2006/main">
                  <a:graphicData uri="http://schemas.microsoft.com/office/word/2010/wordprocessingShape">
                    <wps:wsp>
                      <wps:cNvSpPr/>
                      <wps:spPr>
                        <a:xfrm>
                          <a:off x="0" y="0"/>
                          <a:ext cx="101917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债券延期兑付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5.3pt;margin-top:24.05pt;height:22.5pt;width:80.25pt;z-index:251712512;v-text-anchor:middle;mso-width-relative:page;mso-height-relative:page;" fillcolor="#5B9BD5 [3204]" filled="t" stroked="t" coordsize="21600,21600" o:gfxdata="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Jn0cKjYAAAACQEAAA8AAAAA&#10;AAAAAQAgAAAAIgAAAGRycy9kb3ducmV2LnhtbFBLAQIUABQAAAAIAIdO4kCPKFMFhgIAAOsEAAAO&#10;AAAAAAAAAAEAIAAAACcBAABkcnMvZTJvRG9jLnhtbFBLBQYAAAAABgAGAFkBAAAf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债券延期兑付</w:t>
                      </w:r>
                    </w:p>
                  </w:txbxContent>
                </v:textbox>
              </v:shape>
            </w:pict>
          </mc:Fallback>
        </mc:AlternateContent>
      </w:r>
    </w:p>
    <w:p>
      <w:pPr>
        <w:rPr>
          <w:rFonts w:hint="eastAsia" w:eastAsia="宋体"/>
          <w:sz w:val="21"/>
          <w:lang w:val="en-US" w:eastAsia="zh-CN"/>
        </w:rPr>
      </w:pPr>
      <w:r>
        <w:rPr>
          <w:rFonts w:hint="eastAsia"/>
          <w:sz w:val="21"/>
          <w:lang w:val="en-US" w:eastAsia="zh-CN"/>
        </w:rPr>
        <w:t xml:space="preserve">          </w:t>
      </w:r>
    </w:p>
    <w:p>
      <w:pPr>
        <w:rPr>
          <w:sz w:val="21"/>
        </w:rPr>
      </w:pPr>
      <w:r>
        <w:rPr>
          <w:sz w:val="21"/>
        </w:rPr>
        <mc:AlternateContent>
          <mc:Choice Requires="wps">
            <w:drawing>
              <wp:anchor distT="0" distB="0" distL="114300" distR="114300" simplePos="0" relativeHeight="251758592" behindDoc="0" locked="0" layoutInCell="1" allowOverlap="1">
                <wp:simplePos x="0" y="0"/>
                <wp:positionH relativeFrom="column">
                  <wp:posOffset>3499485</wp:posOffset>
                </wp:positionH>
                <wp:positionV relativeFrom="paragraph">
                  <wp:posOffset>52070</wp:posOffset>
                </wp:positionV>
                <wp:extent cx="1948180" cy="196850"/>
                <wp:effectExtent l="635" t="4445" r="13335" b="46355"/>
                <wp:wrapNone/>
                <wp:docPr id="71" name="直接箭头连接符 71"/>
                <wp:cNvGraphicFramePr/>
                <a:graphic xmlns:a="http://schemas.openxmlformats.org/drawingml/2006/main">
                  <a:graphicData uri="http://schemas.microsoft.com/office/word/2010/wordprocessingShape">
                    <wps:wsp>
                      <wps:cNvCnPr>
                        <a:stCxn id="46" idx="3"/>
                        <a:endCxn id="65" idx="0"/>
                      </wps:cNvCnPr>
                      <wps:spPr>
                        <a:xfrm>
                          <a:off x="4642485" y="1560830"/>
                          <a:ext cx="1948180" cy="19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55pt;margin-top:4.1pt;height:15.5pt;width:153.4pt;z-index:251758592;mso-width-relative:page;mso-height-relative:page;" filled="f" stroked="t" coordsize="21600,21600" o:gfxdata="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OIBr1dYAAAAIAQAA&#10;DwAAAAAAAAABACAAAAAiAAAAZHJzL2Rvd25yZXYueG1sUEsBAhQAFAAAAAgAh07iQGoLqxMbAgAA&#10;5QMAAA4AAAAAAAAAAQAgAAAAJQEAAGRycy9lMm9Eb2MueG1sUEsFBgAAAAAGAAYAWQEAALIFAAAA&#10;AA==&#10;">
                <v:fill on="f" focussize="0,0"/>
                <v:stroke weight="0.5pt" color="#5B9BD5 [3204]" miterlimit="8" joinstyle="miter" endarrow="open"/>
                <v:imagedata o:title=""/>
                <o:lock v:ext="edit" aspectratio="f"/>
              </v:shape>
            </w:pict>
          </mc:Fallback>
        </mc:AlternateContent>
      </w:r>
    </w:p>
    <w:p>
      <w:pPr>
        <w:rPr>
          <w:sz w:val="21"/>
        </w:rPr>
      </w:pPr>
      <w:r>
        <w:rPr>
          <w:sz w:val="21"/>
        </w:rPr>
        <mc:AlternateContent>
          <mc:Choice Requires="wps">
            <w:drawing>
              <wp:anchor distT="0" distB="0" distL="114300" distR="114300" simplePos="0" relativeHeight="251763712" behindDoc="0" locked="0" layoutInCell="1" allowOverlap="1">
                <wp:simplePos x="0" y="0"/>
                <wp:positionH relativeFrom="column">
                  <wp:posOffset>3718560</wp:posOffset>
                </wp:positionH>
                <wp:positionV relativeFrom="paragraph">
                  <wp:posOffset>48895</wp:posOffset>
                </wp:positionV>
                <wp:extent cx="1695450" cy="652780"/>
                <wp:effectExtent l="1905" t="15240" r="17145" b="17780"/>
                <wp:wrapNone/>
                <wp:docPr id="76" name="直接箭头连接符 76"/>
                <wp:cNvGraphicFramePr/>
                <a:graphic xmlns:a="http://schemas.openxmlformats.org/drawingml/2006/main">
                  <a:graphicData uri="http://schemas.microsoft.com/office/word/2010/wordprocessingShape">
                    <wps:wsp>
                      <wps:cNvCnPr>
                        <a:stCxn id="48" idx="3"/>
                      </wps:cNvCnPr>
                      <wps:spPr>
                        <a:xfrm flipV="1">
                          <a:off x="4861560" y="1755775"/>
                          <a:ext cx="1695450" cy="652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2.8pt;margin-top:3.85pt;height:51.4pt;width:133.5pt;z-index:251763712;mso-width-relative:page;mso-height-relative:page;" filled="f" stroked="t" coordsize="21600,21600" o:gfxdata="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rLAbfXAAAACQEAAA8A&#10;AAAAAAAAAQAgAAAAIgAAAGRycy9kb3ducmV2LnhtbFBLAQIUABQAAAAIAIdO4kDviq39GAIAANQD&#10;AAAOAAAAAAAAAAEAIAAAACYBAABkcnMvZTJvRG9jLnhtbFBLBQYAAAAABgAGAFkBAACw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59616" behindDoc="0" locked="0" layoutInCell="1" allowOverlap="1">
                <wp:simplePos x="0" y="0"/>
                <wp:positionH relativeFrom="column">
                  <wp:posOffset>3470910</wp:posOffset>
                </wp:positionH>
                <wp:positionV relativeFrom="paragraph">
                  <wp:posOffset>62230</wp:posOffset>
                </wp:positionV>
                <wp:extent cx="1962150" cy="248920"/>
                <wp:effectExtent l="635" t="38100" r="18415" b="17780"/>
                <wp:wrapNone/>
                <wp:docPr id="72" name="直接箭头连接符 72"/>
                <wp:cNvGraphicFramePr/>
                <a:graphic xmlns:a="http://schemas.openxmlformats.org/drawingml/2006/main">
                  <a:graphicData uri="http://schemas.microsoft.com/office/word/2010/wordprocessingShape">
                    <wps:wsp>
                      <wps:cNvCnPr>
                        <a:stCxn id="47" idx="3"/>
                      </wps:cNvCnPr>
                      <wps:spPr>
                        <a:xfrm flipV="1">
                          <a:off x="4613910" y="1769110"/>
                          <a:ext cx="1962150" cy="248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73.3pt;margin-top:4.9pt;height:19.6pt;width:154.5pt;z-index:251759616;mso-width-relative:page;mso-height-relative:page;" filled="f" stroked="t" coordsize="21600,21600" o:gfxdata="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BNAhh1wAAAAgBAAAPAAAA&#10;AAAAAAEAIAAAACIAAABkcnMvZG93bnJldi54bWxQSwECFAAUAAAACACHTuJAmUrxBBYCAADUAwAA&#10;DgAAAAAAAAABACAAAAAmAQAAZHJzL2Uyb0RvYy54bWxQSwUGAAAAAAYABgBZAQAArgUAAAAA&#10;">
                <v:fill on="f" focussize="0,0"/>
                <v:stroke weight="0.5pt" color="#5B9BD5 [3204]" miterlimit="8" joinstyle="miter" endarrow="open"/>
                <v:imagedata o:title=""/>
                <o:lock v:ext="edit" aspectratio="f"/>
              </v:shape>
            </w:pict>
          </mc:Fallback>
        </mc:AlternateContent>
      </w:r>
      <w:r>
        <w:rPr>
          <w:rFonts w:hint="eastAsia"/>
          <w:sz w:val="21"/>
          <w:lang w:val="en-US" w:eastAsia="zh-CN"/>
        </w:rPr>
        <w:t xml:space="preserve">                                                          </w:t>
      </w:r>
      <w:r>
        <w:rPr>
          <w:rFonts w:hint="eastAsia"/>
          <w:color w:val="00B0F0"/>
          <w:sz w:val="21"/>
          <w:lang w:val="en-US" w:eastAsia="zh-CN"/>
        </w:rPr>
        <w:t>债券规模减少</w:t>
      </w:r>
    </w:p>
    <w:p>
      <w:pPr>
        <w:rPr>
          <w:sz w:val="21"/>
        </w:rPr>
      </w:pPr>
    </w:p>
    <w:p>
      <w:pPr>
        <w:rPr>
          <w:sz w:val="21"/>
        </w:rPr>
      </w:pPr>
      <w:r>
        <w:rPr>
          <w:sz w:val="21"/>
        </w:rPr>
        <mc:AlternateContent>
          <mc:Choice Requires="wps">
            <w:drawing>
              <wp:anchor distT="0" distB="0" distL="114300" distR="114300" simplePos="0" relativeHeight="251724800" behindDoc="0" locked="0" layoutInCell="1" allowOverlap="1">
                <wp:simplePos x="0" y="0"/>
                <wp:positionH relativeFrom="column">
                  <wp:posOffset>2451735</wp:posOffset>
                </wp:positionH>
                <wp:positionV relativeFrom="paragraph">
                  <wp:posOffset>162560</wp:posOffset>
                </wp:positionV>
                <wp:extent cx="1266825" cy="285750"/>
                <wp:effectExtent l="6350" t="6350" r="22225" b="12700"/>
                <wp:wrapNone/>
                <wp:docPr id="48" name="流程图: 过程 48"/>
                <wp:cNvGraphicFramePr/>
                <a:graphic xmlns:a="http://schemas.openxmlformats.org/drawingml/2006/main">
                  <a:graphicData uri="http://schemas.microsoft.com/office/word/2010/wordprocessingShape">
                    <wps:wsp>
                      <wps:cNvSpPr/>
                      <wps:spPr>
                        <a:xfrm>
                          <a:off x="0" y="0"/>
                          <a:ext cx="126682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eastAsia="zh-CN"/>
                              </w:rPr>
                            </w:pPr>
                            <w:r>
                              <w:rPr>
                                <w:rFonts w:hint="eastAsia"/>
                                <w:lang w:eastAsia="zh-CN"/>
                              </w:rPr>
                              <w:t>债券延期分期兑付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93.05pt;margin-top:12.8pt;height:22.5pt;width:99.75pt;z-index:251724800;v-text-anchor:middle;mso-width-relative:page;mso-height-relative:page;" fillcolor="#5B9BD5 [3204]" filled="t" stroked="t" coordsize="21600,21600" o:gfxdata="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PyffPZAAAACQEAAA8AAAAA&#10;AAAAAQAgAAAAIgAAAGRycy9kb3ducmV2LnhtbFBLAQIUABQAAAAIAIdO4kDZWV4IhQIAAOsEAAAO&#10;AAAAAAAAAAEAIAAAACgBAABkcnMvZTJvRG9jLnhtbFBLBQYAAAAABgAGAFkBAAAfBgAAAAA=&#10;">
                <v:fill on="t" focussize="0,0"/>
                <v:stroke weight="1pt" color="#41719C [3204]" miterlimit="8" joinstyle="miter"/>
                <v:imagedata o:title=""/>
                <o:lock v:ext="edit" aspectratio="f"/>
                <v:textbox>
                  <w:txbxContent>
                    <w:p>
                      <w:pPr>
                        <w:jc w:val="center"/>
                        <w:rPr>
                          <w:rFonts w:hint="eastAsia" w:eastAsia="宋体"/>
                          <w:lang w:eastAsia="zh-CN"/>
                        </w:rPr>
                      </w:pPr>
                      <w:r>
                        <w:rPr>
                          <w:rFonts w:hint="eastAsia"/>
                          <w:lang w:eastAsia="zh-CN"/>
                        </w:rPr>
                        <w:t>债券延期分期兑付</w:t>
                      </w:r>
                    </w:p>
                  </w:txbxContent>
                </v:textbox>
              </v:shape>
            </w:pict>
          </mc:Fallback>
        </mc:AlternateContent>
      </w:r>
    </w:p>
    <w:p>
      <w:pPr>
        <w:rPr>
          <w:sz w:val="21"/>
        </w:rPr>
      </w:pPr>
    </w:p>
    <w:p>
      <w:pPr>
        <w:rPr>
          <w:rFonts w:hint="eastAsia"/>
          <w:sz w:val="21"/>
          <w:lang w:val="en-US" w:eastAsia="zh-CN"/>
        </w:rPr>
      </w:pPr>
      <w:r>
        <w:rPr>
          <w:sz w:val="21"/>
        </w:rPr>
        <mc:AlternateContent>
          <mc:Choice Requires="wps">
            <w:drawing>
              <wp:anchor distT="0" distB="0" distL="114300" distR="114300" simplePos="0" relativeHeight="251769856" behindDoc="0" locked="0" layoutInCell="1" allowOverlap="1">
                <wp:simplePos x="0" y="0"/>
                <wp:positionH relativeFrom="column">
                  <wp:posOffset>3566160</wp:posOffset>
                </wp:positionH>
                <wp:positionV relativeFrom="paragraph">
                  <wp:posOffset>1630045</wp:posOffset>
                </wp:positionV>
                <wp:extent cx="1881505" cy="2413000"/>
                <wp:effectExtent l="3810" t="0" r="635" b="6350"/>
                <wp:wrapNone/>
                <wp:docPr id="82" name="直接箭头连接符 82"/>
                <wp:cNvGraphicFramePr/>
                <a:graphic xmlns:a="http://schemas.openxmlformats.org/drawingml/2006/main">
                  <a:graphicData uri="http://schemas.microsoft.com/office/word/2010/wordprocessingShape">
                    <wps:wsp>
                      <wps:cNvCnPr>
                        <a:stCxn id="44" idx="3"/>
                        <a:endCxn id="65" idx="2"/>
                      </wps:cNvCnPr>
                      <wps:spPr>
                        <a:xfrm flipV="1">
                          <a:off x="4709160" y="4129405"/>
                          <a:ext cx="1881505" cy="241300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280.8pt;margin-top:128.35pt;height:190pt;width:148.15pt;z-index:251769856;mso-width-relative:page;mso-height-relative:page;" filled="f" stroked="t" coordsize="21600,21600" o:gfxdata="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Qd1dHaAAAACwEAAA8AAAAAAAAAAQAgAAAAIgAAAGRycy9kb3ducmV2LnhtbFBL&#10;AQIUABQAAAAIAIdO4kChDmQSLQIAAAIEAAAOAAAAAAAAAAEAIAAAACkBAABkcnMvZTJvRG9jLnht&#10;bFBLBQYAAAAABgAGAFkBAADIBQAAAAA=&#10;">
                <v:fill on="f" focussize="0,0"/>
                <v:stroke weight="0.5pt" color="#ED7D31 [3205]"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8832" behindDoc="0" locked="0" layoutInCell="1" allowOverlap="1">
                <wp:simplePos x="0" y="0"/>
                <wp:positionH relativeFrom="column">
                  <wp:posOffset>3547110</wp:posOffset>
                </wp:positionH>
                <wp:positionV relativeFrom="paragraph">
                  <wp:posOffset>1630045</wp:posOffset>
                </wp:positionV>
                <wp:extent cx="1900555" cy="1793875"/>
                <wp:effectExtent l="6350" t="0" r="17145" b="15875"/>
                <wp:wrapNone/>
                <wp:docPr id="81" name="直接箭头连接符 81"/>
                <wp:cNvGraphicFramePr/>
                <a:graphic xmlns:a="http://schemas.openxmlformats.org/drawingml/2006/main">
                  <a:graphicData uri="http://schemas.microsoft.com/office/word/2010/wordprocessingShape">
                    <wps:wsp>
                      <wps:cNvCnPr>
                        <a:stCxn id="43" idx="3"/>
                        <a:endCxn id="65" idx="2"/>
                      </wps:cNvCnPr>
                      <wps:spPr>
                        <a:xfrm flipV="1">
                          <a:off x="4690110" y="4129405"/>
                          <a:ext cx="1900555" cy="1793875"/>
                        </a:xfrm>
                        <a:prstGeom prst="straightConnector1">
                          <a:avLst/>
                        </a:prstGeom>
                        <a:ln>
                          <a:tailEnd type="arrow" w="med" len="med"/>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y;margin-left:279.3pt;margin-top:128.35pt;height:141.25pt;width:149.65pt;z-index:251768832;mso-width-relative:page;mso-height-relative:page;" filled="f" stroked="t" coordsize="21600,21600" o:gfxdata="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2KzltsAAAALAQAADwAAAAAAAAABACAAAAAiAAAAZHJzL2Rvd25yZXYueG1sUEsB&#10;AhQAFAAAAAgAh07iQLuzdXErAgAAAwQAAA4AAAAAAAAAAQAgAAAAKgEAAGRycy9lMm9Eb2MueG1s&#10;UEsFBgAAAAAGAAYAWQEAAMcFAAAAAA==&#10;">
                <v:fill on="f" focussize="0,0"/>
                <v:stroke weight="1.5pt" color="#70AD47 [3209]"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7808" behindDoc="0" locked="0" layoutInCell="1" allowOverlap="1">
                <wp:simplePos x="0" y="0"/>
                <wp:positionH relativeFrom="column">
                  <wp:posOffset>3575685</wp:posOffset>
                </wp:positionH>
                <wp:positionV relativeFrom="paragraph">
                  <wp:posOffset>1630045</wp:posOffset>
                </wp:positionV>
                <wp:extent cx="1871980" cy="1298575"/>
                <wp:effectExtent l="2540" t="0" r="11430" b="15875"/>
                <wp:wrapNone/>
                <wp:docPr id="80" name="直接箭头连接符 80"/>
                <wp:cNvGraphicFramePr/>
                <a:graphic xmlns:a="http://schemas.openxmlformats.org/drawingml/2006/main">
                  <a:graphicData uri="http://schemas.microsoft.com/office/word/2010/wordprocessingShape">
                    <wps:wsp>
                      <wps:cNvCnPr>
                        <a:stCxn id="40" idx="3"/>
                        <a:endCxn id="65" idx="2"/>
                      </wps:cNvCnPr>
                      <wps:spPr>
                        <a:xfrm flipV="1">
                          <a:off x="4718685" y="4129405"/>
                          <a:ext cx="1871980" cy="129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1.55pt;margin-top:128.35pt;height:102.25pt;width:147.4pt;z-index:251767808;mso-width-relative:page;mso-height-relative:page;" filled="f" stroked="t" coordsize="21600,21600" o:gfxdata="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lQwd+&#10;2gAAAAsBAAAPAAAAAAAAAAEAIAAAACIAAABkcnMvZG93bnJldi54bWxQSwECFAAUAAAACACHTuJA&#10;PrPkwx8CAADwAwAADgAAAAAAAAABACAAAAApAQAAZHJzL2Uyb0RvYy54bWxQSwUGAAAAAAYABgBZ&#10;AQAAu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6784" behindDoc="0" locked="0" layoutInCell="1" allowOverlap="1">
                <wp:simplePos x="0" y="0"/>
                <wp:positionH relativeFrom="column">
                  <wp:posOffset>3518535</wp:posOffset>
                </wp:positionH>
                <wp:positionV relativeFrom="paragraph">
                  <wp:posOffset>1626235</wp:posOffset>
                </wp:positionV>
                <wp:extent cx="1914525" cy="826135"/>
                <wp:effectExtent l="1905" t="11430" r="7620" b="19685"/>
                <wp:wrapNone/>
                <wp:docPr id="79" name="直接箭头连接符 79"/>
                <wp:cNvGraphicFramePr/>
                <a:graphic xmlns:a="http://schemas.openxmlformats.org/drawingml/2006/main">
                  <a:graphicData uri="http://schemas.microsoft.com/office/word/2010/wordprocessingShape">
                    <wps:wsp>
                      <wps:cNvCnPr>
                        <a:stCxn id="38" idx="3"/>
                      </wps:cNvCnPr>
                      <wps:spPr>
                        <a:xfrm flipV="1">
                          <a:off x="4661535" y="4125595"/>
                          <a:ext cx="1914525" cy="826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77.05pt;margin-top:128.05pt;height:65.05pt;width:150.75pt;z-index:251766784;mso-width-relative:page;mso-height-relative:page;" filled="f" stroked="t" coordsize="21600,21600" o:gfxdata="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sD8tHZAAAACwEAAA8A&#10;AAAAAAAAAQAgAAAAIgAAAGRycy9kb3ducmV2LnhtbFBLAQIUABQAAAAIAIdO4kARwYkNFgIAANQD&#10;AAAOAAAAAAAAAAEAIAAAACgBAABkcnMvZTJvRG9jLnhtbFBLBQYAAAAABgAGAFkBAACw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5760" behindDoc="0" locked="0" layoutInCell="1" allowOverlap="1">
                <wp:simplePos x="0" y="0"/>
                <wp:positionH relativeFrom="column">
                  <wp:posOffset>3547110</wp:posOffset>
                </wp:positionH>
                <wp:positionV relativeFrom="paragraph">
                  <wp:posOffset>1616710</wp:posOffset>
                </wp:positionV>
                <wp:extent cx="1885950" cy="292735"/>
                <wp:effectExtent l="635" t="35560" r="18415" b="14605"/>
                <wp:wrapNone/>
                <wp:docPr id="78" name="直接箭头连接符 78"/>
                <wp:cNvGraphicFramePr/>
                <a:graphic xmlns:a="http://schemas.openxmlformats.org/drawingml/2006/main">
                  <a:graphicData uri="http://schemas.microsoft.com/office/word/2010/wordprocessingShape">
                    <wps:wsp>
                      <wps:cNvCnPr>
                        <a:stCxn id="39" idx="3"/>
                      </wps:cNvCnPr>
                      <wps:spPr>
                        <a:xfrm flipV="1">
                          <a:off x="4690110" y="4116070"/>
                          <a:ext cx="1885950" cy="2927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79.3pt;margin-top:127.3pt;height:23.05pt;width:148.5pt;z-index:251765760;mso-width-relative:page;mso-height-relative:page;" filled="f" stroked="t" coordsize="21600,21600" o:gfxdata="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vNkmd2QAAAAsBAAAPAAAA&#10;AAAAAAEAIAAAACIAAABkcnMvZG93bnJldi54bWxQSwECFAAUAAAACACHTuJAjnmVPBQCAADUAwAA&#10;DgAAAAAAAAABACAAAAAo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4736" behindDoc="0" locked="0" layoutInCell="1" allowOverlap="1">
                <wp:simplePos x="0" y="0"/>
                <wp:positionH relativeFrom="column">
                  <wp:posOffset>3537585</wp:posOffset>
                </wp:positionH>
                <wp:positionV relativeFrom="paragraph">
                  <wp:posOffset>1356995</wp:posOffset>
                </wp:positionV>
                <wp:extent cx="1910080" cy="273050"/>
                <wp:effectExtent l="635" t="4445" r="13335" b="46355"/>
                <wp:wrapNone/>
                <wp:docPr id="77" name="直接箭头连接符 77"/>
                <wp:cNvGraphicFramePr/>
                <a:graphic xmlns:a="http://schemas.openxmlformats.org/drawingml/2006/main">
                  <a:graphicData uri="http://schemas.microsoft.com/office/word/2010/wordprocessingShape">
                    <wps:wsp>
                      <wps:cNvCnPr>
                        <a:stCxn id="42" idx="3"/>
                        <a:endCxn id="65" idx="2"/>
                      </wps:cNvCnPr>
                      <wps:spPr>
                        <a:xfrm>
                          <a:off x="4680585" y="3856355"/>
                          <a:ext cx="1910080" cy="27305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8.55pt;margin-top:106.85pt;height:21.5pt;width:150.4pt;z-index:251764736;mso-width-relative:page;mso-height-relative:page;" filled="f" stroked="t" coordsize="21600,21600" o:gfxdata="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L&#10;TG3B2AAAAAsBAAAPAAAAAAAAAAEAIAAAACIAAABkcnMvZG93bnJldi54bWxQSwECFAAUAAAACACH&#10;TuJAzscNdyQCAAD3AwAADgAAAAAAAAABACAAAAAnAQAAZHJzL2Uyb0RvYy54bWxQSwUGAAAAAAYA&#10;BgBZAQAAv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2688" behindDoc="0" locked="0" layoutInCell="1" allowOverlap="1">
                <wp:simplePos x="0" y="0"/>
                <wp:positionH relativeFrom="column">
                  <wp:posOffset>1613535</wp:posOffset>
                </wp:positionH>
                <wp:positionV relativeFrom="paragraph">
                  <wp:posOffset>448945</wp:posOffset>
                </wp:positionV>
                <wp:extent cx="3600450" cy="317500"/>
                <wp:effectExtent l="635" t="41275" r="18415" b="22225"/>
                <wp:wrapNone/>
                <wp:docPr id="75" name="直接箭头连接符 75"/>
                <wp:cNvGraphicFramePr/>
                <a:graphic xmlns:a="http://schemas.openxmlformats.org/drawingml/2006/main">
                  <a:graphicData uri="http://schemas.microsoft.com/office/word/2010/wordprocessingShape">
                    <wps:wsp>
                      <wps:cNvCnPr>
                        <a:stCxn id="50" idx="3"/>
                      </wps:cNvCnPr>
                      <wps:spPr>
                        <a:xfrm flipV="1">
                          <a:off x="2756535" y="2948305"/>
                          <a:ext cx="3600450" cy="31750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127.05pt;margin-top:35.35pt;height:25pt;width:283.5pt;z-index:251762688;mso-width-relative:page;mso-height-relative:page;" filled="f" stroked="t" coordsize="21600,21600" o:gfxdata="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zvX4K9gA&#10;AAAKAQAADwAAAAAAAAABACAAAAAiAAAAZHJzL2Rvd25yZXYueG1sUEsBAhQAFAAAAAgAh07iQJ/7&#10;iN0fAgAA5gMAAA4AAAAAAAAAAQAgAAAAJwEAAGRycy9lMm9Eb2MueG1sUEsFBgAAAAAGAAYAWQEA&#10;ALgFAAAAAA==&#10;">
                <v:fill on="f" focussize="0,0"/>
                <v:stroke weight="0.5pt" color="#ED7D31 [3205]"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61664" behindDoc="0" locked="0" layoutInCell="1" allowOverlap="1">
                <wp:simplePos x="0" y="0"/>
                <wp:positionH relativeFrom="column">
                  <wp:posOffset>1651635</wp:posOffset>
                </wp:positionH>
                <wp:positionV relativeFrom="paragraph">
                  <wp:posOffset>42545</wp:posOffset>
                </wp:positionV>
                <wp:extent cx="3590925" cy="401955"/>
                <wp:effectExtent l="635" t="4445" r="8890" b="50800"/>
                <wp:wrapNone/>
                <wp:docPr id="74" name="直接箭头连接符 74"/>
                <wp:cNvGraphicFramePr/>
                <a:graphic xmlns:a="http://schemas.openxmlformats.org/drawingml/2006/main">
                  <a:graphicData uri="http://schemas.microsoft.com/office/word/2010/wordprocessingShape">
                    <wps:wsp>
                      <wps:cNvCnPr>
                        <a:stCxn id="49" idx="3"/>
                        <a:endCxn id="65" idx="1"/>
                      </wps:cNvCnPr>
                      <wps:spPr>
                        <a:xfrm>
                          <a:off x="2794635" y="2541905"/>
                          <a:ext cx="3590925" cy="40195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30.05pt;margin-top:3.35pt;height:31.65pt;width:282.75pt;z-index:251761664;mso-width-relative:page;mso-height-relative:page;" filled="f" stroked="t" coordsize="21600,21600" o:gfxdata="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Z06&#10;mdgAAAAIAQAADwAAAAAAAAABACAAAAAiAAAAZHJzL2Rvd25yZXYueG1sUEsBAhQAFAAAAAgAh07i&#10;QHy6TogiAgAA9wMAAA4AAAAAAAAAAQAgAAAAJwEAAGRycy9lMm9Eb2MueG1sUEsFBgAAAAAGAAYA&#10;WQEAALsFAAAAAA==&#10;">
                <v:fill on="f" focussize="0,0"/>
                <v:stroke weight="0.5pt" color="#ED7D31 [3205]" miterlimit="8" joinstyle="miter" endarrow="open"/>
                <v:imagedata o:title=""/>
                <o:lock v:ext="edit" aspectratio="f"/>
              </v:shape>
            </w:pict>
          </mc:Fallback>
        </mc:AlternateContent>
      </w:r>
      <w:r>
        <w:rPr>
          <w:rFonts w:hint="eastAsia"/>
          <w:sz w:val="21"/>
          <w:lang w:val="en-US" w:eastAsia="zh-CN"/>
        </w:rPr>
        <w:t xml:space="preserve">                              </w:t>
      </w:r>
    </w:p>
    <w:p>
      <w:pPr>
        <w:rPr>
          <w:rFonts w:hint="eastAsia"/>
          <w:sz w:val="21"/>
          <w:lang w:val="en-US" w:eastAsia="zh-CN"/>
        </w:rPr>
      </w:pPr>
      <w:r>
        <w:rPr>
          <w:rFonts w:hint="eastAsia"/>
          <w:sz w:val="21"/>
          <w:lang w:val="en-US" w:eastAsia="zh-CN"/>
        </w:rPr>
        <w:t xml:space="preserve">                                   </w:t>
      </w:r>
    </w:p>
    <w:p>
      <w:pPr>
        <w:rPr>
          <w:rFonts w:hint="eastAsia"/>
          <w:sz w:val="21"/>
          <w:lang w:val="en-US" w:eastAsia="zh-CN"/>
        </w:rPr>
      </w:pPr>
      <w:r>
        <w:rPr>
          <w:rFonts w:hint="eastAsia"/>
          <w:sz w:val="21"/>
          <w:lang w:val="en-US" w:eastAsia="zh-CN"/>
        </w:rPr>
        <w:t xml:space="preserve">                                        </w:t>
      </w:r>
      <w:r>
        <w:rPr>
          <w:rFonts w:hint="eastAsia"/>
          <w:color w:val="F4B183" w:themeColor="accent2" w:themeTint="99"/>
          <w:sz w:val="21"/>
          <w:lang w:val="en-US" w:eastAsia="zh-CN"/>
          <w14:textFill>
            <w14:solidFill>
              <w14:schemeClr w14:val="accent2">
                <w14:lumMod w14:val="60000"/>
                <w14:lumOff w14:val="40000"/>
              </w14:schemeClr>
            </w14:solidFill>
          </w14:textFill>
        </w:rPr>
        <w:t>债券规模增加</w:t>
      </w:r>
    </w:p>
    <w:p>
      <w:pPr>
        <w:rPr>
          <w:rFonts w:hint="eastAsia"/>
          <w:sz w:val="21"/>
          <w:lang w:val="en-US" w:eastAsia="zh-CN"/>
        </w:rPr>
      </w:pPr>
    </w:p>
    <w:p>
      <w:pPr>
        <w:rPr>
          <w:rFonts w:hint="eastAsia"/>
          <w:sz w:val="21"/>
          <w:lang w:val="en-US" w:eastAsia="zh-CN"/>
        </w:rPr>
      </w:pPr>
    </w:p>
    <w:p>
      <w:pPr>
        <w:rPr>
          <w:rFonts w:hint="eastAsia"/>
          <w:sz w:val="21"/>
          <w:lang w:val="en-US" w:eastAsia="zh-CN"/>
        </w:rPr>
      </w:pPr>
    </w:p>
    <w:p>
      <w:pPr>
        <w:rPr>
          <w:rFonts w:hint="eastAsia"/>
          <w:sz w:val="21"/>
          <w:lang w:val="en-US" w:eastAsia="zh-CN"/>
        </w:rPr>
      </w:pPr>
    </w:p>
    <w:p>
      <w:pPr>
        <w:rPr>
          <w:rFonts w:hint="eastAsia"/>
          <w:sz w:val="21"/>
          <w:lang w:val="en-US" w:eastAsia="zh-CN"/>
        </w:rPr>
      </w:pPr>
    </w:p>
    <w:p>
      <w:pPr>
        <w:rPr>
          <w:rFonts w:hint="eastAsia"/>
          <w:sz w:val="21"/>
          <w:lang w:val="en-US" w:eastAsia="zh-CN"/>
        </w:rPr>
      </w:pPr>
    </w:p>
    <w:p>
      <w:pPr>
        <w:rPr>
          <w:rFonts w:hint="eastAsia"/>
          <w:sz w:val="21"/>
          <w:lang w:val="en-US" w:eastAsia="zh-CN"/>
        </w:rPr>
      </w:pPr>
    </w:p>
    <w:p>
      <w:pPr>
        <w:rPr>
          <w:rFonts w:hint="eastAsia"/>
          <w:color w:val="2E75B6" w:themeColor="accent1" w:themeShade="BF"/>
          <w:sz w:val="21"/>
          <w:lang w:val="en-US" w:eastAsia="zh-CN"/>
        </w:rPr>
      </w:pPr>
      <w:r>
        <w:rPr>
          <w:rFonts w:hint="eastAsia"/>
          <w:sz w:val="21"/>
          <w:lang w:val="en-US" w:eastAsia="zh-CN"/>
        </w:rPr>
        <w:t xml:space="preserve">                                                       </w:t>
      </w:r>
      <w:r>
        <w:rPr>
          <w:rFonts w:hint="eastAsia"/>
          <w:color w:val="2E75B6" w:themeColor="accent1" w:themeShade="BF"/>
          <w:sz w:val="21"/>
          <w:lang w:val="en-US" w:eastAsia="zh-CN"/>
        </w:rPr>
        <w:t>债券规模减少</w:t>
      </w: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p>
      <w:pPr>
        <w:rPr>
          <w:rFonts w:hint="eastAsia"/>
          <w:color w:val="2E75B6" w:themeColor="accent1" w:themeShade="BF"/>
          <w:sz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Arial">
    <w:panose1 w:val="020B0604020202020204"/>
    <w:charset w:val="00"/>
    <w:family w:val="swiss"/>
    <w:pitch w:val="default"/>
    <w:sig w:usb0="E0002AFF" w:usb1="C0007843" w:usb2="00000009" w:usb3="00000000" w:csb0="400001FF" w:csb1="FFFF0000"/>
  </w:font>
  <w:font w:name="仿宋体">
    <w:altName w:val="宋体"/>
    <w:panose1 w:val="00000000000000000000"/>
    <w:charset w:val="86"/>
    <w:family w:val="roma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swiss"/>
    <w:pitch w:val="default"/>
    <w:sig w:usb0="FFFFFFFF" w:usb1="E9FFFFFF" w:usb2="0000003F" w:usb3="00000000" w:csb0="603F01FF" w:csb1="FFFF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00"/>
    <w:family w:val="auto"/>
    <w:pitch w:val="default"/>
    <w:sig w:usb0="00000000" w:usb1="00000000" w:usb2="00000000" w:usb3="00000000" w:csb0="00000000" w:csb1="00000000"/>
  </w:font>
  <w:font w:name="Hiragino Sans GB W3">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瀹嬩綋">
    <w:altName w:val="宋体"/>
    <w:panose1 w:val="00000000000000000000"/>
    <w:charset w:val="86"/>
    <w:family w:val="auto"/>
    <w:pitch w:val="default"/>
    <w:sig w:usb0="00000000" w:usb1="00000000" w:usb2="00000000" w:usb3="00000000" w:csb0="00040000" w:csb1="00000000"/>
  </w:font>
  <w:font w:name="å®‹ä½“">
    <w:altName w:val="Segoe Print"/>
    <w:panose1 w:val="00000000000000000000"/>
    <w:charset w:val="00"/>
    <w:family w:val="swiss"/>
    <w:pitch w:val="default"/>
    <w:sig w:usb0="00000000"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微软雅黑" w:hAnsi="微软雅黑" w:eastAsia="微软雅黑" w:cs="Calibri"/>
        <w:b/>
        <w:bCs/>
        <w:color w:val="ED6C00"/>
        <w:kern w:val="0"/>
        <w:sz w:val="24"/>
        <w:szCs w:val="24"/>
        <w:lang w:val="en-US" w:eastAsia="zh-CN" w:bidi="ar-SA"/>
      </w:rPr>
    </w:pPr>
    <w:r>
      <w:rPr>
        <w:rFonts w:hint="eastAsia" w:ascii="微软雅黑" w:hAnsi="微软雅黑" w:eastAsia="微软雅黑" w:cs="Calibri"/>
        <w:b/>
        <w:bCs/>
        <w:color w:val="ED6C00"/>
        <w:kern w:val="0"/>
        <w:sz w:val="24"/>
        <w:szCs w:val="24"/>
        <w:lang w:val="en-US" w:eastAsia="zh-CN" w:bidi="ar-SA"/>
      </w:rPr>
      <w:t>上海浦东新区张东路1388号科技领袖之都8号楼</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24"/>
        <w:szCs w:val="24"/>
      </w:rPr>
    </w:pPr>
    <w:r>
      <w:rPr>
        <w:rFonts w:hint="eastAsia" w:ascii="微软雅黑" w:hAnsi="微软雅黑" w:eastAsia="微软雅黑" w:cs="Calibri"/>
        <w:b/>
        <w:bCs/>
        <w:color w:val="ED6C00"/>
        <w:kern w:val="0"/>
        <w:sz w:val="24"/>
        <w:szCs w:val="24"/>
      </w:rPr>
      <w:t>上海</w:t>
    </w:r>
    <w:r>
      <w:rPr>
        <w:rFonts w:ascii="微软雅黑" w:hAnsi="微软雅黑" w:eastAsia="微软雅黑" w:cs="Calibri"/>
        <w:b/>
        <w:bCs/>
        <w:color w:val="ED6C00"/>
        <w:kern w:val="0"/>
        <w:sz w:val="24"/>
        <w:szCs w:val="24"/>
      </w:rPr>
      <w:t>普兰金融</w:t>
    </w:r>
    <w:r>
      <w:rPr>
        <w:rFonts w:hint="eastAsia" w:ascii="微软雅黑" w:hAnsi="微软雅黑" w:eastAsia="微软雅黑" w:cs="Calibri"/>
        <w:b/>
        <w:bCs/>
        <w:color w:val="ED6C00"/>
        <w:kern w:val="0"/>
        <w:sz w:val="24"/>
        <w:szCs w:val="24"/>
      </w:rPr>
      <w:t>服务有限公司</w:t>
    </w:r>
    <w:r>
      <w:rPr>
        <w:rFonts w:hint="eastAsia" w:ascii="微软雅黑" w:hAnsi="微软雅黑" w:eastAsia="微软雅黑" w:cs="Calibri"/>
        <w:b/>
        <w:bCs/>
        <w:color w:val="ED6C00"/>
        <w:kern w:val="0"/>
        <w:sz w:val="24"/>
        <w:szCs w:val="24"/>
        <w:lang w:val="en-US" w:eastAsia="zh-CN"/>
      </w:rPr>
      <w:t xml:space="preserve">                           </w:t>
    </w:r>
    <w:r>
      <w:rPr>
        <w:rFonts w:hint="eastAsia" w:ascii="楷体_GB2312" w:hAnsi="Tahoma" w:eastAsia="楷体_GB2312" w:cs="Tahoma"/>
        <w:bCs/>
        <w:kern w:val="0"/>
        <w:sz w:val="20"/>
      </w:rPr>
      <w:t>数据中心_数据业务规划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F4F58"/>
    <w:multiLevelType w:val="multilevel"/>
    <w:tmpl w:val="56EF4F58"/>
    <w:lvl w:ilvl="0" w:tentative="0">
      <w:start w:val="1"/>
      <w:numFmt w:val="decimal"/>
      <w:pStyle w:val="2"/>
      <w:lvlText w:val="%1."/>
      <w:lvlJc w:val="left"/>
      <w:pPr>
        <w:tabs>
          <w:tab w:val="left" w:pos="432"/>
        </w:tabs>
        <w:ind w:left="432" w:leftChars="0" w:hanging="432" w:firstLineChars="0"/>
      </w:pPr>
      <w:rPr>
        <w:rFonts w:hint="default"/>
      </w:rPr>
    </w:lvl>
    <w:lvl w:ilvl="1" w:tentative="0">
      <w:start w:val="1"/>
      <w:numFmt w:val="decimal"/>
      <w:pStyle w:val="3"/>
      <w:lvlText w:val="%1.%2."/>
      <w:lvlJc w:val="left"/>
      <w:pPr>
        <w:tabs>
          <w:tab w:val="left" w:pos="575"/>
        </w:tabs>
        <w:ind w:left="575" w:leftChars="0" w:hanging="575" w:firstLineChars="0"/>
      </w:pPr>
      <w:rPr>
        <w:rFonts w:hint="default" w:ascii="宋体" w:hAnsi="宋体" w:eastAsia="宋体" w:cs="宋体"/>
      </w:rPr>
    </w:lvl>
    <w:lvl w:ilvl="2" w:tentative="0">
      <w:start w:val="1"/>
      <w:numFmt w:val="decimal"/>
      <w:pStyle w:val="5"/>
      <w:lvlText w:val="%1.%2.%3."/>
      <w:lvlJc w:val="left"/>
      <w:pPr>
        <w:tabs>
          <w:tab w:val="left" w:pos="720"/>
        </w:tabs>
        <w:ind w:left="720" w:leftChars="0" w:hanging="720" w:firstLineChars="0"/>
      </w:pPr>
      <w:rPr>
        <w:rFonts w:hint="default" w:ascii="宋体" w:hAnsi="宋体" w:eastAsia="宋体" w:cs="宋体"/>
      </w:rPr>
    </w:lvl>
    <w:lvl w:ilvl="3" w:tentative="0">
      <w:start w:val="1"/>
      <w:numFmt w:val="decimal"/>
      <w:pStyle w:val="6"/>
      <w:lvlText w:val="%1.%2.%3.%4."/>
      <w:lvlJc w:val="left"/>
      <w:pPr>
        <w:tabs>
          <w:tab w:val="left" w:pos="864"/>
        </w:tabs>
        <w:ind w:left="864" w:leftChars="0" w:hanging="864" w:firstLineChars="0"/>
      </w:pPr>
      <w:rPr>
        <w:rFonts w:hint="default" w:ascii="宋体" w:hAnsi="宋体" w:eastAsia="宋体" w:cs="宋体"/>
      </w:rPr>
    </w:lvl>
    <w:lvl w:ilvl="4" w:tentative="0">
      <w:start w:val="1"/>
      <w:numFmt w:val="decimal"/>
      <w:pStyle w:val="7"/>
      <w:lvlText w:val="%1.%2.%3.%4.%5."/>
      <w:lvlJc w:val="left"/>
      <w:pPr>
        <w:tabs>
          <w:tab w:val="left" w:pos="1008"/>
        </w:tabs>
        <w:ind w:left="1008" w:leftChars="0" w:hanging="1008" w:firstLineChars="0"/>
      </w:pPr>
      <w:rPr>
        <w:rFonts w:hint="default" w:ascii="宋体" w:hAnsi="宋体" w:eastAsia="宋体" w:cs="宋体"/>
      </w:rPr>
    </w:lvl>
    <w:lvl w:ilvl="5" w:tentative="0">
      <w:start w:val="1"/>
      <w:numFmt w:val="decimal"/>
      <w:pStyle w:val="8"/>
      <w:lvlText w:val="%1.%2.%3.%4.%5.%6."/>
      <w:lvlJc w:val="left"/>
      <w:pPr>
        <w:tabs>
          <w:tab w:val="left" w:pos="1151"/>
        </w:tabs>
        <w:ind w:left="1151" w:leftChars="0" w:hanging="1151" w:firstLineChars="0"/>
      </w:pPr>
      <w:rPr>
        <w:rFonts w:hint="default" w:ascii="宋体" w:hAnsi="宋体" w:eastAsia="宋体" w:cs="宋体"/>
      </w:rPr>
    </w:lvl>
    <w:lvl w:ilvl="6" w:tentative="0">
      <w:start w:val="1"/>
      <w:numFmt w:val="decimal"/>
      <w:pStyle w:val="9"/>
      <w:lvlText w:val="%1.%2.%3.%4.%5.%6.%7."/>
      <w:lvlJc w:val="left"/>
      <w:pPr>
        <w:tabs>
          <w:tab w:val="left" w:pos="1296"/>
        </w:tabs>
        <w:ind w:left="1296" w:leftChars="0" w:hanging="1296" w:firstLineChars="0"/>
      </w:pPr>
      <w:rPr>
        <w:rFonts w:hint="default" w:ascii="宋体" w:hAnsi="宋体" w:eastAsia="宋体" w:cs="宋体"/>
      </w:rPr>
    </w:lvl>
    <w:lvl w:ilvl="7" w:tentative="0">
      <w:start w:val="1"/>
      <w:numFmt w:val="decimal"/>
      <w:pStyle w:val="10"/>
      <w:lvlText w:val="%1.%2.%3.%4.%5.%6.%7.%8."/>
      <w:lvlJc w:val="left"/>
      <w:pPr>
        <w:tabs>
          <w:tab w:val="left" w:pos="1440"/>
        </w:tabs>
        <w:ind w:left="1440" w:leftChars="0" w:hanging="1440" w:firstLineChars="0"/>
      </w:pPr>
      <w:rPr>
        <w:rFonts w:hint="default" w:ascii="宋体" w:hAnsi="宋体" w:eastAsia="宋体" w:cs="宋体"/>
      </w:rPr>
    </w:lvl>
    <w:lvl w:ilvl="8" w:tentative="0">
      <w:start w:val="1"/>
      <w:numFmt w:val="decimal"/>
      <w:pStyle w:val="11"/>
      <w:lvlText w:val="%1.%2.%3.%4.%5.%6.%7.%8.%9."/>
      <w:lvlJc w:val="left"/>
      <w:pPr>
        <w:tabs>
          <w:tab w:val="left" w:pos="1583"/>
        </w:tabs>
        <w:ind w:left="1583" w:leftChars="0" w:hanging="1583" w:firstLineChars="0"/>
      </w:pPr>
      <w:rPr>
        <w:rFonts w:hint="default" w:ascii="宋体" w:hAnsi="宋体" w:eastAsia="宋体" w:cs="宋体"/>
      </w:rPr>
    </w:lvl>
  </w:abstractNum>
  <w:abstractNum w:abstractNumId="1">
    <w:nsid w:val="579FFED7"/>
    <w:multiLevelType w:val="singleLevel"/>
    <w:tmpl w:val="579FFED7"/>
    <w:lvl w:ilvl="0" w:tentative="0">
      <w:start w:val="1"/>
      <w:numFmt w:val="decimal"/>
      <w:suff w:val="nothing"/>
      <w:lvlText w:val="%1、"/>
      <w:lvlJc w:val="left"/>
    </w:lvl>
  </w:abstractNum>
  <w:abstractNum w:abstractNumId="2">
    <w:nsid w:val="57A0030F"/>
    <w:multiLevelType w:val="singleLevel"/>
    <w:tmpl w:val="57A0030F"/>
    <w:lvl w:ilvl="0" w:tentative="0">
      <w:start w:val="2"/>
      <w:numFmt w:val="decimal"/>
      <w:suff w:val="nothing"/>
      <w:lvlText w:val="%1、"/>
      <w:lvlJc w:val="left"/>
    </w:lvl>
  </w:abstractNum>
  <w:abstractNum w:abstractNumId="3">
    <w:nsid w:val="57A3F0C4"/>
    <w:multiLevelType w:val="singleLevel"/>
    <w:tmpl w:val="57A3F0C4"/>
    <w:lvl w:ilvl="0" w:tentative="0">
      <w:start w:val="1"/>
      <w:numFmt w:val="decimal"/>
      <w:suff w:val="nothing"/>
      <w:lvlText w:val="%1、"/>
      <w:lvlJc w:val="left"/>
    </w:lvl>
  </w:abstractNum>
  <w:abstractNum w:abstractNumId="4">
    <w:nsid w:val="57A425B6"/>
    <w:multiLevelType w:val="singleLevel"/>
    <w:tmpl w:val="57A425B6"/>
    <w:lvl w:ilvl="0" w:tentative="0">
      <w:start w:val="1"/>
      <w:numFmt w:val="decimal"/>
      <w:suff w:val="nothing"/>
      <w:lvlText w:val="（%1）"/>
      <w:lvlJc w:val="left"/>
    </w:lvl>
  </w:abstractNum>
  <w:abstractNum w:abstractNumId="5">
    <w:nsid w:val="57AD849C"/>
    <w:multiLevelType w:val="singleLevel"/>
    <w:tmpl w:val="57AD849C"/>
    <w:lvl w:ilvl="0" w:tentative="0">
      <w:start w:val="2"/>
      <w:numFmt w:val="decimal"/>
      <w:suff w:val="nothing"/>
      <w:lvlText w:val="%1."/>
      <w:lvlJc w:val="left"/>
    </w:lvl>
  </w:abstractNum>
  <w:num w:numId="1">
    <w:abstractNumId w:val="0"/>
  </w:num>
  <w:num w:numId="2">
    <w:abstractNumId w:val="1"/>
  </w:num>
  <w:num w:numId="3">
    <w:abstractNumId w:val="4"/>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dit="forms"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6151"/>
    <w:rsid w:val="00272E55"/>
    <w:rsid w:val="00BB0768"/>
    <w:rsid w:val="01241E4F"/>
    <w:rsid w:val="015B3C74"/>
    <w:rsid w:val="01AD3B02"/>
    <w:rsid w:val="026A3D04"/>
    <w:rsid w:val="02902BD4"/>
    <w:rsid w:val="02912F40"/>
    <w:rsid w:val="031657A9"/>
    <w:rsid w:val="0332694F"/>
    <w:rsid w:val="03D42F25"/>
    <w:rsid w:val="03F6445E"/>
    <w:rsid w:val="05707CD1"/>
    <w:rsid w:val="0579291E"/>
    <w:rsid w:val="05F336BB"/>
    <w:rsid w:val="061D4115"/>
    <w:rsid w:val="061E5789"/>
    <w:rsid w:val="06F956D7"/>
    <w:rsid w:val="071D4CB1"/>
    <w:rsid w:val="07550B5B"/>
    <w:rsid w:val="075C3F48"/>
    <w:rsid w:val="07B305A3"/>
    <w:rsid w:val="07D65660"/>
    <w:rsid w:val="08502DB0"/>
    <w:rsid w:val="08E21243"/>
    <w:rsid w:val="08E63A08"/>
    <w:rsid w:val="095F0B86"/>
    <w:rsid w:val="09C70DE3"/>
    <w:rsid w:val="0A452967"/>
    <w:rsid w:val="0CC061AD"/>
    <w:rsid w:val="0D382247"/>
    <w:rsid w:val="0D514829"/>
    <w:rsid w:val="0DF00EAA"/>
    <w:rsid w:val="0E9736A6"/>
    <w:rsid w:val="0E98447E"/>
    <w:rsid w:val="0EAA267A"/>
    <w:rsid w:val="0F6B5EC9"/>
    <w:rsid w:val="0F770493"/>
    <w:rsid w:val="0FDC751D"/>
    <w:rsid w:val="11501AE1"/>
    <w:rsid w:val="13414887"/>
    <w:rsid w:val="135A3DE1"/>
    <w:rsid w:val="13CF109C"/>
    <w:rsid w:val="14310841"/>
    <w:rsid w:val="14736A94"/>
    <w:rsid w:val="14AD3FAA"/>
    <w:rsid w:val="151E35A6"/>
    <w:rsid w:val="15A06B8B"/>
    <w:rsid w:val="15A62093"/>
    <w:rsid w:val="15C50365"/>
    <w:rsid w:val="161066D4"/>
    <w:rsid w:val="16BF7F07"/>
    <w:rsid w:val="17206A22"/>
    <w:rsid w:val="1725214A"/>
    <w:rsid w:val="1850075F"/>
    <w:rsid w:val="186C2FCD"/>
    <w:rsid w:val="18A4664E"/>
    <w:rsid w:val="18BD776E"/>
    <w:rsid w:val="18F2203F"/>
    <w:rsid w:val="193B184B"/>
    <w:rsid w:val="19B46766"/>
    <w:rsid w:val="19B64622"/>
    <w:rsid w:val="19B92944"/>
    <w:rsid w:val="1A0B5C8A"/>
    <w:rsid w:val="1A731B1A"/>
    <w:rsid w:val="1B7C2904"/>
    <w:rsid w:val="1C7E5BDD"/>
    <w:rsid w:val="1C9F70B3"/>
    <w:rsid w:val="1CAA306E"/>
    <w:rsid w:val="1CB92296"/>
    <w:rsid w:val="1D262F04"/>
    <w:rsid w:val="1D5B1CD3"/>
    <w:rsid w:val="1D9E0378"/>
    <w:rsid w:val="1DB2397F"/>
    <w:rsid w:val="1ECB7E09"/>
    <w:rsid w:val="1ECC0D11"/>
    <w:rsid w:val="1F7A564A"/>
    <w:rsid w:val="20FB5168"/>
    <w:rsid w:val="21E410A9"/>
    <w:rsid w:val="22044412"/>
    <w:rsid w:val="221431AD"/>
    <w:rsid w:val="23114ED6"/>
    <w:rsid w:val="23176A56"/>
    <w:rsid w:val="239F06FB"/>
    <w:rsid w:val="24234970"/>
    <w:rsid w:val="244D1FFA"/>
    <w:rsid w:val="246375DB"/>
    <w:rsid w:val="249E698F"/>
    <w:rsid w:val="24A06DFF"/>
    <w:rsid w:val="258601F7"/>
    <w:rsid w:val="259D4210"/>
    <w:rsid w:val="259E2C5D"/>
    <w:rsid w:val="25D21D6C"/>
    <w:rsid w:val="25FD7F7A"/>
    <w:rsid w:val="2641251B"/>
    <w:rsid w:val="265F256E"/>
    <w:rsid w:val="26D34403"/>
    <w:rsid w:val="271E271A"/>
    <w:rsid w:val="273953CC"/>
    <w:rsid w:val="27447776"/>
    <w:rsid w:val="27681D1A"/>
    <w:rsid w:val="27C15A62"/>
    <w:rsid w:val="27C82253"/>
    <w:rsid w:val="281B0E1D"/>
    <w:rsid w:val="28520013"/>
    <w:rsid w:val="28675E62"/>
    <w:rsid w:val="287C7F9F"/>
    <w:rsid w:val="28963BA5"/>
    <w:rsid w:val="28E71A5A"/>
    <w:rsid w:val="28F7374A"/>
    <w:rsid w:val="29031945"/>
    <w:rsid w:val="290B26F7"/>
    <w:rsid w:val="297875C3"/>
    <w:rsid w:val="2A1E4926"/>
    <w:rsid w:val="2B47071C"/>
    <w:rsid w:val="2C806780"/>
    <w:rsid w:val="2C846367"/>
    <w:rsid w:val="2C8618B2"/>
    <w:rsid w:val="2CF70915"/>
    <w:rsid w:val="2D110B3E"/>
    <w:rsid w:val="2D2866C6"/>
    <w:rsid w:val="2D8C7955"/>
    <w:rsid w:val="2D946827"/>
    <w:rsid w:val="2DD12487"/>
    <w:rsid w:val="2EFC006F"/>
    <w:rsid w:val="2F4B5E8F"/>
    <w:rsid w:val="2F621868"/>
    <w:rsid w:val="301A525F"/>
    <w:rsid w:val="30595899"/>
    <w:rsid w:val="30A84AF2"/>
    <w:rsid w:val="30C7077B"/>
    <w:rsid w:val="30C84440"/>
    <w:rsid w:val="30D532F3"/>
    <w:rsid w:val="310B4374"/>
    <w:rsid w:val="31933919"/>
    <w:rsid w:val="319460BD"/>
    <w:rsid w:val="32A85E73"/>
    <w:rsid w:val="330B2C15"/>
    <w:rsid w:val="33294D0B"/>
    <w:rsid w:val="33576E30"/>
    <w:rsid w:val="337F4B62"/>
    <w:rsid w:val="339765A9"/>
    <w:rsid w:val="33D34C6C"/>
    <w:rsid w:val="33DB4921"/>
    <w:rsid w:val="34120CB6"/>
    <w:rsid w:val="34342854"/>
    <w:rsid w:val="34813525"/>
    <w:rsid w:val="34EF40F8"/>
    <w:rsid w:val="358C3522"/>
    <w:rsid w:val="35BC4A69"/>
    <w:rsid w:val="35C10D3F"/>
    <w:rsid w:val="361D19F0"/>
    <w:rsid w:val="36B62F91"/>
    <w:rsid w:val="36B64D37"/>
    <w:rsid w:val="38D435D1"/>
    <w:rsid w:val="396C5284"/>
    <w:rsid w:val="3A3E0528"/>
    <w:rsid w:val="3A4B7556"/>
    <w:rsid w:val="3AA57FD9"/>
    <w:rsid w:val="3AE865BB"/>
    <w:rsid w:val="3B3B0B91"/>
    <w:rsid w:val="3B4D6262"/>
    <w:rsid w:val="3B6C5848"/>
    <w:rsid w:val="3C434BE6"/>
    <w:rsid w:val="3D0A55DA"/>
    <w:rsid w:val="3D20614A"/>
    <w:rsid w:val="3D2C2E16"/>
    <w:rsid w:val="3D2D0BA0"/>
    <w:rsid w:val="3E2B36CE"/>
    <w:rsid w:val="3E541148"/>
    <w:rsid w:val="3E914649"/>
    <w:rsid w:val="3EBD7C8E"/>
    <w:rsid w:val="3F2A6374"/>
    <w:rsid w:val="3F4F1C10"/>
    <w:rsid w:val="3F72100B"/>
    <w:rsid w:val="3FA26047"/>
    <w:rsid w:val="3FA76793"/>
    <w:rsid w:val="3FC205D9"/>
    <w:rsid w:val="406F4A74"/>
    <w:rsid w:val="407D3C31"/>
    <w:rsid w:val="40987C5B"/>
    <w:rsid w:val="40CC4804"/>
    <w:rsid w:val="40CF7CF2"/>
    <w:rsid w:val="40EB7E60"/>
    <w:rsid w:val="411D45DA"/>
    <w:rsid w:val="415B4E10"/>
    <w:rsid w:val="4185788C"/>
    <w:rsid w:val="41B16A3D"/>
    <w:rsid w:val="41BC228F"/>
    <w:rsid w:val="41E65F2F"/>
    <w:rsid w:val="432A6237"/>
    <w:rsid w:val="43362537"/>
    <w:rsid w:val="43631805"/>
    <w:rsid w:val="43CC27DE"/>
    <w:rsid w:val="43EC12FF"/>
    <w:rsid w:val="442E06C5"/>
    <w:rsid w:val="444226C7"/>
    <w:rsid w:val="448773F7"/>
    <w:rsid w:val="44EB3421"/>
    <w:rsid w:val="4557799F"/>
    <w:rsid w:val="45D518B0"/>
    <w:rsid w:val="46DF2028"/>
    <w:rsid w:val="46DF6BDC"/>
    <w:rsid w:val="4725496A"/>
    <w:rsid w:val="47E535E5"/>
    <w:rsid w:val="48167B8B"/>
    <w:rsid w:val="485D3A4F"/>
    <w:rsid w:val="48D92D93"/>
    <w:rsid w:val="4A144698"/>
    <w:rsid w:val="4B595440"/>
    <w:rsid w:val="4B8452B4"/>
    <w:rsid w:val="4BA91518"/>
    <w:rsid w:val="4BE8351B"/>
    <w:rsid w:val="4C413AEF"/>
    <w:rsid w:val="4C415DB7"/>
    <w:rsid w:val="4D535DED"/>
    <w:rsid w:val="4D885166"/>
    <w:rsid w:val="4DD65D5F"/>
    <w:rsid w:val="4E5B0B67"/>
    <w:rsid w:val="4F43529A"/>
    <w:rsid w:val="4F4A5934"/>
    <w:rsid w:val="4F6A0744"/>
    <w:rsid w:val="4FD03064"/>
    <w:rsid w:val="500945DA"/>
    <w:rsid w:val="506C558A"/>
    <w:rsid w:val="509A75B1"/>
    <w:rsid w:val="509D2A7D"/>
    <w:rsid w:val="51972301"/>
    <w:rsid w:val="5198574C"/>
    <w:rsid w:val="53234D22"/>
    <w:rsid w:val="53345AAF"/>
    <w:rsid w:val="536C096D"/>
    <w:rsid w:val="53FC129A"/>
    <w:rsid w:val="54661470"/>
    <w:rsid w:val="54B12C5C"/>
    <w:rsid w:val="553E2ABE"/>
    <w:rsid w:val="567269FA"/>
    <w:rsid w:val="574D3183"/>
    <w:rsid w:val="57706430"/>
    <w:rsid w:val="57856723"/>
    <w:rsid w:val="57D87BC9"/>
    <w:rsid w:val="585E196B"/>
    <w:rsid w:val="587B145A"/>
    <w:rsid w:val="58A61536"/>
    <w:rsid w:val="58CA462D"/>
    <w:rsid w:val="58E92B27"/>
    <w:rsid w:val="59051504"/>
    <w:rsid w:val="59150CCD"/>
    <w:rsid w:val="59754CD5"/>
    <w:rsid w:val="59AD747D"/>
    <w:rsid w:val="59C8345A"/>
    <w:rsid w:val="59E64CB0"/>
    <w:rsid w:val="5A683106"/>
    <w:rsid w:val="5A687659"/>
    <w:rsid w:val="5AF17FF9"/>
    <w:rsid w:val="5B26293A"/>
    <w:rsid w:val="5B37430D"/>
    <w:rsid w:val="5B7F3DDA"/>
    <w:rsid w:val="5BBD4B53"/>
    <w:rsid w:val="5C5B25D4"/>
    <w:rsid w:val="5CAB5E30"/>
    <w:rsid w:val="5CC67E35"/>
    <w:rsid w:val="5D4C12C0"/>
    <w:rsid w:val="5ECC1F13"/>
    <w:rsid w:val="5FE77EC4"/>
    <w:rsid w:val="608603BB"/>
    <w:rsid w:val="60EB64E7"/>
    <w:rsid w:val="611C4C7A"/>
    <w:rsid w:val="613E59AC"/>
    <w:rsid w:val="61676CA0"/>
    <w:rsid w:val="618B5132"/>
    <w:rsid w:val="61A34594"/>
    <w:rsid w:val="620F5A75"/>
    <w:rsid w:val="624C0706"/>
    <w:rsid w:val="625A6C6C"/>
    <w:rsid w:val="62905DB4"/>
    <w:rsid w:val="629220E5"/>
    <w:rsid w:val="62E1797D"/>
    <w:rsid w:val="63070E75"/>
    <w:rsid w:val="63BB52CE"/>
    <w:rsid w:val="63F228F2"/>
    <w:rsid w:val="64DD4C07"/>
    <w:rsid w:val="652B31D7"/>
    <w:rsid w:val="65430521"/>
    <w:rsid w:val="65625B09"/>
    <w:rsid w:val="659A7793"/>
    <w:rsid w:val="660D6EB7"/>
    <w:rsid w:val="660F76B3"/>
    <w:rsid w:val="661D38A9"/>
    <w:rsid w:val="662A2ADF"/>
    <w:rsid w:val="662B2BA6"/>
    <w:rsid w:val="66762CFD"/>
    <w:rsid w:val="66781D2B"/>
    <w:rsid w:val="672F0459"/>
    <w:rsid w:val="67833A09"/>
    <w:rsid w:val="67DB0E9C"/>
    <w:rsid w:val="6816672B"/>
    <w:rsid w:val="68176551"/>
    <w:rsid w:val="68384D86"/>
    <w:rsid w:val="68F67792"/>
    <w:rsid w:val="69087A8E"/>
    <w:rsid w:val="69375191"/>
    <w:rsid w:val="6C27639F"/>
    <w:rsid w:val="6CC101E4"/>
    <w:rsid w:val="6D064153"/>
    <w:rsid w:val="6DBC220C"/>
    <w:rsid w:val="6E6B7274"/>
    <w:rsid w:val="6EAD3782"/>
    <w:rsid w:val="6F8A1D19"/>
    <w:rsid w:val="6F9D1774"/>
    <w:rsid w:val="70454BC5"/>
    <w:rsid w:val="715911C0"/>
    <w:rsid w:val="715B3D3C"/>
    <w:rsid w:val="720C758A"/>
    <w:rsid w:val="72305792"/>
    <w:rsid w:val="72912340"/>
    <w:rsid w:val="72D30C6F"/>
    <w:rsid w:val="7354630C"/>
    <w:rsid w:val="73F83F3C"/>
    <w:rsid w:val="743238AC"/>
    <w:rsid w:val="74A01D0D"/>
    <w:rsid w:val="74ED0284"/>
    <w:rsid w:val="75192325"/>
    <w:rsid w:val="75260C08"/>
    <w:rsid w:val="756A0616"/>
    <w:rsid w:val="75DD4783"/>
    <w:rsid w:val="760D0714"/>
    <w:rsid w:val="764F03EA"/>
    <w:rsid w:val="769E32E6"/>
    <w:rsid w:val="76D2567F"/>
    <w:rsid w:val="76FB4FE3"/>
    <w:rsid w:val="7739105A"/>
    <w:rsid w:val="77C239BF"/>
    <w:rsid w:val="77CF4F20"/>
    <w:rsid w:val="79007D14"/>
    <w:rsid w:val="794106BE"/>
    <w:rsid w:val="79D96087"/>
    <w:rsid w:val="7ABC7ADB"/>
    <w:rsid w:val="7AEF11E0"/>
    <w:rsid w:val="7B1E0809"/>
    <w:rsid w:val="7B8409D6"/>
    <w:rsid w:val="7BB33BEB"/>
    <w:rsid w:val="7C9F521F"/>
    <w:rsid w:val="7CE63BEB"/>
    <w:rsid w:val="7D6C270B"/>
    <w:rsid w:val="7D8C551D"/>
    <w:rsid w:val="7DD807AC"/>
    <w:rsid w:val="7F2C38B2"/>
    <w:rsid w:val="7F2D5A0F"/>
    <w:rsid w:val="7F533BD6"/>
    <w:rsid w:val="7FA93A6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4"/>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5">
    <w:name w:val="heading 3"/>
    <w:basedOn w:val="1"/>
    <w:next w:val="4"/>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6">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7">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8">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9">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10">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1">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4">
    <w:name w:val="Default Paragraph Font"/>
    <w:semiHidden/>
    <w:qFormat/>
    <w:uiPriority w:val="0"/>
  </w:style>
  <w:style w:type="table" w:default="1" w:styleId="35">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qFormat/>
    <w:uiPriority w:val="0"/>
    <w:pPr>
      <w:ind w:firstLine="420" w:firstLineChars="200"/>
    </w:pPr>
  </w:style>
  <w:style w:type="paragraph" w:styleId="12">
    <w:name w:val="toc 7"/>
    <w:basedOn w:val="1"/>
    <w:next w:val="1"/>
    <w:qFormat/>
    <w:uiPriority w:val="0"/>
    <w:pPr>
      <w:ind w:left="2520" w:leftChars="1200"/>
    </w:pPr>
  </w:style>
  <w:style w:type="paragraph" w:styleId="13">
    <w:name w:val="annotation text"/>
    <w:basedOn w:val="1"/>
    <w:qFormat/>
    <w:uiPriority w:val="0"/>
    <w:pPr>
      <w:jc w:val="left"/>
    </w:pPr>
  </w:style>
  <w:style w:type="paragraph" w:styleId="14">
    <w:name w:val="toc 5"/>
    <w:basedOn w:val="1"/>
    <w:next w:val="1"/>
    <w:qFormat/>
    <w:uiPriority w:val="0"/>
    <w:pPr>
      <w:ind w:left="1680" w:leftChars="800"/>
    </w:pPr>
  </w:style>
  <w:style w:type="paragraph" w:styleId="15">
    <w:name w:val="toc 3"/>
    <w:basedOn w:val="1"/>
    <w:next w:val="1"/>
    <w:qFormat/>
    <w:uiPriority w:val="0"/>
    <w:pPr>
      <w:ind w:left="840" w:leftChars="400"/>
    </w:pPr>
  </w:style>
  <w:style w:type="paragraph" w:styleId="16">
    <w:name w:val="toc 8"/>
    <w:basedOn w:val="1"/>
    <w:next w:val="1"/>
    <w:qFormat/>
    <w:uiPriority w:val="0"/>
    <w:pPr>
      <w:ind w:left="2940" w:leftChars="1400"/>
    </w:pPr>
  </w:style>
  <w:style w:type="paragraph" w:styleId="17">
    <w:name w:val="footer"/>
    <w:basedOn w:val="1"/>
    <w:qFormat/>
    <w:uiPriority w:val="0"/>
    <w:pPr>
      <w:tabs>
        <w:tab w:val="center" w:pos="4153"/>
        <w:tab w:val="right" w:pos="8306"/>
      </w:tabs>
      <w:snapToGrid w:val="0"/>
      <w:jc w:val="left"/>
    </w:pPr>
    <w:rPr>
      <w:sz w:val="18"/>
    </w:rPr>
  </w:style>
  <w:style w:type="paragraph" w:styleId="1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9">
    <w:name w:val="toc 1"/>
    <w:basedOn w:val="1"/>
    <w:next w:val="1"/>
    <w:qFormat/>
    <w:uiPriority w:val="0"/>
  </w:style>
  <w:style w:type="paragraph" w:styleId="20">
    <w:name w:val="toc 4"/>
    <w:basedOn w:val="1"/>
    <w:next w:val="1"/>
    <w:qFormat/>
    <w:uiPriority w:val="0"/>
    <w:pPr>
      <w:ind w:left="1260" w:leftChars="600"/>
    </w:pPr>
  </w:style>
  <w:style w:type="paragraph" w:styleId="21">
    <w:name w:val="toc 6"/>
    <w:basedOn w:val="1"/>
    <w:next w:val="1"/>
    <w:qFormat/>
    <w:uiPriority w:val="0"/>
    <w:pPr>
      <w:ind w:left="2100" w:leftChars="1000"/>
    </w:pPr>
  </w:style>
  <w:style w:type="paragraph" w:styleId="22">
    <w:name w:val="toc 2"/>
    <w:basedOn w:val="1"/>
    <w:next w:val="1"/>
    <w:qFormat/>
    <w:uiPriority w:val="0"/>
    <w:pPr>
      <w:ind w:left="420" w:leftChars="200"/>
    </w:pPr>
  </w:style>
  <w:style w:type="paragraph" w:styleId="23">
    <w:name w:val="toc 9"/>
    <w:basedOn w:val="1"/>
    <w:next w:val="1"/>
    <w:qFormat/>
    <w:uiPriority w:val="0"/>
    <w:pPr>
      <w:ind w:left="3360" w:leftChars="1600"/>
    </w:pPr>
  </w:style>
  <w:style w:type="character" w:styleId="25">
    <w:name w:val="Strong"/>
    <w:basedOn w:val="24"/>
    <w:qFormat/>
    <w:uiPriority w:val="0"/>
    <w:rPr>
      <w:b/>
    </w:rPr>
  </w:style>
  <w:style w:type="character" w:styleId="26">
    <w:name w:val="FollowedHyperlink"/>
    <w:basedOn w:val="24"/>
    <w:qFormat/>
    <w:uiPriority w:val="0"/>
    <w:rPr>
      <w:color w:val="338DE6"/>
      <w:u w:val="none"/>
    </w:rPr>
  </w:style>
  <w:style w:type="character" w:styleId="27">
    <w:name w:val="Emphasis"/>
    <w:basedOn w:val="24"/>
    <w:qFormat/>
    <w:uiPriority w:val="0"/>
  </w:style>
  <w:style w:type="character" w:styleId="28">
    <w:name w:val="HTML Definition"/>
    <w:basedOn w:val="24"/>
    <w:qFormat/>
    <w:uiPriority w:val="0"/>
  </w:style>
  <w:style w:type="character" w:styleId="29">
    <w:name w:val="HTML Variable"/>
    <w:basedOn w:val="24"/>
    <w:qFormat/>
    <w:uiPriority w:val="0"/>
  </w:style>
  <w:style w:type="character" w:styleId="30">
    <w:name w:val="Hyperlink"/>
    <w:basedOn w:val="24"/>
    <w:qFormat/>
    <w:uiPriority w:val="0"/>
    <w:rPr>
      <w:color w:val="338DE6"/>
      <w:u w:val="none"/>
    </w:rPr>
  </w:style>
  <w:style w:type="character" w:styleId="31">
    <w:name w:val="HTML Code"/>
    <w:basedOn w:val="24"/>
    <w:qFormat/>
    <w:uiPriority w:val="0"/>
    <w:rPr>
      <w:rFonts w:hint="default" w:ascii="monospace" w:hAnsi="monospace" w:eastAsia="monospace" w:cs="monospace"/>
      <w:sz w:val="21"/>
      <w:szCs w:val="21"/>
    </w:rPr>
  </w:style>
  <w:style w:type="character" w:styleId="32">
    <w:name w:val="HTML Cite"/>
    <w:basedOn w:val="24"/>
    <w:qFormat/>
    <w:uiPriority w:val="0"/>
  </w:style>
  <w:style w:type="character" w:styleId="33">
    <w:name w:val="HTML Keyboard"/>
    <w:basedOn w:val="24"/>
    <w:qFormat/>
    <w:uiPriority w:val="0"/>
    <w:rPr>
      <w:rFonts w:hint="default" w:ascii="monospace" w:hAnsi="monospace" w:eastAsia="monospace" w:cs="monospace"/>
      <w:sz w:val="21"/>
      <w:szCs w:val="21"/>
    </w:rPr>
  </w:style>
  <w:style w:type="character" w:styleId="34">
    <w:name w:val="HTML Sample"/>
    <w:basedOn w:val="24"/>
    <w:qFormat/>
    <w:uiPriority w:val="0"/>
    <w:rPr>
      <w:rFonts w:ascii="monospace" w:hAnsi="monospace" w:eastAsia="monospace" w:cs="monospace"/>
      <w:sz w:val="21"/>
      <w:szCs w:val="21"/>
    </w:rPr>
  </w:style>
  <w:style w:type="table" w:styleId="36">
    <w:name w:val="Table Grid"/>
    <w:basedOn w:val="3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37">
    <w:name w:val="Placeholder Text"/>
    <w:semiHidden/>
    <w:qFormat/>
    <w:uiPriority w:val="99"/>
    <w:rPr>
      <w:color w:val="808080"/>
    </w:rPr>
  </w:style>
  <w:style w:type="character" w:customStyle="1" w:styleId="38">
    <w:name w:val="fontborder"/>
    <w:basedOn w:val="24"/>
    <w:qFormat/>
    <w:uiPriority w:val="0"/>
    <w:rPr>
      <w:bdr w:val="single" w:color="000000" w:sz="6" w:space="0"/>
    </w:rPr>
  </w:style>
  <w:style w:type="character" w:customStyle="1" w:styleId="39">
    <w:name w:val="fontstrikethrough"/>
    <w:basedOn w:val="24"/>
    <w:qFormat/>
    <w:uiPriority w:val="0"/>
    <w:rPr>
      <w:strike/>
    </w:rPr>
  </w:style>
  <w:style w:type="table" w:customStyle="1" w:styleId="40">
    <w:name w:val="常规1"/>
    <w:basedOn w:val="35"/>
    <w:qFormat/>
    <w:uiPriority w:val="0"/>
    <w:pPr>
      <w:textAlignment w:val="center"/>
    </w:pPr>
    <w:rPr>
      <w:rFonts w:hint="eastAsia" w:ascii="宋体" w:hAnsi="宋体" w:eastAsia="宋体" w:cs="宋体"/>
      <w:color w:val="auto"/>
      <w:sz w:val="24"/>
      <w:szCs w:val="24"/>
      <w:u w:val="none"/>
    </w:rPr>
    <w:tblPr>
      <w:tblLayout w:type="fixed"/>
    </w:tblPr>
    <w:tcPr>
      <w:tcBorders>
        <w:top w:val="nil"/>
        <w:left w:val="nil"/>
        <w:bottom w:val="nil"/>
        <w:right w:val="nil"/>
      </w:tcBorders>
      <w:vAlign w:val="center"/>
    </w:tcPr>
  </w:style>
  <w:style w:type="table" w:customStyle="1" w:styleId="41">
    <w:name w:val="常规_基金费率表1"/>
    <w:basedOn w:val="35"/>
    <w:qFormat/>
    <w:uiPriority w:val="0"/>
    <w:pPr>
      <w:textAlignment w:val="center"/>
    </w:pPr>
    <w:rPr>
      <w:rFonts w:hint="eastAsia" w:ascii="宋体" w:hAnsi="宋体" w:eastAsia="宋体" w:cs="宋体"/>
      <w:color w:val="auto"/>
      <w:sz w:val="18"/>
      <w:szCs w:val="18"/>
      <w:u w:val="none"/>
    </w:rPr>
    <w:tblPr>
      <w:tblLayout w:type="fixed"/>
    </w:tblPr>
    <w:tcPr>
      <w:tcBorders>
        <w:top w:val="nil"/>
        <w:left w:val="nil"/>
        <w:bottom w:val="nil"/>
        <w:right w:val="nil"/>
      </w:tcBorders>
      <w:vAlign w:val="center"/>
    </w:tcPr>
  </w:style>
  <w:style w:type="character" w:customStyle="1" w:styleId="42">
    <w:name w:val="dqwz"/>
    <w:basedOn w:val="24"/>
    <w:qFormat/>
    <w:uiPriority w:val="0"/>
    <w:rPr>
      <w:color w:val="F25206"/>
    </w:rPr>
  </w:style>
  <w:style w:type="character" w:customStyle="1" w:styleId="43">
    <w:name w:val="time"/>
    <w:basedOn w:val="24"/>
    <w:qFormat/>
    <w:uiPriority w:val="0"/>
  </w:style>
  <w:style w:type="character" w:customStyle="1" w:styleId="44">
    <w:name w:val="button"/>
    <w:basedOn w:val="24"/>
    <w:qFormat/>
    <w:uiPriority w:val="0"/>
  </w:style>
  <w:style w:type="character" w:customStyle="1" w:styleId="45">
    <w:name w:val="search"/>
    <w:basedOn w:val="24"/>
    <w:qFormat/>
    <w:uiPriority w:val="0"/>
    <w:rPr>
      <w:color w:val="9D680A"/>
    </w:rPr>
  </w:style>
  <w:style w:type="character" w:customStyle="1" w:styleId="46">
    <w:name w:val="star"/>
    <w:basedOn w:val="24"/>
    <w:qFormat/>
    <w:uiPriority w:val="0"/>
    <w:rPr>
      <w:color w:val="FF0300"/>
    </w:rPr>
  </w:style>
  <w:style w:type="paragraph" w:customStyle="1" w:styleId="47">
    <w:name w:val="Default"/>
    <w:unhideWhenUsed/>
    <w:uiPriority w:val="99"/>
    <w:pPr>
      <w:widowControl w:val="0"/>
      <w:autoSpaceDE w:val="0"/>
      <w:autoSpaceDN w:val="0"/>
      <w:adjustRightInd w:val="0"/>
      <w:spacing w:beforeLines="0" w:afterLines="0"/>
    </w:pPr>
    <w:rPr>
      <w:rFonts w:hint="eastAsia" w:ascii="黑体" w:hAnsi="黑体" w:eastAsia="黑体" w:cs="Times New Roman"/>
      <w:color w:val="000000"/>
      <w:sz w:val="24"/>
    </w:rPr>
  </w:style>
  <w:style w:type="character" w:customStyle="1" w:styleId="48">
    <w:name w:val="txt-up1"/>
    <w:basedOn w:val="24"/>
    <w:uiPriority w:val="0"/>
    <w:rPr>
      <w:color w:val="F2920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自然型"/>
    </customSectPr>
    <customSectPr/>
  </customSectProps>
  <customShpExts>
    <customShpInfo spid="_x0000_s102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2016-03-21T01:17:00Z</dcterms:created>
  <dc:creator>zhuminjian</dc:creator>
  <cp:lastModifiedBy>huangshuo</cp:lastModifiedBy>
  <dcterms:modified xsi:type="dcterms:W3CDTF">2016-10-24T09:45:49Z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