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5"/>
        <w:tblpPr w:leftFromText="182" w:rightFromText="182" w:vertAnchor="page" w:horzAnchor="page" w:tblpXSpec="center" w:tblpY="11403"/>
        <w:tblOverlap w:val="never"/>
        <w:tblW w:w="907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0" w:hRule="atLeast"/>
          <w:jc w:val="center"/>
        </w:trPr>
        <w:tc>
          <w:tcPr>
            <w:tcW w:w="9077" w:type="dxa"/>
            <w:vAlign w:val="center"/>
          </w:tcPr>
          <w:sdt>
            <w:sdtPr>
              <w:rPr>
                <w:b/>
                <w:bCs/>
                <w:color w:val="44546A" w:themeColor="text2"/>
                <w:sz w:val="72"/>
                <w:szCs w:val="72"/>
                <w14:textFill>
                  <w14:solidFill>
                    <w14:schemeClr w14:val="tx2"/>
                  </w14:solidFill>
                </w14:textFill>
              </w:rPr>
              <w:alias w:val="标题"/>
              <w:id w:val="1867867681"/>
              <w15:dataBinding w:prefixMappings="xmlns:ns0='http://schemas.openxmlformats.org/package/2006/metadata/core-properties' xmlns:ns1='http://purl.org/dc/elements/1.1/'" w:xpath="/ns0:coreProperties[1]/ns1:title[1]" w:storeItemID="{6C3C8BC8-F283-45AE-878A-BAB7291924A1}"/>
              <w:text/>
            </w:sdtPr>
            <w:sdtEndPr>
              <w:rPr>
                <w:b/>
                <w:bCs/>
                <w:color w:val="F2B600"/>
                <w:sz w:val="72"/>
                <w:szCs w:val="72"/>
              </w:rPr>
            </w:sdtEndPr>
            <w:sdtContent>
              <w:p>
                <w:pPr>
                  <w:jc w:val="center"/>
                  <w:rPr>
                    <w:b/>
                    <w:bCs/>
                    <w:color w:val="F2B600"/>
                    <w:sz w:val="72"/>
                    <w:szCs w:val="72"/>
                  </w:rPr>
                </w:pPr>
                <w:r>
                  <w:rPr>
                    <w:rFonts w:hint="eastAsia"/>
                    <w:b/>
                    <w:bCs/>
                    <w:color w:val="F2B600"/>
                    <w:sz w:val="72"/>
                    <w:szCs w:val="72"/>
                  </w:rPr>
                  <w:t>上海</w:t>
                </w:r>
                <w:r>
                  <w:rPr>
                    <w:b/>
                    <w:bCs/>
                    <w:color w:val="F2B600"/>
                    <w:sz w:val="72"/>
                    <w:szCs w:val="72"/>
                  </w:rPr>
                  <w:t>普兰金融</w:t>
                </w:r>
                <w:r>
                  <w:rPr>
                    <w:rFonts w:hint="eastAsia"/>
                    <w:b/>
                    <w:bCs/>
                    <w:color w:val="F2B600"/>
                    <w:sz w:val="72"/>
                    <w:szCs w:val="72"/>
                  </w:rPr>
                  <w:t>服务有限公司</w:t>
                </w:r>
              </w:p>
            </w:sdtContent>
          </w:sdt>
          <w:sdt>
            <w:sdtPr>
              <w:rPr>
                <w:b/>
                <w:bCs/>
                <w:color w:val="F2B600"/>
                <w:sz w:val="40"/>
                <w:szCs w:val="40"/>
              </w:rPr>
              <w:alias w:val="副标题"/>
              <w:id w:val="1360013413"/>
              <w15:dataBinding w:prefixMappings="xmlns:ns0='http://schemas.openxmlformats.org/package/2006/metadata/core-properties' xmlns:ns1='http://purl.org/dc/elements/1.1/'" w:xpath="/ns0:coreProperties[1]/ns1:subject[1]" w:storeItemID="{6C3C8BC8-F283-45AE-878A-BAB7291924A1}"/>
              <w:text/>
            </w:sdtPr>
            <w:sdtEndPr>
              <w:rPr>
                <w:b/>
                <w:bCs/>
                <w:color w:val="F2B600"/>
                <w:sz w:val="40"/>
                <w:szCs w:val="40"/>
              </w:rPr>
            </w:sdtEndPr>
            <w:sdtContent>
              <w:p>
                <w:pPr>
                  <w:jc w:val="left"/>
                  <w:rPr>
                    <w:b/>
                    <w:bCs/>
                    <w:color w:val="F2B600"/>
                    <w:sz w:val="40"/>
                    <w:szCs w:val="40"/>
                  </w:rPr>
                </w:pPr>
                <w:r>
                  <w:rPr>
                    <w:rFonts w:hint="eastAsia"/>
                    <w:b/>
                    <w:bCs/>
                    <w:color w:val="F2B600"/>
                    <w:sz w:val="40"/>
                    <w:szCs w:val="40"/>
                  </w:rPr>
                  <w:t>数据中心</w:t>
                </w:r>
              </w:p>
            </w:sdtContent>
          </w:sdt>
          <w:p>
            <w:pPr>
              <w:jc w:val="left"/>
              <w:rPr>
                <w:rFonts w:hint="eastAsia"/>
                <w:b/>
                <w:bCs/>
                <w:color w:val="5B9BD5" w:themeColor="accent1"/>
                <w:sz w:val="40"/>
                <w:szCs w:val="40"/>
                <w14:textFill>
                  <w14:solidFill>
                    <w14:schemeClr w14:val="accent1"/>
                  </w14:solidFill>
                </w14:textFill>
              </w:rPr>
            </w:pPr>
            <w:r>
              <w:rPr>
                <w:rFonts w:hint="eastAsia"/>
                <w:b/>
                <w:bCs/>
                <w:color w:val="F2B600"/>
                <w:sz w:val="28"/>
                <w:szCs w:val="28"/>
              </w:rPr>
              <w:t>数据业务规划</w:t>
            </w:r>
          </w:p>
        </w:tc>
      </w:tr>
    </w:tbl>
    <w:p>
      <w:pPr>
        <w:rPr>
          <w:rFonts w:hint="eastAsia"/>
        </w:rPr>
      </w:pPr>
      <w:r>
        <w:rPr>
          <w:rFonts w:hint="eastAsia"/>
          <w:lang w:val="zh-CN" w:eastAsia="zh-CN"/>
        </w:rPr>
        <w:pict>
          <v:shape id="_x0000_s1027" o:spid="_x0000_s1027" o:spt="75" type="#_x0000_t75" style="position:absolute;left:0pt;margin-left:-0.75pt;margin-top:-76.5pt;height:633.05pt;width:596.4pt;mso-position-horizontal-relative:page;mso-position-vertical-relative:page;z-index:-251658240;mso-width-relative:page;mso-height-relative:page;" filled="f" o:preferrelative="t" stroked="f" coordsize="21600,21600">
            <v:path/>
            <v:fill on="f" focussize="0,0"/>
            <v:stroke on="f"/>
            <v:imagedata r:id="rId6" o:title="dcd8b760b3af74b7f6365404"/>
            <o:lock v:ext="edit" grouping="f" rotation="f" text="f" aspectratio="t"/>
          </v:shape>
        </w:pict>
      </w:r>
      <w:r>
        <w:rPr>
          <w:rFonts w:hint="eastAsia"/>
          <w:lang w:val="en-US" w:eastAsia="zh-CN"/>
        </w:rPr>
        <w:t xml:space="preserve"> </w:t>
      </w:r>
      <w:r>
        <w:rPr>
          <w:rFonts w:hint="eastAsia"/>
          <w:lang w:val="en-US" w:eastAsia="zh-CN"/>
        </w:rPr>
        <w:tab/>
      </w:r>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18"/>
        <w:tabs>
          <w:tab w:val="right" w:leader="dot" w:pos="8306"/>
        </w:tabs>
        <w:jc w:val="center"/>
        <w:rPr>
          <w:rFonts w:hint="eastAsia"/>
          <w:lang w:eastAsia="zh-CN"/>
        </w:rPr>
      </w:pPr>
      <w:bookmarkStart w:id="0" w:name="_Toc9481"/>
      <w:r>
        <w:rPr>
          <w:rFonts w:hint="eastAsia"/>
          <w:lang w:eastAsia="zh-CN"/>
        </w:rPr>
        <w:t>目</w:t>
      </w:r>
      <w:r>
        <w:rPr>
          <w:rFonts w:hint="eastAsia"/>
          <w:lang w:val="en-US" w:eastAsia="zh-CN"/>
        </w:rPr>
        <w:t xml:space="preserve">     </w:t>
      </w:r>
      <w:r>
        <w:rPr>
          <w:rFonts w:hint="eastAsia"/>
          <w:lang w:eastAsia="zh-CN"/>
        </w:rPr>
        <w:t>录</w:t>
      </w:r>
    </w:p>
    <w:p>
      <w:pPr>
        <w:rPr>
          <w:rFonts w:hint="eastAsia"/>
          <w:lang w:eastAsia="zh-CN"/>
        </w:rPr>
      </w:pPr>
    </w:p>
    <w:p>
      <w:pPr>
        <w:pStyle w:val="18"/>
        <w:tabs>
          <w:tab w:val="right" w:leader="dot" w:pos="8306"/>
        </w:tabs>
        <w:rPr>
          <w:rFonts w:ascii="Times New Roman" w:hAnsi="Times New Roman" w:eastAsia="宋体" w:cs="Times New Roman"/>
          <w:kern w:val="2"/>
          <w:lang w:val="en-US" w:eastAsia="zh-CN" w:bidi="ar-SA"/>
        </w:rPr>
      </w:pPr>
      <w:r>
        <w:fldChar w:fldCharType="begin"/>
      </w:r>
      <w:r>
        <w:instrText xml:space="preserve">TOC \o "1-3" \h \u </w:instrText>
      </w:r>
      <w:r>
        <w:fldChar w:fldCharType="separate"/>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_Toc20877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hint="default" w:ascii="Times New Roman" w:hAnsi="Times New Roman" w:eastAsia="宋体" w:cs="Times New Roman"/>
          <w:kern w:val="44"/>
          <w:lang w:val="en-US" w:eastAsia="zh-CN" w:bidi="ar-SA"/>
        </w:rPr>
        <w:t xml:space="preserve">. </w:t>
      </w:r>
      <w:r>
        <w:rPr>
          <w:rFonts w:hint="eastAsia" w:ascii="Times New Roman" w:hAnsi="Times New Roman" w:eastAsia="宋体" w:cs="Times New Roman"/>
          <w:kern w:val="2"/>
          <w:lang w:val="en-US" w:eastAsia="zh-CN" w:bidi="ar-SA"/>
        </w:rPr>
        <w:t>项目总览与实施情况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_Toc20877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default" w:ascii="Times New Roman" w:hAnsi="Times New Roman" w:eastAsia="宋体" w:cs="Times New Roman"/>
          <w:kern w:val="44"/>
          <w:lang w:val="en-US" w:eastAsia="zh-CN" w:bidi="ar-SA"/>
        </w:rPr>
        <w:fldChar w:fldCharType="end"/>
      </w:r>
    </w:p>
    <w:p>
      <w:pPr>
        <w:pStyle w:val="2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_Toc7416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hint="default" w:ascii="宋体" w:hAnsi="宋体" w:eastAsia="宋体" w:cs="宋体"/>
          <w:kern w:val="2"/>
          <w:lang w:val="en-US" w:eastAsia="zh-CN" w:bidi="ar-SA"/>
        </w:rPr>
        <w:t xml:space="preserve">.1. </w:t>
      </w:r>
      <w:r>
        <w:rPr>
          <w:rFonts w:hint="eastAsia" w:ascii="Times New Roman" w:hAnsi="Times New Roman" w:eastAsia="宋体" w:cs="Times New Roman"/>
          <w:kern w:val="2"/>
          <w:lang w:val="en-US" w:eastAsia="zh-CN" w:bidi="ar-SA"/>
        </w:rPr>
        <w:t>概览</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_Toc7416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2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_Toc6135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hint="default" w:ascii="宋体" w:hAnsi="宋体" w:eastAsia="宋体" w:cs="宋体"/>
          <w:kern w:val="2"/>
          <w:lang w:val="en-US" w:eastAsia="zh-CN" w:bidi="ar-SA"/>
        </w:rPr>
        <w:t xml:space="preserve">.2. </w:t>
      </w:r>
      <w:r>
        <w:rPr>
          <w:rFonts w:hint="eastAsia" w:ascii="Times New Roman" w:hAnsi="Times New Roman" w:eastAsia="宋体" w:cs="Times New Roman"/>
          <w:kern w:val="2"/>
          <w:lang w:val="en-US" w:eastAsia="zh-CN" w:bidi="ar-SA"/>
        </w:rPr>
        <w:t>需求/项目执行概况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_Toc6135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8"/>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_Toc9900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Times New Roman" w:hAnsi="Times New Roman" w:eastAsia="宋体" w:cs="Times New Roman"/>
          <w:kern w:val="44"/>
          <w:lang w:val="en-US" w:eastAsia="zh-CN" w:bidi="ar-SA"/>
        </w:rPr>
        <w:t xml:space="preserve">. </w:t>
      </w:r>
      <w:r>
        <w:rPr>
          <w:rFonts w:hint="eastAsia" w:ascii="Times New Roman" w:hAnsi="Times New Roman" w:eastAsia="宋体" w:cs="Times New Roman"/>
          <w:kern w:val="2"/>
          <w:lang w:val="en-US" w:eastAsia="zh-CN" w:bidi="ar-SA"/>
        </w:rPr>
        <w:t>业务研究</w:t>
      </w:r>
      <w:r>
        <w:rPr>
          <w:rFonts w:ascii="Times New Roman" w:hAnsi="Times New Roman" w:eastAsia="宋体" w:cs="Times New Roman"/>
          <w:kern w:val="2"/>
          <w:lang w:val="en-US" w:eastAsia="zh-CN" w:bidi="ar-SA"/>
        </w:rPr>
        <w:t>分析（</w:t>
      </w:r>
      <w:r>
        <w:rPr>
          <w:rFonts w:hint="eastAsia" w:ascii="Times New Roman" w:hAnsi="Times New Roman" w:eastAsia="宋体" w:cs="Times New Roman"/>
          <w:kern w:val="2"/>
          <w:lang w:val="en-US" w:eastAsia="zh-CN" w:bidi="ar-SA"/>
        </w:rPr>
        <w:t>针对</w:t>
      </w:r>
      <w:r>
        <w:rPr>
          <w:rFonts w:ascii="Times New Roman" w:hAnsi="Times New Roman" w:eastAsia="宋体" w:cs="Times New Roman"/>
          <w:kern w:val="2"/>
          <w:lang w:val="en-US" w:eastAsia="zh-CN" w:bidi="ar-SA"/>
        </w:rPr>
        <w:t>规划人员）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_Toc9900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hint="default" w:ascii="Times New Roman" w:hAnsi="Times New Roman" w:eastAsia="宋体" w:cs="Times New Roman"/>
          <w:kern w:val="44"/>
          <w:lang w:val="en-US" w:eastAsia="zh-CN" w:bidi="ar-SA"/>
        </w:rPr>
        <w:fldChar w:fldCharType="end"/>
      </w:r>
    </w:p>
    <w:p>
      <w:pPr>
        <w:pStyle w:val="2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_Toc29988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.1. </w:t>
      </w:r>
      <w:r>
        <w:rPr>
          <w:rFonts w:hint="eastAsia" w:ascii="Times New Roman" w:hAnsi="Times New Roman" w:eastAsia="宋体" w:cs="Times New Roman"/>
          <w:kern w:val="2"/>
          <w:lang w:val="en-US" w:eastAsia="zh-CN" w:bidi="ar-SA"/>
        </w:rPr>
        <w:t>规划目标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_Toc29988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_Toc27877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.1.1. </w:t>
      </w:r>
      <w:r>
        <w:rPr>
          <w:rFonts w:hint="eastAsia" w:ascii="Times New Roman" w:hAnsi="Times New Roman" w:eastAsia="宋体" w:cs="Times New Roman"/>
          <w:kern w:val="2"/>
          <w:lang w:val="en-US" w:eastAsia="zh-CN" w:bidi="ar-SA"/>
        </w:rPr>
        <w:t>现有业务阐述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_Toc27877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_Toc9050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.1.2. </w:t>
      </w:r>
      <w:r>
        <w:rPr>
          <w:rFonts w:hint="eastAsia" w:ascii="Times New Roman" w:hAnsi="Times New Roman" w:eastAsia="宋体" w:cs="Times New Roman"/>
          <w:kern w:val="2"/>
          <w:lang w:val="en-US" w:eastAsia="zh-CN" w:bidi="ar-SA"/>
        </w:rPr>
        <w:t>修改的必要性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_Toc9050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_Toc4419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.1.3. </w:t>
      </w:r>
      <w:r>
        <w:rPr>
          <w:rFonts w:hint="eastAsia" w:ascii="Times New Roman" w:hAnsi="Times New Roman" w:eastAsia="宋体" w:cs="Times New Roman"/>
          <w:kern w:val="2"/>
          <w:lang w:val="en-US" w:eastAsia="zh-CN" w:bidi="ar-SA"/>
        </w:rPr>
        <w:t>录入库方案</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_Toc4419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_Toc5214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.1.4. </w:t>
      </w:r>
      <w:r>
        <w:rPr>
          <w:rFonts w:hint="eastAsia" w:ascii="Times New Roman" w:hAnsi="Times New Roman" w:eastAsia="宋体" w:cs="Times New Roman"/>
          <w:kern w:val="2"/>
          <w:lang w:val="en-US" w:eastAsia="zh-CN" w:bidi="ar-SA"/>
        </w:rPr>
        <w:t>数据库产品方案</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_Toc5214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_Toc25210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.1.5. </w:t>
      </w:r>
      <w:r>
        <w:rPr>
          <w:rFonts w:hint="eastAsia" w:ascii="Times New Roman" w:hAnsi="Times New Roman" w:eastAsia="宋体" w:cs="Times New Roman"/>
          <w:kern w:val="2"/>
          <w:lang w:val="en-US" w:eastAsia="zh-CN" w:bidi="ar-SA"/>
        </w:rPr>
        <w:t>终端产品方案</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_Toc25210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2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_Toc30737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.2. </w:t>
      </w:r>
      <w:r>
        <w:rPr>
          <w:rFonts w:hint="eastAsia" w:ascii="Times New Roman" w:hAnsi="Times New Roman" w:eastAsia="宋体" w:cs="Times New Roman"/>
          <w:kern w:val="2"/>
          <w:lang w:val="en-US" w:eastAsia="zh-CN" w:bidi="ar-SA"/>
        </w:rPr>
        <w:t>方案的审定</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_Toc30737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8"/>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_Toc25846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Times New Roman" w:hAnsi="Times New Roman" w:eastAsia="宋体" w:cs="Times New Roman"/>
          <w:kern w:val="44"/>
          <w:lang w:val="en-US" w:eastAsia="zh-CN" w:bidi="ar-SA"/>
        </w:rPr>
        <w:t xml:space="preserve">. </w:t>
      </w:r>
      <w:r>
        <w:rPr>
          <w:rFonts w:hint="eastAsia" w:ascii="Times New Roman" w:hAnsi="Times New Roman" w:eastAsia="宋体" w:cs="Times New Roman"/>
          <w:kern w:val="2"/>
          <w:lang w:val="en-US" w:eastAsia="zh-CN" w:bidi="ar-SA"/>
        </w:rPr>
        <w:t>开发</w:t>
      </w:r>
      <w:r>
        <w:rPr>
          <w:rFonts w:ascii="Times New Roman" w:hAnsi="Times New Roman" w:eastAsia="宋体" w:cs="Times New Roman"/>
          <w:kern w:val="2"/>
          <w:lang w:val="en-US" w:eastAsia="zh-CN" w:bidi="ar-SA"/>
        </w:rPr>
        <w:t>与</w:t>
      </w:r>
      <w:r>
        <w:rPr>
          <w:rFonts w:hint="eastAsia" w:ascii="Times New Roman" w:hAnsi="Times New Roman" w:eastAsia="宋体" w:cs="Times New Roman"/>
          <w:kern w:val="2"/>
          <w:lang w:val="en-US" w:eastAsia="zh-CN" w:bidi="ar-SA"/>
        </w:rPr>
        <w:t>实施（针对</w:t>
      </w:r>
      <w:r>
        <w:rPr>
          <w:rFonts w:ascii="Times New Roman" w:hAnsi="Times New Roman" w:eastAsia="宋体" w:cs="Times New Roman"/>
          <w:kern w:val="2"/>
          <w:lang w:val="en-US" w:eastAsia="zh-CN" w:bidi="ar-SA"/>
        </w:rPr>
        <w:t>开发人员）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_Toc25846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default" w:ascii="Times New Roman" w:hAnsi="Times New Roman" w:eastAsia="宋体" w:cs="Times New Roman"/>
          <w:kern w:val="44"/>
          <w:lang w:val="en-US" w:eastAsia="zh-CN" w:bidi="ar-SA"/>
        </w:rPr>
        <w:fldChar w:fldCharType="end"/>
      </w:r>
    </w:p>
    <w:p>
      <w:pPr>
        <w:pStyle w:val="2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_Toc19705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 </w:t>
      </w:r>
      <w:r>
        <w:rPr>
          <w:rFonts w:hint="eastAsia" w:ascii="Times New Roman" w:hAnsi="Times New Roman" w:eastAsia="宋体" w:cs="Times New Roman"/>
          <w:kern w:val="2"/>
          <w:lang w:val="en-US" w:eastAsia="zh-CN" w:bidi="ar-SA"/>
        </w:rPr>
        <w:t>本次</w:t>
      </w:r>
      <w:r>
        <w:rPr>
          <w:rFonts w:ascii="Times New Roman" w:hAnsi="Times New Roman" w:eastAsia="宋体" w:cs="Times New Roman"/>
          <w:kern w:val="2"/>
          <w:lang w:val="en-US" w:eastAsia="zh-CN" w:bidi="ar-SA"/>
        </w:rPr>
        <w:t>修改内容</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_Toc19705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_Toc8650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.1.1. </w:t>
      </w:r>
      <w:r>
        <w:rPr>
          <w:rFonts w:hint="eastAsia" w:ascii="Times New Roman" w:hAnsi="Times New Roman" w:eastAsia="宋体" w:cs="Times New Roman"/>
          <w:kern w:val="2"/>
          <w:lang w:val="en-US" w:eastAsia="zh-CN" w:bidi="ar-SA"/>
        </w:rPr>
        <w:t>表</w:t>
      </w:r>
      <w:r>
        <w:rPr>
          <w:rFonts w:ascii="Times New Roman" w:hAnsi="Times New Roman" w:eastAsia="宋体" w:cs="Times New Roman"/>
          <w:kern w:val="2"/>
          <w:lang w:val="en-US" w:eastAsia="zh-CN" w:bidi="ar-SA"/>
        </w:rPr>
        <w:t>基本信息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_Toc8650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_Toc29173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.1.2. </w:t>
      </w:r>
      <w:r>
        <w:rPr>
          <w:rFonts w:hint="eastAsia" w:ascii="Times New Roman" w:hAnsi="Times New Roman" w:eastAsia="宋体" w:cs="Times New Roman"/>
          <w:kern w:val="2"/>
          <w:lang w:val="en-US" w:eastAsia="zh-CN" w:bidi="ar-SA"/>
        </w:rPr>
        <w:t>字段</w:t>
      </w:r>
      <w:r>
        <w:rPr>
          <w:rFonts w:ascii="Times New Roman" w:hAnsi="Times New Roman" w:eastAsia="宋体" w:cs="Times New Roman"/>
          <w:kern w:val="2"/>
          <w:lang w:val="en-US" w:eastAsia="zh-CN" w:bidi="ar-SA"/>
        </w:rPr>
        <w:t>基本信息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_Toc29173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_Toc30221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.1.3. </w:t>
      </w:r>
      <w:r>
        <w:rPr>
          <w:rFonts w:hint="eastAsia" w:ascii="Times New Roman" w:hAnsi="Times New Roman" w:eastAsia="宋体" w:cs="Times New Roman"/>
          <w:kern w:val="2"/>
          <w:lang w:val="en-US" w:eastAsia="zh-CN" w:bidi="ar-SA"/>
        </w:rPr>
        <w:t>索引</w:t>
      </w:r>
      <w:r>
        <w:rPr>
          <w:rFonts w:ascii="Times New Roman" w:hAnsi="Times New Roman" w:eastAsia="宋体" w:cs="Times New Roman"/>
          <w:kern w:val="2"/>
          <w:lang w:val="en-US" w:eastAsia="zh-CN" w:bidi="ar-SA"/>
        </w:rPr>
        <w:t>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_Toc30221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11</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_Toc10925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.1.4. </w:t>
      </w:r>
      <w:r>
        <w:rPr>
          <w:rFonts w:hint="eastAsia" w:ascii="Times New Roman" w:hAnsi="Times New Roman" w:eastAsia="宋体" w:cs="Times New Roman"/>
          <w:kern w:val="2"/>
          <w:lang w:val="en-US" w:eastAsia="zh-CN" w:bidi="ar-SA"/>
        </w:rPr>
        <w:t>存储过程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_Toc10925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11</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_Toc11782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.1.5. </w:t>
      </w:r>
      <w:r>
        <w:rPr>
          <w:rFonts w:hint="eastAsia" w:ascii="Times New Roman" w:hAnsi="Times New Roman" w:eastAsia="宋体" w:cs="Times New Roman"/>
          <w:kern w:val="2"/>
          <w:lang w:val="en-US" w:eastAsia="zh-CN" w:bidi="ar-SA"/>
        </w:rPr>
        <w:t>触发器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_Toc11782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8"/>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_Toc21637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5.处理</w:t>
      </w:r>
      <w:r>
        <w:rPr>
          <w:rFonts w:ascii="Times New Roman" w:hAnsi="Times New Roman" w:eastAsia="宋体" w:cs="Times New Roman"/>
          <w:kern w:val="2"/>
          <w:lang w:val="en-US" w:eastAsia="zh-CN" w:bidi="ar-SA"/>
        </w:rPr>
        <w:t>工具与规则（</w:t>
      </w:r>
      <w:r>
        <w:rPr>
          <w:rFonts w:hint="eastAsia" w:ascii="Times New Roman" w:hAnsi="Times New Roman" w:eastAsia="宋体" w:cs="Times New Roman"/>
          <w:kern w:val="2"/>
          <w:lang w:val="en-US" w:eastAsia="zh-CN" w:bidi="ar-SA"/>
        </w:rPr>
        <w:t>针对</w:t>
      </w:r>
      <w:r>
        <w:rPr>
          <w:rFonts w:ascii="Times New Roman" w:hAnsi="Times New Roman" w:eastAsia="宋体" w:cs="Times New Roman"/>
          <w:kern w:val="2"/>
          <w:lang w:val="en-US" w:eastAsia="zh-CN" w:bidi="ar-SA"/>
        </w:rPr>
        <w:t>录入人员）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_Toc21637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2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_Toc21209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.2. </w:t>
      </w:r>
      <w:r>
        <w:rPr>
          <w:rFonts w:hint="eastAsia" w:ascii="Times New Roman" w:hAnsi="Times New Roman" w:eastAsia="宋体" w:cs="Times New Roman"/>
          <w:kern w:val="2"/>
          <w:lang w:val="en-US" w:eastAsia="zh-CN" w:bidi="ar-SA"/>
        </w:rPr>
        <w:t>本次</w:t>
      </w:r>
      <w:r>
        <w:rPr>
          <w:rFonts w:ascii="Times New Roman" w:hAnsi="Times New Roman" w:eastAsia="宋体" w:cs="Times New Roman"/>
          <w:kern w:val="2"/>
          <w:lang w:val="en-US" w:eastAsia="zh-CN" w:bidi="ar-SA"/>
        </w:rPr>
        <w:t>修改内容</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_Toc21209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_Toc14359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.2.1. </w:t>
      </w:r>
      <w:r>
        <w:rPr>
          <w:rFonts w:hint="eastAsia" w:ascii="Times New Roman" w:hAnsi="Times New Roman" w:eastAsia="宋体" w:cs="Times New Roman"/>
          <w:kern w:val="2"/>
          <w:lang w:val="en-US" w:eastAsia="zh-CN" w:bidi="ar-SA"/>
        </w:rPr>
        <w:t>抓取规则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_Toc14359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_Toc1693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.2.2. </w:t>
      </w:r>
      <w:r>
        <w:rPr>
          <w:rFonts w:hint="eastAsia" w:ascii="Times New Roman" w:hAnsi="Times New Roman" w:eastAsia="宋体" w:cs="Times New Roman"/>
          <w:kern w:val="2"/>
          <w:lang w:val="en-US" w:eastAsia="zh-CN" w:bidi="ar-SA"/>
        </w:rPr>
        <w:t>历史</w:t>
      </w:r>
      <w:r>
        <w:rPr>
          <w:rFonts w:ascii="Times New Roman" w:hAnsi="Times New Roman" w:eastAsia="宋体" w:cs="Times New Roman"/>
          <w:kern w:val="2"/>
          <w:lang w:val="en-US" w:eastAsia="zh-CN" w:bidi="ar-SA"/>
        </w:rPr>
        <w:t>数据</w:t>
      </w:r>
      <w:r>
        <w:rPr>
          <w:rFonts w:hint="eastAsia" w:ascii="Times New Roman" w:hAnsi="Times New Roman" w:eastAsia="宋体" w:cs="Times New Roman"/>
          <w:kern w:val="2"/>
          <w:lang w:val="en-US" w:eastAsia="zh-CN" w:bidi="ar-SA"/>
        </w:rPr>
        <w:t>清洗规则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_Toc1693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_Toc893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.2.3. </w:t>
      </w:r>
      <w:r>
        <w:rPr>
          <w:rFonts w:hint="eastAsia" w:ascii="Times New Roman" w:hAnsi="Times New Roman" w:eastAsia="宋体" w:cs="Times New Roman"/>
          <w:kern w:val="2"/>
          <w:lang w:val="en-US" w:eastAsia="zh-CN" w:bidi="ar-SA"/>
        </w:rPr>
        <w:t>处理规则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_Toc893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13</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_Toc27125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.2.4. </w:t>
      </w:r>
      <w:r>
        <w:rPr>
          <w:rFonts w:hint="eastAsia" w:ascii="Times New Roman" w:hAnsi="Times New Roman" w:eastAsia="宋体" w:cs="Times New Roman"/>
          <w:kern w:val="2"/>
          <w:lang w:val="en-US" w:eastAsia="zh-CN" w:bidi="ar-SA"/>
        </w:rPr>
        <w:t>核查规则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_Toc27125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4"/>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_Toc7158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.2.5. </w:t>
      </w:r>
      <w:r>
        <w:rPr>
          <w:rFonts w:hint="eastAsia" w:ascii="Times New Roman" w:hAnsi="Times New Roman" w:eastAsia="宋体" w:cs="Times New Roman"/>
          <w:kern w:val="2"/>
          <w:lang w:val="en-US" w:eastAsia="zh-CN" w:bidi="ar-SA"/>
        </w:rPr>
        <w:t>数据处理流程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_Toc7158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r>
        <w:rPr>
          <w:rFonts w:ascii="Times New Roman" w:hAnsi="Times New Roman" w:eastAsia="宋体" w:cs="Times New Roman"/>
          <w:kern w:val="2"/>
          <w:lang w:val="en-US" w:eastAsia="zh-CN" w:bidi="ar-SA"/>
        </w:rPr>
        <w:fldChar w:fldCharType="end"/>
      </w:r>
    </w:p>
    <w:p>
      <w:pPr/>
    </w:p>
    <w:p>
      <w:pPr/>
    </w:p>
    <w:p>
      <w:pPr/>
    </w:p>
    <w:p>
      <w:pPr/>
    </w:p>
    <w:p>
      <w:pPr/>
    </w:p>
    <w:p>
      <w:pPr/>
    </w:p>
    <w:p>
      <w:pPr/>
    </w:p>
    <w:p>
      <w:pPr/>
    </w:p>
    <w:p>
      <w:pPr/>
    </w:p>
    <w:p>
      <w:pPr/>
    </w:p>
    <w:p>
      <w:pPr/>
    </w:p>
    <w:p>
      <w:pPr/>
    </w:p>
    <w:p>
      <w:pPr/>
    </w:p>
    <w:p>
      <w:pPr/>
    </w:p>
    <w:bookmarkEnd w:id="0"/>
    <w:p>
      <w:pPr>
        <w:pStyle w:val="2"/>
        <w:rPr>
          <w:rFonts w:hint="eastAsia"/>
        </w:rPr>
      </w:pPr>
      <w:bookmarkStart w:id="1" w:name="_Toc20877"/>
      <w:r>
        <w:rPr>
          <w:rFonts w:hint="eastAsia"/>
          <w:lang w:eastAsia="zh-CN"/>
        </w:rPr>
        <w:t>项目总览与实施情况</w:t>
      </w:r>
      <w:bookmarkEnd w:id="1"/>
    </w:p>
    <w:p>
      <w:pPr>
        <w:pStyle w:val="3"/>
      </w:pPr>
      <w:bookmarkStart w:id="2" w:name="_Toc22920"/>
      <w:bookmarkStart w:id="3" w:name="_Toc7416"/>
      <w:r>
        <w:rPr>
          <w:rFonts w:hint="eastAsia"/>
        </w:rPr>
        <w:t>概览</w:t>
      </w:r>
      <w:bookmarkEnd w:id="2"/>
      <w:bookmarkEnd w:id="3"/>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Theme="minorEastAsia" w:hAnsiTheme="minorEastAsia" w:eastAsiaTheme="minorEastAsia"/>
                <w:b/>
                <w:sz w:val="18"/>
                <w:szCs w:val="18"/>
                <w:lang w:eastAsia="zh-CN"/>
              </w:rPr>
            </w:pPr>
            <w:r>
              <w:rPr>
                <w:rFonts w:hint="eastAsia" w:asciiTheme="minorEastAsia" w:hAnsiTheme="minorEastAsia" w:eastAsiaTheme="minorEastAsia"/>
                <w:b/>
                <w:sz w:val="18"/>
                <w:szCs w:val="18"/>
                <w:lang w:eastAsia="zh-CN"/>
              </w:rPr>
              <w:t>项目名称</w:t>
            </w:r>
          </w:p>
        </w:tc>
        <w:tc>
          <w:tcPr>
            <w:tcW w:w="6392" w:type="dxa"/>
            <w:gridSpan w:val="3"/>
          </w:tcPr>
          <w:p>
            <w:pPr>
              <w:jc w:val="both"/>
              <w:rPr>
                <w:rFonts w:ascii="Times New Roman" w:hAnsi="Times New Roman" w:eastAsia="宋体"/>
                <w:kern w:val="2"/>
                <w:sz w:val="21"/>
                <w:vertAlign w:val="baseline"/>
                <w:lang w:val="en-US" w:eastAsia="zh-CN" w:bidi="ar-SA"/>
              </w:rPr>
            </w:pPr>
            <w:r>
              <w:rPr>
                <w:rFonts w:hint="eastAsia"/>
                <w:kern w:val="2"/>
                <w:sz w:val="21"/>
                <w:vertAlign w:val="baseline"/>
                <w:lang w:val="en-US" w:eastAsia="zh-CN" w:bidi="ar-SA"/>
              </w:rPr>
              <w:t>P12014债券利率变动表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项目总负责人</w:t>
            </w:r>
          </w:p>
        </w:tc>
        <w:tc>
          <w:tcPr>
            <w:tcW w:w="2130" w:type="dxa"/>
          </w:tcPr>
          <w:p>
            <w:pPr>
              <w:rPr>
                <w:rFonts w:hint="eastAsia" w:eastAsia="宋体"/>
                <w:vertAlign w:val="baseline"/>
                <w:lang w:eastAsia="zh-CN"/>
              </w:rPr>
            </w:pPr>
            <w:r>
              <w:rPr>
                <w:rFonts w:hint="eastAsia"/>
                <w:vertAlign w:val="baseline"/>
                <w:lang w:eastAsia="zh-CN"/>
              </w:rPr>
              <w:t>孙海峰</w:t>
            </w:r>
          </w:p>
        </w:tc>
        <w:tc>
          <w:tcPr>
            <w:tcW w:w="2131" w:type="dxa"/>
          </w:tcPr>
          <w:p>
            <w:pPr>
              <w:rPr>
                <w:vertAlign w:val="baseline"/>
              </w:rPr>
            </w:pPr>
            <w:r>
              <w:rPr>
                <w:rFonts w:hint="eastAsia" w:asciiTheme="minorEastAsia" w:hAnsiTheme="minorEastAsia" w:eastAsiaTheme="minorEastAsia"/>
                <w:b/>
                <w:sz w:val="18"/>
                <w:szCs w:val="18"/>
              </w:rPr>
              <w:t>需求优先级</w:t>
            </w:r>
          </w:p>
        </w:tc>
        <w:tc>
          <w:tcPr>
            <w:tcW w:w="2131" w:type="dxa"/>
          </w:tcPr>
          <w:p>
            <w:pPr>
              <w:jc w:val="both"/>
              <w:rPr>
                <w:rFonts w:hint="eastAsia" w:eastAsia="宋体"/>
                <w:vertAlign w:val="baseline"/>
                <w:lang w:eastAsia="zh-CN"/>
              </w:rPr>
            </w:pPr>
            <w:r>
              <w:rPr>
                <w:rFonts w:hint="eastAsia"/>
                <w:vertAlign w:val="baseline"/>
                <w:lang w:eastAsia="zh-CN"/>
              </w:rPr>
              <w:t>五级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需求提出人</w:t>
            </w:r>
          </w:p>
        </w:tc>
        <w:tc>
          <w:tcPr>
            <w:tcW w:w="2130" w:type="dxa"/>
          </w:tcPr>
          <w:p>
            <w:pPr>
              <w:rPr>
                <w:rFonts w:hint="eastAsia" w:eastAsia="宋体"/>
                <w:vertAlign w:val="baseline"/>
                <w:lang w:eastAsia="zh-CN"/>
              </w:rPr>
            </w:pPr>
            <w:r>
              <w:rPr>
                <w:rFonts w:hint="eastAsia"/>
                <w:vertAlign w:val="baseline"/>
                <w:lang w:eastAsia="zh-CN"/>
              </w:rPr>
              <w:t>徐松</w:t>
            </w:r>
          </w:p>
        </w:tc>
        <w:tc>
          <w:tcPr>
            <w:tcW w:w="2131" w:type="dxa"/>
          </w:tcPr>
          <w:p>
            <w:pPr>
              <w:rPr>
                <w:vertAlign w:val="baseline"/>
              </w:rPr>
            </w:pPr>
            <w:r>
              <w:rPr>
                <w:rFonts w:hint="eastAsia" w:asciiTheme="minorEastAsia" w:hAnsiTheme="minorEastAsia" w:eastAsiaTheme="minorEastAsia"/>
                <w:b/>
                <w:sz w:val="18"/>
                <w:szCs w:val="18"/>
              </w:rPr>
              <w:t>需求提出日期</w:t>
            </w:r>
          </w:p>
        </w:tc>
        <w:tc>
          <w:tcPr>
            <w:tcW w:w="2131" w:type="dxa"/>
          </w:tcPr>
          <w:p>
            <w:pPr>
              <w:rPr>
                <w:rFonts w:hint="eastAsia" w:eastAsia="宋体"/>
                <w:vertAlign w:val="baseline"/>
                <w:lang w:val="en-US" w:eastAsia="zh-CN"/>
              </w:rPr>
            </w:pPr>
            <w:r>
              <w:rPr>
                <w:rFonts w:hint="eastAsia"/>
                <w:vertAlign w:val="baseline"/>
                <w:lang w:val="en-US" w:eastAsia="zh-CN"/>
              </w:rPr>
              <w:t>2016/8/15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需求接收人</w:t>
            </w:r>
          </w:p>
        </w:tc>
        <w:tc>
          <w:tcPr>
            <w:tcW w:w="2130" w:type="dxa"/>
          </w:tcPr>
          <w:p>
            <w:pPr>
              <w:rPr>
                <w:vertAlign w:val="baseline"/>
              </w:rPr>
            </w:pPr>
          </w:p>
        </w:tc>
        <w:tc>
          <w:tcPr>
            <w:tcW w:w="2131" w:type="dxa"/>
          </w:tcPr>
          <w:p>
            <w:pPr>
              <w:rPr>
                <w:vertAlign w:val="baseline"/>
              </w:rPr>
            </w:pPr>
            <w:r>
              <w:rPr>
                <w:rFonts w:hint="eastAsia" w:asciiTheme="minorEastAsia" w:hAnsiTheme="minorEastAsia" w:eastAsiaTheme="minorEastAsia"/>
                <w:b/>
                <w:sz w:val="18"/>
                <w:szCs w:val="18"/>
              </w:rPr>
              <w:t>承诺发放日期</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需求编号</w:t>
            </w:r>
          </w:p>
        </w:tc>
        <w:tc>
          <w:tcPr>
            <w:tcW w:w="2130" w:type="dxa"/>
          </w:tcPr>
          <w:p>
            <w:pPr>
              <w:rPr>
                <w:vertAlign w:val="baseline"/>
              </w:rPr>
            </w:pPr>
          </w:p>
        </w:tc>
        <w:tc>
          <w:tcPr>
            <w:tcW w:w="2131" w:type="dxa"/>
          </w:tcPr>
          <w:p>
            <w:pPr>
              <w:rPr>
                <w:vertAlign w:val="baseline"/>
              </w:rPr>
            </w:pPr>
            <w:r>
              <w:rPr>
                <w:rFonts w:hint="eastAsia" w:asciiTheme="minorEastAsia" w:hAnsiTheme="minorEastAsia" w:eastAsiaTheme="minorEastAsia"/>
                <w:b/>
                <w:sz w:val="18"/>
                <w:szCs w:val="18"/>
              </w:rPr>
              <w:t>业务类型</w:t>
            </w:r>
          </w:p>
        </w:tc>
        <w:tc>
          <w:tcPr>
            <w:tcW w:w="2131" w:type="dxa"/>
          </w:tcPr>
          <w:p>
            <w:pPr>
              <w:rPr>
                <w:rFonts w:hint="eastAsia" w:eastAsia="宋体"/>
                <w:vertAlign w:val="baseline"/>
                <w:lang w:eastAsia="zh-CN"/>
              </w:rPr>
            </w:pPr>
            <w:r>
              <w:rPr>
                <w:rFonts w:hint="eastAsia"/>
                <w:vertAlign w:val="baseline"/>
                <w:lang w:eastAsia="zh-CN"/>
              </w:rPr>
              <w:t>债券类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需求部门</w:t>
            </w:r>
          </w:p>
        </w:tc>
        <w:tc>
          <w:tcPr>
            <w:tcW w:w="2130" w:type="dxa"/>
          </w:tcPr>
          <w:p>
            <w:pPr>
              <w:rPr>
                <w:rFonts w:hint="eastAsia" w:eastAsia="宋体"/>
                <w:vertAlign w:val="baseline"/>
                <w:lang w:eastAsia="zh-CN"/>
              </w:rPr>
            </w:pPr>
            <w:r>
              <w:rPr>
                <w:rFonts w:hint="eastAsia"/>
                <w:vertAlign w:val="baseline"/>
                <w:lang w:eastAsia="zh-CN"/>
              </w:rPr>
              <w:t>数据中心</w:t>
            </w:r>
          </w:p>
        </w:tc>
        <w:tc>
          <w:tcPr>
            <w:tcW w:w="2131" w:type="dxa"/>
          </w:tcPr>
          <w:p>
            <w:pPr>
              <w:rPr>
                <w:vertAlign w:val="baseline"/>
              </w:rPr>
            </w:pPr>
            <w:r>
              <w:rPr>
                <w:rFonts w:hint="eastAsia" w:asciiTheme="minorEastAsia" w:hAnsiTheme="minorEastAsia" w:eastAsiaTheme="minorEastAsia"/>
                <w:b/>
                <w:sz w:val="18"/>
                <w:szCs w:val="18"/>
              </w:rPr>
              <w:t>需求类型</w:t>
            </w:r>
          </w:p>
        </w:tc>
        <w:tc>
          <w:tcPr>
            <w:tcW w:w="2131" w:type="dxa"/>
          </w:tcPr>
          <w:p>
            <w:pPr>
              <w:rPr>
                <w:rFonts w:hint="eastAsia" w:eastAsia="宋体"/>
                <w:vertAlign w:val="baseline"/>
                <w:lang w:eastAsia="zh-CN"/>
              </w:rPr>
            </w:pPr>
            <w:r>
              <w:rPr>
                <w:rFonts w:hint="eastAsia"/>
                <w:vertAlign w:val="baseline"/>
                <w:lang w:eastAsia="zh-CN"/>
              </w:rPr>
              <w:t>内部需求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需求说明</w:t>
            </w:r>
          </w:p>
        </w:tc>
        <w:tc>
          <w:tcPr>
            <w:tcW w:w="6392" w:type="dxa"/>
            <w:gridSpan w:val="3"/>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关联的库表</w:t>
            </w:r>
          </w:p>
        </w:tc>
        <w:tc>
          <w:tcPr>
            <w:tcW w:w="6392" w:type="dxa"/>
            <w:gridSpan w:val="3"/>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关联的文档</w:t>
            </w:r>
          </w:p>
        </w:tc>
        <w:tc>
          <w:tcPr>
            <w:tcW w:w="6392" w:type="dxa"/>
            <w:gridSpan w:val="3"/>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关联组/部门</w:t>
            </w:r>
          </w:p>
        </w:tc>
        <w:tc>
          <w:tcPr>
            <w:tcW w:w="6392" w:type="dxa"/>
            <w:gridSpan w:val="3"/>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备    注</w:t>
            </w:r>
          </w:p>
        </w:tc>
        <w:tc>
          <w:tcPr>
            <w:tcW w:w="6392" w:type="dxa"/>
            <w:gridSpan w:val="3"/>
          </w:tcPr>
          <w:p>
            <w:pPr>
              <w:rPr>
                <w:vertAlign w:val="baseline"/>
              </w:rPr>
            </w:pPr>
          </w:p>
        </w:tc>
      </w:tr>
    </w:tbl>
    <w:p>
      <w:pPr>
        <w:pStyle w:val="3"/>
      </w:pPr>
      <w:bookmarkStart w:id="4" w:name="_Toc6135"/>
      <w:r>
        <w:rPr>
          <w:rFonts w:hint="eastAsia"/>
        </w:rPr>
        <w:t>需求/项目执行概况</w:t>
      </w:r>
      <w:bookmarkEnd w:id="4"/>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业务规划人员</w:t>
            </w:r>
          </w:p>
        </w:tc>
        <w:tc>
          <w:tcPr>
            <w:tcW w:w="2130" w:type="dxa"/>
          </w:tcPr>
          <w:p>
            <w:pPr>
              <w:rPr>
                <w:rFonts w:hint="eastAsia" w:eastAsia="宋体"/>
                <w:vertAlign w:val="baseline"/>
                <w:lang w:eastAsia="zh-CN"/>
              </w:rPr>
            </w:pPr>
            <w:r>
              <w:rPr>
                <w:rFonts w:hint="eastAsia"/>
                <w:vertAlign w:val="baseline"/>
                <w:lang w:eastAsia="zh-CN"/>
              </w:rPr>
              <w:t>徐松</w:t>
            </w:r>
          </w:p>
        </w:tc>
        <w:tc>
          <w:tcPr>
            <w:tcW w:w="2131" w:type="dxa"/>
          </w:tcPr>
          <w:p>
            <w:pPr>
              <w:rPr>
                <w:vertAlign w:val="baseline"/>
              </w:rPr>
            </w:pPr>
            <w:r>
              <w:rPr>
                <w:rFonts w:hint="eastAsia" w:asciiTheme="minorEastAsia" w:hAnsiTheme="minorEastAsia" w:eastAsiaTheme="minorEastAsia"/>
                <w:b/>
                <w:sz w:val="18"/>
                <w:szCs w:val="18"/>
              </w:rPr>
              <w:t>开始规划日期</w:t>
            </w:r>
          </w:p>
        </w:tc>
        <w:tc>
          <w:tcPr>
            <w:tcW w:w="2131" w:type="dxa"/>
          </w:tcPr>
          <w:p>
            <w:pPr>
              <w:rPr>
                <w:rFonts w:hint="eastAsia" w:eastAsia="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评审/参与人员</w:t>
            </w:r>
          </w:p>
        </w:tc>
        <w:tc>
          <w:tcPr>
            <w:tcW w:w="2130" w:type="dxa"/>
          </w:tcPr>
          <w:p>
            <w:pPr>
              <w:rPr>
                <w:rFonts w:hint="eastAsia" w:eastAsia="宋体"/>
                <w:vertAlign w:val="baseline"/>
                <w:lang w:eastAsia="zh-CN"/>
              </w:rPr>
            </w:pPr>
            <w:r>
              <w:rPr>
                <w:rFonts w:hint="eastAsia"/>
                <w:vertAlign w:val="baseline"/>
                <w:lang w:eastAsia="zh-CN"/>
              </w:rPr>
              <w:t>孙海峰</w:t>
            </w:r>
          </w:p>
        </w:tc>
        <w:tc>
          <w:tcPr>
            <w:tcW w:w="2131" w:type="dxa"/>
          </w:tcPr>
          <w:p>
            <w:pPr>
              <w:rPr>
                <w:vertAlign w:val="baseline"/>
              </w:rPr>
            </w:pPr>
            <w:r>
              <w:rPr>
                <w:rFonts w:hint="eastAsia" w:asciiTheme="minorEastAsia" w:hAnsiTheme="minorEastAsia" w:eastAsiaTheme="minorEastAsia"/>
                <w:b/>
                <w:sz w:val="18"/>
                <w:szCs w:val="18"/>
              </w:rPr>
              <w:t>评审/参与结论</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文档审核人员</w:t>
            </w:r>
          </w:p>
        </w:tc>
        <w:tc>
          <w:tcPr>
            <w:tcW w:w="2130" w:type="dxa"/>
          </w:tcPr>
          <w:p>
            <w:pPr>
              <w:rPr>
                <w:rFonts w:hint="eastAsia" w:eastAsia="宋体"/>
                <w:vertAlign w:val="baseline"/>
                <w:lang w:eastAsia="zh-CN"/>
              </w:rPr>
            </w:pPr>
            <w:r>
              <w:rPr>
                <w:rFonts w:hint="eastAsia"/>
                <w:vertAlign w:val="baseline"/>
                <w:lang w:eastAsia="zh-CN"/>
              </w:rPr>
              <w:t>郑钰</w:t>
            </w:r>
          </w:p>
        </w:tc>
        <w:tc>
          <w:tcPr>
            <w:tcW w:w="2131" w:type="dxa"/>
          </w:tcPr>
          <w:p>
            <w:pPr>
              <w:rPr>
                <w:vertAlign w:val="baseline"/>
              </w:rPr>
            </w:pPr>
            <w:r>
              <w:rPr>
                <w:rFonts w:hint="eastAsia" w:asciiTheme="minorEastAsia" w:hAnsiTheme="minorEastAsia" w:eastAsiaTheme="minorEastAsia"/>
                <w:b/>
                <w:sz w:val="18"/>
                <w:szCs w:val="18"/>
              </w:rPr>
              <w:t>审核通过日期</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lang w:eastAsia="zh-CN"/>
              </w:rPr>
              <w:t>开发</w:t>
            </w:r>
            <w:r>
              <w:rPr>
                <w:rFonts w:hint="eastAsia" w:asciiTheme="minorEastAsia" w:hAnsiTheme="minorEastAsia" w:eastAsiaTheme="minorEastAsia"/>
                <w:b/>
                <w:sz w:val="18"/>
                <w:szCs w:val="18"/>
              </w:rPr>
              <w:t>人员</w:t>
            </w:r>
          </w:p>
        </w:tc>
        <w:tc>
          <w:tcPr>
            <w:tcW w:w="2130" w:type="dxa"/>
          </w:tcPr>
          <w:p>
            <w:pPr>
              <w:rPr>
                <w:vertAlign w:val="baseline"/>
              </w:rPr>
            </w:pPr>
          </w:p>
        </w:tc>
        <w:tc>
          <w:tcPr>
            <w:tcW w:w="2131" w:type="dxa"/>
          </w:tcPr>
          <w:p>
            <w:pPr>
              <w:rPr>
                <w:vertAlign w:val="baseline"/>
              </w:rPr>
            </w:pPr>
            <w:r>
              <w:rPr>
                <w:rFonts w:hint="eastAsia" w:asciiTheme="minorEastAsia" w:hAnsiTheme="minorEastAsia" w:eastAsiaTheme="minorEastAsia"/>
                <w:b/>
                <w:sz w:val="18"/>
                <w:szCs w:val="18"/>
                <w:lang w:eastAsia="zh-CN"/>
              </w:rPr>
              <w:t>开发开始</w:t>
            </w:r>
            <w:r>
              <w:rPr>
                <w:rFonts w:hint="eastAsia" w:asciiTheme="minorEastAsia" w:hAnsiTheme="minorEastAsia" w:eastAsiaTheme="minorEastAsia"/>
                <w:b/>
                <w:sz w:val="18"/>
                <w:szCs w:val="18"/>
              </w:rPr>
              <w:t>日期</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Theme="minorEastAsia" w:hAnsiTheme="minorEastAsia" w:eastAsiaTheme="minorEastAsia"/>
                <w:b/>
                <w:sz w:val="18"/>
                <w:szCs w:val="18"/>
                <w:lang w:eastAsia="zh-CN"/>
              </w:rPr>
            </w:pPr>
            <w:r>
              <w:rPr>
                <w:rFonts w:hint="eastAsia" w:asciiTheme="minorEastAsia" w:hAnsiTheme="minorEastAsia" w:eastAsiaTheme="minorEastAsia"/>
                <w:b/>
                <w:sz w:val="18"/>
                <w:szCs w:val="18"/>
                <w:lang w:eastAsia="zh-CN"/>
              </w:rPr>
              <w:t>开发阶段</w:t>
            </w:r>
          </w:p>
        </w:tc>
        <w:tc>
          <w:tcPr>
            <w:tcW w:w="2130" w:type="dxa"/>
          </w:tcPr>
          <w:p>
            <w:pPr>
              <w:rPr>
                <w:vertAlign w:val="baseline"/>
              </w:rPr>
            </w:pPr>
          </w:p>
        </w:tc>
        <w:tc>
          <w:tcPr>
            <w:tcW w:w="2131" w:type="dxa"/>
          </w:tcPr>
          <w:p>
            <w:pPr>
              <w:rPr>
                <w:rFonts w:hint="eastAsia" w:asciiTheme="minorEastAsia" w:hAnsiTheme="minorEastAsia" w:eastAsiaTheme="minorEastAsia"/>
                <w:b/>
                <w:sz w:val="18"/>
                <w:szCs w:val="18"/>
                <w:lang w:eastAsia="zh-CN"/>
              </w:rPr>
            </w:pPr>
            <w:r>
              <w:rPr>
                <w:rFonts w:hint="eastAsia" w:asciiTheme="minorEastAsia" w:hAnsiTheme="minorEastAsia" w:eastAsiaTheme="minorEastAsia"/>
                <w:b/>
                <w:sz w:val="18"/>
                <w:szCs w:val="18"/>
                <w:lang w:eastAsia="zh-CN"/>
              </w:rPr>
              <w:t>开发结束日期</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各项测试人员</w:t>
            </w:r>
          </w:p>
        </w:tc>
        <w:tc>
          <w:tcPr>
            <w:tcW w:w="2130" w:type="dxa"/>
          </w:tcPr>
          <w:p>
            <w:pPr>
              <w:rPr>
                <w:vertAlign w:val="baseline"/>
              </w:rPr>
            </w:pPr>
          </w:p>
        </w:tc>
        <w:tc>
          <w:tcPr>
            <w:tcW w:w="2131" w:type="dxa"/>
          </w:tcPr>
          <w:p>
            <w:pPr>
              <w:rPr>
                <w:vertAlign w:val="baseline"/>
              </w:rPr>
            </w:pPr>
            <w:r>
              <w:rPr>
                <w:rFonts w:hint="eastAsia" w:asciiTheme="minorEastAsia" w:hAnsiTheme="minorEastAsia" w:eastAsiaTheme="minorEastAsia"/>
                <w:b/>
                <w:sz w:val="18"/>
                <w:szCs w:val="18"/>
              </w:rPr>
              <w:t>实施评估结果</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备    注</w:t>
            </w:r>
          </w:p>
        </w:tc>
        <w:tc>
          <w:tcPr>
            <w:tcW w:w="2130" w:type="dxa"/>
          </w:tcPr>
          <w:p>
            <w:pPr>
              <w:rPr>
                <w:vertAlign w:val="baseline"/>
              </w:rPr>
            </w:pPr>
          </w:p>
        </w:tc>
        <w:tc>
          <w:tcPr>
            <w:tcW w:w="2131" w:type="dxa"/>
          </w:tcPr>
          <w:p>
            <w:pPr>
              <w:rPr>
                <w:vertAlign w:val="baseline"/>
              </w:rPr>
            </w:pPr>
          </w:p>
        </w:tc>
        <w:tc>
          <w:tcPr>
            <w:tcW w:w="2131" w:type="dxa"/>
          </w:tcPr>
          <w:p>
            <w:pPr>
              <w:rPr>
                <w:vertAlign w:val="baseline"/>
              </w:rPr>
            </w:pPr>
          </w:p>
        </w:tc>
      </w:tr>
    </w:tbl>
    <w:p>
      <w:pPr/>
    </w:p>
    <w:p>
      <w:pPr/>
    </w:p>
    <w:p>
      <w:pPr/>
    </w:p>
    <w:p>
      <w:pPr/>
    </w:p>
    <w:p>
      <w:pPr/>
    </w:p>
    <w:p>
      <w:pPr/>
    </w:p>
    <w:p>
      <w:pPr/>
    </w:p>
    <w:p>
      <w:pPr/>
    </w:p>
    <w:p>
      <w:pPr/>
    </w:p>
    <w:p>
      <w:pPr/>
    </w:p>
    <w:p>
      <w:pPr/>
    </w:p>
    <w:p>
      <w:pPr/>
    </w:p>
    <w:p>
      <w:pPr/>
    </w:p>
    <w:p>
      <w:pPr>
        <w:pStyle w:val="2"/>
      </w:pPr>
      <w:bookmarkStart w:id="5" w:name="_Toc9900"/>
      <w:r>
        <w:rPr>
          <w:rFonts w:hint="eastAsia"/>
        </w:rPr>
        <w:t>业务研究</w:t>
      </w:r>
      <w:r>
        <w:t>分析（</w:t>
      </w:r>
      <w:r>
        <w:rPr>
          <w:rFonts w:hint="eastAsia"/>
        </w:rPr>
        <w:t>针对</w:t>
      </w:r>
      <w:r>
        <w:t>规划人员）</w:t>
      </w:r>
      <w:bookmarkEnd w:id="5"/>
    </w:p>
    <w:p>
      <w:pPr>
        <w:pStyle w:val="3"/>
        <w:rPr>
          <w:rFonts w:hint="eastAsia" w:eastAsia="宋体"/>
          <w:sz w:val="24"/>
          <w:szCs w:val="24"/>
          <w:lang w:val="en-US" w:eastAsia="zh-CN"/>
        </w:rPr>
      </w:pPr>
      <w:bookmarkStart w:id="6" w:name="_Toc29988"/>
      <w:r>
        <w:rPr>
          <w:rFonts w:hint="eastAsia"/>
          <w:lang w:eastAsia="zh-CN"/>
        </w:rPr>
        <w:t>规划目标</w:t>
      </w:r>
      <w:bookmarkEnd w:id="6"/>
    </w:p>
    <w:p>
      <w:pPr>
        <w:pStyle w:val="4"/>
        <w:rPr>
          <w:rFonts w:hint="eastAsia"/>
          <w:lang w:val="en-US" w:eastAsia="zh-CN"/>
        </w:rPr>
      </w:pPr>
      <w:r>
        <w:rPr>
          <w:rFonts w:hint="eastAsia"/>
          <w:lang w:eastAsia="zh-CN"/>
        </w:rPr>
        <w:t>新建债券利率变动表，</w:t>
      </w:r>
      <w:bookmarkStart w:id="7" w:name="OLE_LINK1"/>
      <w:r>
        <w:rPr>
          <w:rFonts w:hint="eastAsia"/>
          <w:lang w:eastAsia="zh-CN"/>
        </w:rPr>
        <w:t>主要是为了了解债券在不同的计息周期内利率变动的情况，从而对债券在存续期内的利率的变动类型以及利率变动的方向有个更详细的了解，可以对债券在存续期内利率波动情况有个详细的了解。</w:t>
      </w:r>
    </w:p>
    <w:bookmarkEnd w:id="7"/>
    <w:p>
      <w:pPr>
        <w:pStyle w:val="5"/>
        <w:rPr>
          <w:rFonts w:hint="eastAsia"/>
          <w:lang w:val="en-US" w:eastAsia="zh-CN"/>
        </w:rPr>
      </w:pPr>
      <w:bookmarkStart w:id="8" w:name="_Toc27877"/>
      <w:r>
        <w:rPr>
          <w:rFonts w:hint="eastAsia"/>
          <w:lang w:eastAsia="zh-CN"/>
        </w:rPr>
        <w:t>现有业务阐述</w:t>
      </w:r>
      <w:bookmarkEnd w:id="8"/>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债券利率主要有三种类型：固定利率、浮动利率、累计利率。其中，</w:t>
      </w:r>
      <w:r>
        <w:rPr>
          <w:rFonts w:hint="eastAsia" w:ascii="Times New Roman" w:hAnsi="Times New Roman" w:eastAsia="宋体" w:cs="Times New Roman"/>
          <w:kern w:val="2"/>
          <w:sz w:val="21"/>
          <w:lang w:val="en-US" w:eastAsia="zh-CN" w:bidi="ar-SA"/>
        </w:rPr>
        <w:t>累进利率债券指年利率以利率逐年累进方法计息的债券。累进利率债券的利率随着时间的推移，后期利率比前期利率更高，呈累进状态。固定利率债券是指在发行时规定利率在整个偿还期内不变的债券。浮动利率债券是与固定利率债券相对应的一种债券,它是指发行时规定债券利率随市场利率定期浮动的债券，其利率通常根据市场基准利率加上一定的利差来确定。浮动利率债券往往是中长期债券。由于利率可以随市场利率浮动，采取浮动利率债券形式可以有效地规避利率风险。</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eastAsia" w:cs="Times New Roman"/>
          <w:kern w:val="2"/>
          <w:sz w:val="21"/>
          <w:lang w:val="en-US" w:eastAsia="zh-CN" w:bidi="ar-SA"/>
        </w:rPr>
      </w:pPr>
      <w:r>
        <w:rPr>
          <w:rFonts w:hint="eastAsia" w:cs="Times New Roman"/>
          <w:kern w:val="2"/>
          <w:sz w:val="21"/>
          <w:lang w:val="en-US" w:eastAsia="zh-CN" w:bidi="ar-SA"/>
        </w:rPr>
        <w:t>债券的利率类型为浮动利率或累进利率时，债券随着时间的推移，债券的利率会发生变动。债券的浮动利率受市场利率变动的影响较大，收益是未知的，固定利率受市场利率的影响较小，收益是已知的。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eastAsia" w:cs="Times New Roman"/>
          <w:kern w:val="2"/>
          <w:sz w:val="21"/>
          <w:lang w:val="en-US" w:eastAsia="zh-CN" w:bidi="ar-SA"/>
        </w:rPr>
      </w:pPr>
      <w:r>
        <w:rPr>
          <w:rFonts w:hint="eastAsia" w:cs="Times New Roman"/>
          <w:kern w:val="2"/>
          <w:sz w:val="21"/>
          <w:lang w:val="en-US" w:eastAsia="zh-CN" w:bidi="ar-SA"/>
        </w:rPr>
        <w:t>而债券在存续期内债券利率的变动类型主要有固定利率、浮动利率、累进利率、特殊条款调整利率。特殊条款调整利率包括上调票面利率选择权和调整票面利率选择权（可能上调或下调）。特殊条款调整票面利率只有特殊条款在行权时，债券的利率才会发生变动。债券利率的类型会在债券的募集说明书进行详细的阐述。我们构建的债券利率变动表主要是想知道每种债券在每个付息周期利率变动的详细情况，了解债券利率的在计息期限内的有效日期、具体的利率，从而能计算出债券的具体利息，知道每个付息期付息的金额。</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数据源：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上海清算所：</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"http://www.shclearing.com/xxpl/dfzx/mtn_571/"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http://www.shclearing.com/xxpl/dfzx/mtn_571/</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中国货币网：</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"http://www.chinamoney.com.cn/fe/Channel/8298"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http://www.chinamoney.com.cn/fe/Channel/8298</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中国债券信息网：</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"http://www.chinabond.com.cn/Channel/21000"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http://www.chinabond.com.cn/Channel/21000</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上海证券交易所：</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"http://www.sse.com.cn/disclosure/bond/announcement/corporate/"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http://www.sse.com.cn/disclosure/bond/announcement/corporate/</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深圳证券交易所：</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"http://disclosure.szse.cn/m/zqgg.htm"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http://disclosure.szse.cn/m/zqgg.htm</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债券每个计息周期内的利率变动主要是从债券的付息兑付公告上面获得。债券在募集说明书中对债券的付息方式和利率类型进行了详细描述。特殊条款调整票面利率在行权时会有行权提示公告，从这可以判断债券利率的变动类型是否为特殊条款调整利率。有关具体详细的债券利率信息可以到债券的付息兑付公告中寻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样例1固定利率：2011年深圳发展银行股份有限公司第一期混合资本债券</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数据源：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募集说明书：</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"http://www.chinamoney.com.cn/fe/Info/26306555?infoPath=1"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http://www.chinamoney.com.cn/fe/Info/26306555?infoPath=1</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流通要素公告：</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"http://www.chinamoney.com.cn/fe/Info/26194418"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http://www.chinamoney.com.cn/fe/Info/26194418</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 xml:space="preserve">深圳发展银行混合资本债（固定利率）2012年度付息公告：                                                 </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"http://www.chinamoney.com.cn/fe/Info/25406937?infoPath=1"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http://www.chinamoney.com.cn/fe/Info/25406937?infoPath=1</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募集说明书中有关票面利率具体如下：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jc w:val="left"/>
        <w:rPr>
          <w:bdr w:val="single" w:sz="4" w:space="0"/>
        </w:rPr>
      </w:pPr>
      <w:r>
        <w:rPr>
          <w:bdr w:val="single" w:sz="4" w:space="0"/>
        </w:rPr>
        <w:drawing>
          <wp:inline distT="0" distB="0" distL="114300" distR="114300">
            <wp:extent cx="4367530" cy="1941830"/>
            <wp:effectExtent l="0" t="0" r="139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67530" cy="194183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jc w:val="left"/>
        <w:rPr>
          <w:bdr w:val="single" w:sz="4" w:space="0"/>
        </w:rPr>
      </w:pPr>
      <w:r>
        <w:rPr>
          <w:bdr w:val="single" w:sz="4" w:space="0"/>
        </w:rPr>
        <w:drawing>
          <wp:inline distT="0" distB="0" distL="114300" distR="114300">
            <wp:extent cx="4412615" cy="1129030"/>
            <wp:effectExtent l="0" t="0" r="698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412615" cy="112903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jc w:val="left"/>
        <w:rPr>
          <w:bdr w:val="single" w:sz="4" w:space="0"/>
        </w:rPr>
      </w:pPr>
      <w:r>
        <w:rPr>
          <w:rFonts w:hint="eastAsia" w:cs="Times New Roman"/>
          <w:kern w:val="2"/>
          <w:sz w:val="21"/>
          <w:lang w:val="en-US" w:eastAsia="zh-CN" w:bidi="ar-SA"/>
        </w:rPr>
        <w:t>流通要素公告中具体内容如下所示：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jc w:val="left"/>
        <w:rPr>
          <w:rFonts w:hint="eastAsia"/>
          <w:bdr w:val="single" w:sz="4" w:space="0"/>
          <w:lang w:val="en-US" w:eastAsia="zh-CN"/>
        </w:rPr>
      </w:pPr>
      <w:r>
        <w:rPr>
          <w:bdr w:val="single" w:sz="4" w:space="0"/>
        </w:rPr>
        <w:drawing>
          <wp:inline distT="0" distB="0" distL="114300" distR="114300">
            <wp:extent cx="4397375" cy="4478020"/>
            <wp:effectExtent l="0" t="0" r="317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4397375" cy="447802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深圳发展银行混合资本债（固定利率）2012年度付息公告具体情况如下所示：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bdr w:val="single" w:sz="4" w:space="0"/>
        </w:rPr>
        <w:drawing>
          <wp:inline distT="0" distB="0" distL="114300" distR="114300">
            <wp:extent cx="4752340" cy="322834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752340" cy="322834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从付息公告中可以看出：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公告日期：20120502                     变动类型：固定利率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债券利率起始日：20110429               债券利率终止日：20120428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计息周期起始日：20110429               计息周期终止日：20140428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票面利率：7.5%                         是否有效：是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样例2浮动利率：</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"http://www.chinabond.com.cn/Info/20429655" \o "2014年第二期农银信贷资产证券化信托-受托机构报告-第3期" \t "http://www.chinabond.com.cn/jsp/include/CB_CN/issue/_blank" </w:instrText>
      </w:r>
      <w:r>
        <w:rPr>
          <w:rFonts w:hint="eastAsia" w:cs="Times New Roman"/>
          <w:kern w:val="2"/>
          <w:sz w:val="21"/>
          <w:lang w:val="en-US" w:eastAsia="zh-CN" w:bidi="ar-SA"/>
        </w:rPr>
        <w:fldChar w:fldCharType="separate"/>
      </w:r>
      <w:r>
        <w:rPr>
          <w:rFonts w:hint="eastAsia" w:cs="Times New Roman"/>
          <w:kern w:val="2"/>
          <w:sz w:val="21"/>
          <w:lang w:val="en-US" w:eastAsia="zh-CN" w:bidi="ar-SA"/>
        </w:rPr>
        <w:t>2014年第二期农银信贷资产证券化信托</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数据源：2014年第二期农银信贷资产证券化发行文件：</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"http://www.chinabond.com.cn/Info/17934504"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http://www.chinabond.com.cn/Info/17934504</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2014年第二期农银信贷资产证券化信托-受托机构报告-第3期: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color w:val="0070C0"/>
          <w:kern w:val="2"/>
          <w:sz w:val="21"/>
          <w:lang w:val="en-US" w:eastAsia="zh-CN" w:bidi="ar-SA"/>
        </w:rPr>
      </w:pP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"http://www.chinabond.com.cn/Channel/21000"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http://www.chinabond.com.cn/Info/20</w:t>
      </w:r>
      <w:r>
        <w:rPr>
          <w:rFonts w:hint="eastAsia" w:cs="Times New Roman"/>
          <w:kern w:val="2"/>
          <w:sz w:val="21"/>
          <w:lang w:val="en-US" w:eastAsia="zh-CN" w:bidi="ar-SA"/>
        </w:rPr>
        <w:fldChar w:fldCharType="end"/>
      </w:r>
      <w:r>
        <w:rPr>
          <w:rFonts w:hint="eastAsia" w:cs="Times New Roman"/>
          <w:color w:val="0070C0"/>
          <w:kern w:val="2"/>
          <w:sz w:val="21"/>
          <w:lang w:val="en-US" w:eastAsia="zh-CN" w:bidi="ar-SA"/>
        </w:rPr>
        <w:t>429655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color w:val="auto"/>
          <w:kern w:val="2"/>
          <w:sz w:val="21"/>
          <w:lang w:val="en-US" w:eastAsia="zh-CN" w:bidi="ar-SA"/>
        </w:rPr>
      </w:pPr>
      <w:r>
        <w:rPr>
          <w:rFonts w:hint="eastAsia" w:cs="Times New Roman"/>
          <w:color w:val="auto"/>
          <w:kern w:val="2"/>
          <w:sz w:val="21"/>
          <w:lang w:val="en-US" w:eastAsia="zh-CN" w:bidi="ar-SA"/>
        </w:rPr>
        <w:t>发行公告的具体内容如下所示：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color w:val="0070C0"/>
          <w:kern w:val="2"/>
          <w:sz w:val="21"/>
          <w:lang w:val="en-US" w:eastAsia="zh-CN" w:bidi="ar-SA"/>
        </w:rPr>
      </w:pPr>
      <w:r>
        <w:rPr>
          <w:bdr w:val="single" w:sz="4" w:space="0"/>
        </w:rPr>
        <w:drawing>
          <wp:inline distT="0" distB="0" distL="114300" distR="114300">
            <wp:extent cx="5273675" cy="3015615"/>
            <wp:effectExtent l="0" t="0" r="317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3675" cy="301561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2014年第二期农银信贷资产证券化信托-受托机构报告-第3期付息兑付公告如下所示：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bdr w:val="single" w:sz="4" w:space="0"/>
        </w:rPr>
      </w:pPr>
      <w:r>
        <w:rPr>
          <w:bdr w:val="single" w:sz="4" w:space="0"/>
        </w:rPr>
        <w:drawing>
          <wp:inline distT="0" distB="0" distL="114300" distR="114300">
            <wp:extent cx="5269230" cy="1833880"/>
            <wp:effectExtent l="0" t="0" r="762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9230" cy="1833880"/>
                    </a:xfrm>
                    <a:prstGeom prst="rect">
                      <a:avLst/>
                    </a:prstGeom>
                    <a:noFill/>
                    <a:ln w="9525">
                      <a:noFill/>
                    </a:ln>
                  </pic:spPr>
                </pic:pic>
              </a:graphicData>
            </a:graphic>
          </wp:inline>
        </w:drawing>
      </w:r>
      <w:r>
        <w:rPr>
          <w:bdr w:val="single" w:sz="4" w:space="0"/>
        </w:rPr>
        <w:drawing>
          <wp:inline distT="0" distB="0" distL="114300" distR="114300">
            <wp:extent cx="5268595" cy="2364105"/>
            <wp:effectExtent l="0" t="0" r="825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68595" cy="236410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从债券发行公告中可以看出：债券优先级债券的票面利率均为浮动利率，优先A-1档、优先A-2档、优先B档付息方式均为按季支付。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从付息公告中可以看出：优先级A-1档债券的利率情况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color w:val="FF0000"/>
          <w:kern w:val="2"/>
          <w:sz w:val="21"/>
          <w:lang w:val="en-US" w:eastAsia="zh-CN" w:bidi="ar-SA"/>
        </w:rPr>
      </w:pPr>
      <w:r>
        <w:rPr>
          <w:rFonts w:hint="eastAsia" w:cs="Times New Roman"/>
          <w:color w:val="FF0000"/>
          <w:kern w:val="2"/>
          <w:sz w:val="21"/>
          <w:lang w:val="en-US" w:eastAsia="zh-CN" w:bidi="ar-SA"/>
        </w:rPr>
        <w:t>记录1：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公告日期：20150415                     变动类型：浮动利率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债券利率起始日：20150126               债券利率终止日：20150221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计息周期起始日：20150126               计息周期终止日：20150425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票面利率：4.95%                         是否有效：是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color w:val="FF0000"/>
          <w:kern w:val="2"/>
          <w:sz w:val="21"/>
          <w:lang w:val="en-US" w:eastAsia="zh-CN" w:bidi="ar-SA"/>
        </w:rPr>
      </w:pPr>
      <w:r>
        <w:rPr>
          <w:rFonts w:hint="eastAsia" w:cs="Times New Roman"/>
          <w:color w:val="FF0000"/>
          <w:kern w:val="2"/>
          <w:sz w:val="21"/>
          <w:lang w:val="en-US" w:eastAsia="zh-CN" w:bidi="ar-SA"/>
        </w:rPr>
        <w:t>记录2：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公告日期：20150415                     变动类型：浮动利率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债券利率起始日：20150222               债券利率终止日：20150425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计息周期起始日：20150126               计息周期终止日：20150425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票面利率：4.7%                         是否有效：是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jc w:val="left"/>
        <w:rPr>
          <w:rFonts w:hint="eastAsia" w:cs="Times New Roman"/>
          <w:kern w:val="2"/>
          <w:sz w:val="21"/>
          <w:lang w:val="en-US" w:eastAsia="zh-CN" w:bidi="ar-SA"/>
        </w:rPr>
      </w:pPr>
      <w:r>
        <w:rPr>
          <w:rFonts w:hint="eastAsia" w:cs="Times New Roman"/>
          <w:kern w:val="2"/>
          <w:sz w:val="21"/>
          <w:lang w:val="en-US" w:eastAsia="zh-CN" w:bidi="ar-SA"/>
        </w:rPr>
        <w:t>样例3：江西铜业集团公司2012年度第一期中期票据</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jc w:val="left"/>
        <w:rPr>
          <w:rFonts w:hint="eastAsia" w:cs="Times New Roman"/>
          <w:kern w:val="2"/>
          <w:sz w:val="21"/>
          <w:lang w:val="en-US" w:eastAsia="zh-CN" w:bidi="ar-SA"/>
        </w:rPr>
      </w:pPr>
      <w:r>
        <w:rPr>
          <w:rFonts w:hint="eastAsia" w:cs="Times New Roman"/>
          <w:kern w:val="2"/>
          <w:sz w:val="21"/>
          <w:lang w:val="en-US" w:eastAsia="zh-CN" w:bidi="ar-SA"/>
        </w:rPr>
        <w:t>数据源：江西铜业集团公司2012年度第一期中期票据募集说明书：</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"http://www.chinamoney.com.cn/fe/Info/25695178?infoPath=1"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http://www.chinamoney.com.cn/fe/Info/25695178?infoPath=1</w:t>
      </w:r>
      <w:r>
        <w:rPr>
          <w:rFonts w:hint="eastAsia" w:cs="Times New Roman"/>
          <w:kern w:val="2"/>
          <w:sz w:val="21"/>
          <w:lang w:val="en-US" w:eastAsia="zh-CN" w:bidi="ar-SA"/>
        </w:rPr>
        <w:fldChar w:fldCharType="end"/>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jc w:val="left"/>
        <w:rPr>
          <w:rFonts w:hint="eastAsia" w:cs="Times New Roman"/>
          <w:kern w:val="2"/>
          <w:sz w:val="21"/>
          <w:lang w:val="en-US" w:eastAsia="zh-CN" w:bidi="ar-SA"/>
        </w:rPr>
      </w:pP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"http://www.chinamoney.com.cn/fe/CMS5_G20306002Resource?info=20320286;res=1461654774555231508160;download=" </w:instrText>
      </w:r>
      <w:r>
        <w:rPr>
          <w:rFonts w:hint="eastAsia" w:cs="Times New Roman"/>
          <w:kern w:val="2"/>
          <w:sz w:val="21"/>
          <w:lang w:val="en-US" w:eastAsia="zh-CN" w:bidi="ar-SA"/>
        </w:rPr>
        <w:fldChar w:fldCharType="separate"/>
      </w:r>
      <w:r>
        <w:rPr>
          <w:rFonts w:hint="eastAsia" w:cs="Times New Roman"/>
          <w:kern w:val="2"/>
          <w:sz w:val="21"/>
          <w:lang w:val="en-US" w:eastAsia="zh-CN" w:bidi="ar-SA"/>
        </w:rPr>
        <w:t>江西铜业集团公司2012年度第一期中期票据发行人调整票面利率选择权行使公告</w:t>
      </w:r>
      <w:r>
        <w:rPr>
          <w:rFonts w:hint="eastAsia" w:cs="Times New Roman"/>
          <w:kern w:val="2"/>
          <w:sz w:val="21"/>
          <w:lang w:val="en-US" w:eastAsia="zh-CN" w:bidi="ar-SA"/>
        </w:rPr>
        <w:fldChar w:fldCharType="end"/>
      </w:r>
      <w:r>
        <w:rPr>
          <w:rFonts w:hint="eastAsia" w:cs="Times New Roman"/>
          <w:kern w:val="2"/>
          <w:sz w:val="21"/>
          <w:lang w:val="en-US" w:eastAsia="zh-CN" w:bidi="ar-SA"/>
        </w:rPr>
        <w:t>：</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"http://www.chinamoney.com.cn/fe/Info/20320286?infoPath=1"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http://www.chinamoney.com.cn/fe/Info/20320286?infoPath=1</w:t>
      </w:r>
      <w:r>
        <w:rPr>
          <w:rFonts w:hint="eastAsia" w:cs="Times New Roman"/>
          <w:kern w:val="2"/>
          <w:sz w:val="21"/>
          <w:lang w:val="en-US" w:eastAsia="zh-CN" w:bidi="ar-SA"/>
        </w:rPr>
        <w:fldChar w:fldCharType="end"/>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jc w:val="left"/>
        <w:rPr>
          <w:rFonts w:hint="eastAsia" w:cs="Times New Roman"/>
          <w:kern w:val="2"/>
          <w:sz w:val="21"/>
          <w:lang w:val="en-US" w:eastAsia="zh-CN" w:bidi="ar-SA"/>
        </w:rPr>
      </w:pP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"http://www.chinamoney.com.cn/fe/CMS5_G20306002Resource?info=20283444;res=146163771291216013183;download=" </w:instrText>
      </w:r>
      <w:r>
        <w:rPr>
          <w:rFonts w:hint="eastAsia" w:cs="Times New Roman"/>
          <w:kern w:val="2"/>
          <w:sz w:val="21"/>
          <w:lang w:val="en-US" w:eastAsia="zh-CN" w:bidi="ar-SA"/>
        </w:rPr>
        <w:fldChar w:fldCharType="separate"/>
      </w:r>
      <w:r>
        <w:rPr>
          <w:rFonts w:hint="eastAsia" w:cs="Times New Roman"/>
          <w:kern w:val="2"/>
          <w:sz w:val="21"/>
          <w:lang w:val="en-US" w:eastAsia="zh-CN" w:bidi="ar-SA"/>
        </w:rPr>
        <w:t>江西铜业集团公司2012年度第一期中期票据2015年付息公告</w:t>
      </w:r>
      <w:r>
        <w:rPr>
          <w:rFonts w:hint="eastAsia" w:cs="Times New Roman"/>
          <w:kern w:val="2"/>
          <w:sz w:val="21"/>
          <w:lang w:val="en-US" w:eastAsia="zh-CN" w:bidi="ar-SA"/>
        </w:rPr>
        <w:fldChar w:fldCharType="end"/>
      </w:r>
      <w:r>
        <w:rPr>
          <w:rFonts w:hint="eastAsia" w:cs="Times New Roman"/>
          <w:kern w:val="2"/>
          <w:sz w:val="21"/>
          <w:lang w:val="en-US" w:eastAsia="zh-CN" w:bidi="ar-SA"/>
        </w:rPr>
        <w:t>：</w:t>
      </w: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"http://www.chinamoney.com.cn/fe/Info/20283444?infoPath=1" </w:instrText>
      </w:r>
      <w:r>
        <w:rPr>
          <w:rFonts w:hint="eastAsia" w:cs="Times New Roman"/>
          <w:kern w:val="2"/>
          <w:sz w:val="21"/>
          <w:lang w:val="en-US" w:eastAsia="zh-CN" w:bidi="ar-SA"/>
        </w:rPr>
        <w:fldChar w:fldCharType="separate"/>
      </w:r>
      <w:r>
        <w:rPr>
          <w:rStyle w:val="30"/>
          <w:rFonts w:hint="eastAsia" w:cs="Times New Roman"/>
          <w:kern w:val="2"/>
          <w:sz w:val="21"/>
          <w:lang w:val="en-US" w:eastAsia="zh-CN" w:bidi="ar-SA"/>
        </w:rPr>
        <w:t>http://www.chinamoney.com.cn/fe/Info/20283444?infoPath=1</w:t>
      </w:r>
      <w:r>
        <w:rPr>
          <w:rFonts w:hint="eastAsia" w:cs="Times New Roman"/>
          <w:kern w:val="2"/>
          <w:sz w:val="21"/>
          <w:lang w:val="en-US" w:eastAsia="zh-CN" w:bidi="ar-SA"/>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募集说明书情况如下所示：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bdr w:val="single" w:sz="4" w:space="0"/>
        </w:rPr>
      </w:pPr>
      <w:r>
        <w:rPr>
          <w:bdr w:val="single" w:sz="4" w:space="0"/>
        </w:rPr>
        <w:drawing>
          <wp:inline distT="0" distB="0" distL="114300" distR="114300">
            <wp:extent cx="5270500" cy="3531870"/>
            <wp:effectExtent l="0" t="0" r="635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0500" cy="353187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bdr w:val="single" w:sz="4" w:space="0"/>
          <w:lang w:val="en-US" w:eastAsia="zh-CN"/>
        </w:rPr>
      </w:pP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"http://www.chinamoney.com.cn/fe/CMS5_G20306002Resource?info=20320286;res=1461654774555231508160;download=" </w:instrText>
      </w:r>
      <w:r>
        <w:rPr>
          <w:rFonts w:hint="eastAsia" w:cs="Times New Roman"/>
          <w:kern w:val="2"/>
          <w:sz w:val="21"/>
          <w:lang w:val="en-US" w:eastAsia="zh-CN" w:bidi="ar-SA"/>
        </w:rPr>
        <w:fldChar w:fldCharType="separate"/>
      </w:r>
      <w:r>
        <w:rPr>
          <w:rFonts w:hint="eastAsia" w:cs="Times New Roman"/>
          <w:kern w:val="2"/>
          <w:sz w:val="21"/>
          <w:lang w:val="en-US" w:eastAsia="zh-CN" w:bidi="ar-SA"/>
        </w:rPr>
        <w:t>江西铜业集团公司2012年度第一期中期票据发行人调整票面利率选择权行使公告</w:t>
      </w:r>
      <w:r>
        <w:rPr>
          <w:rFonts w:hint="eastAsia" w:cs="Times New Roman"/>
          <w:kern w:val="2"/>
          <w:sz w:val="21"/>
          <w:lang w:val="en-US" w:eastAsia="zh-CN" w:bidi="ar-SA"/>
        </w:rPr>
        <w:fldChar w:fldCharType="end"/>
      </w:r>
      <w:r>
        <w:rPr>
          <w:rFonts w:hint="eastAsia" w:cs="Times New Roman"/>
          <w:kern w:val="2"/>
          <w:sz w:val="21"/>
          <w:lang w:val="en-US" w:eastAsia="zh-CN" w:bidi="ar-SA"/>
        </w:rPr>
        <w:t>具体内容如下：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bdr w:val="single" w:sz="4" w:space="0"/>
        </w:rPr>
      </w:pPr>
      <w:r>
        <w:rPr>
          <w:bdr w:val="single" w:sz="4" w:space="0"/>
        </w:rPr>
        <w:drawing>
          <wp:inline distT="0" distB="0" distL="114300" distR="114300">
            <wp:extent cx="5273040" cy="3596005"/>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3040" cy="359600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特殊条款行权公告日期为：20150205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t>从特殊条款公告中可以看出调整后的票面利率适用的计息期限：2015年2月20日到2017年2月20日。调整后的票面利率为4.2%。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cs="Times New Roman"/>
          <w:kern w:val="2"/>
          <w:sz w:val="21"/>
          <w:lang w:val="en-US" w:eastAsia="zh-CN" w:bidi="ar-SA"/>
        </w:rPr>
      </w:pPr>
      <w:r>
        <w:rPr>
          <w:rFonts w:hint="eastAsia" w:cs="Times New Roman"/>
          <w:kern w:val="2"/>
          <w:sz w:val="21"/>
          <w:lang w:val="en-US" w:eastAsia="zh-CN" w:bidi="ar-SA"/>
        </w:rPr>
        <w:fldChar w:fldCharType="begin"/>
      </w:r>
      <w:r>
        <w:rPr>
          <w:rFonts w:hint="eastAsia" w:cs="Times New Roman"/>
          <w:kern w:val="2"/>
          <w:sz w:val="21"/>
          <w:lang w:val="en-US" w:eastAsia="zh-CN" w:bidi="ar-SA"/>
        </w:rPr>
        <w:instrText xml:space="preserve"> HYPERLINK "http://www.chinamoney.com.cn/fe/CMS5_G20306002Resource?info=20283444;res=146163771291216013183;download=" </w:instrText>
      </w:r>
      <w:r>
        <w:rPr>
          <w:rFonts w:hint="eastAsia" w:cs="Times New Roman"/>
          <w:kern w:val="2"/>
          <w:sz w:val="21"/>
          <w:lang w:val="en-US" w:eastAsia="zh-CN" w:bidi="ar-SA"/>
        </w:rPr>
        <w:fldChar w:fldCharType="separate"/>
      </w:r>
      <w:r>
        <w:rPr>
          <w:rFonts w:hint="eastAsia" w:cs="Times New Roman"/>
          <w:kern w:val="2"/>
          <w:sz w:val="21"/>
          <w:lang w:val="en-US" w:eastAsia="zh-CN" w:bidi="ar-SA"/>
        </w:rPr>
        <w:t>江西铜业集团公司2012年度第一期中期票据2015年付息公告</w:t>
      </w:r>
      <w:r>
        <w:rPr>
          <w:rFonts w:hint="eastAsia" w:cs="Times New Roman"/>
          <w:kern w:val="2"/>
          <w:sz w:val="21"/>
          <w:lang w:val="en-US" w:eastAsia="zh-CN" w:bidi="ar-SA"/>
        </w:rPr>
        <w:fldChar w:fldCharType="end"/>
      </w:r>
      <w:r>
        <w:rPr>
          <w:rFonts w:hint="eastAsia" w:cs="Times New Roman"/>
          <w:kern w:val="2"/>
          <w:sz w:val="21"/>
          <w:lang w:val="en-US" w:eastAsia="zh-CN" w:bidi="ar-SA"/>
        </w:rPr>
        <w:t>具体情况如下所示：</w:t>
      </w:r>
    </w:p>
    <w:p>
      <w:pPr>
        <w:pStyle w:val="4"/>
        <w:ind w:left="0" w:leftChars="0" w:firstLine="0" w:firstLineChars="0"/>
        <w:rPr>
          <w:bdr w:val="single" w:sz="4" w:space="0"/>
        </w:rPr>
      </w:pPr>
      <w:r>
        <w:rPr>
          <w:bdr w:val="single" w:sz="4" w:space="0"/>
        </w:rPr>
        <w:drawing>
          <wp:inline distT="0" distB="0" distL="114300" distR="114300">
            <wp:extent cx="5271770" cy="2631440"/>
            <wp:effectExtent l="0" t="0" r="508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1770" cy="2631440"/>
                    </a:xfrm>
                    <a:prstGeom prst="rect">
                      <a:avLst/>
                    </a:prstGeom>
                    <a:noFill/>
                    <a:ln w="9525">
                      <a:noFill/>
                    </a:ln>
                  </pic:spPr>
                </pic:pic>
              </a:graphicData>
            </a:graphic>
          </wp:inline>
        </w:drawing>
      </w:r>
    </w:p>
    <w:p>
      <w:pPr>
        <w:pStyle w:val="4"/>
        <w:ind w:left="0" w:leftChars="0" w:firstLine="0" w:firstLineChars="0"/>
        <w:rPr>
          <w:rFonts w:hint="eastAsia" w:eastAsia="宋体"/>
          <w:bdr w:val="single" w:sz="4" w:space="0"/>
          <w:lang w:val="en-US" w:eastAsia="zh-CN"/>
        </w:rPr>
      </w:pPr>
      <w:r>
        <w:rPr>
          <w:rFonts w:hint="eastAsia" w:cs="Times New Roman"/>
          <w:kern w:val="2"/>
          <w:sz w:val="21"/>
          <w:lang w:val="en-US" w:eastAsia="zh-CN" w:bidi="ar-SA"/>
        </w:rPr>
        <w:t>从募集说明书中可以看出，债券在行权前的利率为固定利率，付息公告中可以看出，债券在2014年2月20日到2015年2月20日计息期间中的债券利率为4.68%。债券利率的起始日期为20140220，债券利率的终止日期为20150220。</w:t>
      </w:r>
    </w:p>
    <w:p>
      <w:pPr>
        <w:pStyle w:val="5"/>
        <w:rPr>
          <w:rFonts w:hint="eastAsia"/>
        </w:rPr>
      </w:pPr>
      <w:bookmarkStart w:id="9" w:name="_Toc9050"/>
      <w:r>
        <w:rPr>
          <w:rFonts w:hint="eastAsia"/>
          <w:lang w:eastAsia="zh-CN"/>
        </w:rPr>
        <w:t>修改的必要性</w:t>
      </w:r>
      <w:bookmarkEnd w:id="9"/>
    </w:p>
    <w:p>
      <w:pPr>
        <w:pStyle w:val="5"/>
        <w:rPr>
          <w:rFonts w:hint="eastAsia"/>
          <w:lang w:val="en-US" w:eastAsia="zh-CN"/>
        </w:rPr>
      </w:pPr>
      <w:bookmarkStart w:id="10" w:name="_Toc4419"/>
      <w:r>
        <w:rPr>
          <w:rFonts w:hint="eastAsia"/>
          <w:lang w:eastAsia="zh-CN"/>
        </w:rPr>
        <w:t>录入库方案</w:t>
      </w:r>
      <w:bookmarkEnd w:id="10"/>
    </w:p>
    <w:p>
      <w:pPr>
        <w:pStyle w:val="4"/>
        <w:rPr>
          <w:rFonts w:hint="eastAsia"/>
          <w:lang w:val="en-US" w:eastAsia="zh-CN"/>
        </w:rPr>
      </w:pPr>
      <w:r>
        <w:rPr>
          <w:rFonts w:hint="eastAsia" w:ascii="Georgia" w:hAnsi="Georgia" w:eastAsia="宋体" w:cs="Georgia"/>
          <w:b w:val="0"/>
          <w:i w:val="0"/>
          <w:caps w:val="0"/>
          <w:color w:val="333333"/>
          <w:spacing w:val="0"/>
          <w:sz w:val="21"/>
          <w:szCs w:val="21"/>
          <w:shd w:val="clear" w:fill="FFFFFF"/>
          <w:lang w:eastAsia="zh-CN"/>
        </w:rPr>
        <w:t>由于本表字段较少，表中字段</w:t>
      </w:r>
      <w:r>
        <w:rPr>
          <w:rFonts w:hint="default" w:ascii="Georgia" w:hAnsi="Georgia" w:eastAsia="Georgia" w:cs="Georgia"/>
          <w:b w:val="0"/>
          <w:i w:val="0"/>
          <w:caps w:val="0"/>
          <w:color w:val="333333"/>
          <w:spacing w:val="0"/>
          <w:sz w:val="21"/>
          <w:szCs w:val="21"/>
          <w:shd w:val="clear" w:fill="FFFFFF"/>
        </w:rPr>
        <w:t>清晰可见，一目了然，数据描叙很清晰</w:t>
      </w:r>
      <w:r>
        <w:rPr>
          <w:rFonts w:hint="eastAsia" w:ascii="Georgia" w:hAnsi="Georgia" w:eastAsia="宋体" w:cs="Georgia"/>
          <w:b w:val="0"/>
          <w:i w:val="0"/>
          <w:caps w:val="0"/>
          <w:color w:val="333333"/>
          <w:spacing w:val="0"/>
          <w:sz w:val="21"/>
          <w:szCs w:val="21"/>
          <w:shd w:val="clear" w:fill="FFFFFF"/>
          <w:lang w:eastAsia="zh-CN"/>
        </w:rPr>
        <w:t>，建议用横表处理。</w:t>
      </w:r>
    </w:p>
    <w:p>
      <w:pPr>
        <w:pStyle w:val="5"/>
        <w:rPr>
          <w:rFonts w:hint="eastAsia"/>
          <w:lang w:val="en-US" w:eastAsia="zh-CN"/>
        </w:rPr>
      </w:pPr>
      <w:bookmarkStart w:id="11" w:name="_Toc5214"/>
      <w:r>
        <w:rPr>
          <w:rFonts w:hint="eastAsia"/>
          <w:lang w:eastAsia="zh-CN"/>
        </w:rPr>
        <w:t>数据库产品方案</w:t>
      </w:r>
      <w:bookmarkEnd w:id="11"/>
    </w:p>
    <w:p>
      <w:pPr>
        <w:pStyle w:val="5"/>
        <w:rPr>
          <w:rFonts w:hint="eastAsia"/>
          <w:lang w:val="en-US" w:eastAsia="zh-CN"/>
        </w:rPr>
      </w:pPr>
      <w:bookmarkStart w:id="12" w:name="_Toc25210"/>
      <w:r>
        <w:rPr>
          <w:rFonts w:hint="eastAsia"/>
          <w:lang w:eastAsia="zh-CN"/>
        </w:rPr>
        <w:t>终端产品方案</w:t>
      </w:r>
      <w:bookmarkEnd w:id="12"/>
    </w:p>
    <w:p>
      <w:pPr>
        <w:pStyle w:val="4"/>
        <w:rPr>
          <w:rFonts w:hint="eastAsia"/>
          <w:lang w:val="en-US" w:eastAsia="zh-CN"/>
        </w:rPr>
      </w:pPr>
    </w:p>
    <w:p>
      <w:pPr>
        <w:pStyle w:val="3"/>
        <w:rPr>
          <w:rFonts w:hint="eastAsia"/>
        </w:rPr>
      </w:pPr>
      <w:bookmarkStart w:id="13" w:name="_Toc1803"/>
      <w:bookmarkStart w:id="14" w:name="_Toc30737"/>
      <w:r>
        <w:rPr>
          <w:rFonts w:hint="eastAsia"/>
        </w:rPr>
        <w:t>方案的审定</w:t>
      </w:r>
      <w:bookmarkEnd w:id="13"/>
      <w:bookmarkEnd w:id="14"/>
    </w:p>
    <w:tbl>
      <w:tblPr>
        <w:tblStyle w:val="3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7"/>
        <w:gridCol w:w="708"/>
        <w:gridCol w:w="854"/>
        <w:gridCol w:w="5240"/>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7"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NO</w:t>
            </w:r>
          </w:p>
        </w:tc>
        <w:tc>
          <w:tcPr>
            <w:tcW w:w="708"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部门</w:t>
            </w:r>
          </w:p>
        </w:tc>
        <w:tc>
          <w:tcPr>
            <w:tcW w:w="854"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人员</w:t>
            </w:r>
          </w:p>
        </w:tc>
        <w:tc>
          <w:tcPr>
            <w:tcW w:w="5240"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论  点</w:t>
            </w:r>
          </w:p>
        </w:tc>
        <w:tc>
          <w:tcPr>
            <w:tcW w:w="1948"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7"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1</w:t>
            </w:r>
          </w:p>
        </w:tc>
        <w:tc>
          <w:tcPr>
            <w:tcW w:w="708" w:type="dxa"/>
          </w:tcPr>
          <w:p>
            <w:pPr>
              <w:pStyle w:val="4"/>
              <w:ind w:firstLine="0" w:firstLineChars="0"/>
              <w:rPr>
                <w:rFonts w:asciiTheme="minorEastAsia" w:hAnsiTheme="minorEastAsia" w:eastAsiaTheme="minorEastAsia"/>
              </w:rPr>
            </w:pPr>
          </w:p>
        </w:tc>
        <w:tc>
          <w:tcPr>
            <w:tcW w:w="854" w:type="dxa"/>
          </w:tcPr>
          <w:p>
            <w:pPr>
              <w:pStyle w:val="4"/>
              <w:ind w:firstLine="0" w:firstLineChars="0"/>
              <w:rPr>
                <w:rFonts w:asciiTheme="minorEastAsia" w:hAnsiTheme="minorEastAsia" w:eastAsiaTheme="minorEastAsia"/>
              </w:rPr>
            </w:pPr>
          </w:p>
        </w:tc>
        <w:tc>
          <w:tcPr>
            <w:tcW w:w="5240" w:type="dxa"/>
          </w:tcPr>
          <w:p>
            <w:pPr>
              <w:pStyle w:val="4"/>
              <w:ind w:firstLine="0" w:firstLineChars="0"/>
              <w:rPr>
                <w:rFonts w:asciiTheme="minorEastAsia" w:hAnsiTheme="minorEastAsia" w:eastAsiaTheme="minorEastAsia"/>
              </w:rPr>
            </w:pPr>
          </w:p>
        </w:tc>
        <w:tc>
          <w:tcPr>
            <w:tcW w:w="1948" w:type="dxa"/>
          </w:tcPr>
          <w:p>
            <w:pPr>
              <w:pStyle w:val="4"/>
              <w:ind w:firstLine="0" w:firstLineChars="0"/>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7"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2</w:t>
            </w:r>
          </w:p>
        </w:tc>
        <w:tc>
          <w:tcPr>
            <w:tcW w:w="708" w:type="dxa"/>
          </w:tcPr>
          <w:p>
            <w:pPr>
              <w:pStyle w:val="4"/>
              <w:ind w:firstLine="0" w:firstLineChars="0"/>
              <w:rPr>
                <w:rFonts w:asciiTheme="minorEastAsia" w:hAnsiTheme="minorEastAsia" w:eastAsiaTheme="minorEastAsia"/>
              </w:rPr>
            </w:pPr>
          </w:p>
        </w:tc>
        <w:tc>
          <w:tcPr>
            <w:tcW w:w="854" w:type="dxa"/>
          </w:tcPr>
          <w:p>
            <w:pPr>
              <w:pStyle w:val="4"/>
              <w:ind w:firstLine="0" w:firstLineChars="0"/>
              <w:rPr>
                <w:rFonts w:asciiTheme="minorEastAsia" w:hAnsiTheme="minorEastAsia" w:eastAsiaTheme="minorEastAsia"/>
              </w:rPr>
            </w:pPr>
          </w:p>
        </w:tc>
        <w:tc>
          <w:tcPr>
            <w:tcW w:w="5240" w:type="dxa"/>
          </w:tcPr>
          <w:p>
            <w:pPr>
              <w:pStyle w:val="4"/>
              <w:ind w:firstLine="0" w:firstLineChars="0"/>
              <w:rPr>
                <w:rFonts w:asciiTheme="minorEastAsia" w:hAnsiTheme="minorEastAsia" w:eastAsiaTheme="minorEastAsia"/>
              </w:rPr>
            </w:pPr>
          </w:p>
        </w:tc>
        <w:tc>
          <w:tcPr>
            <w:tcW w:w="1948" w:type="dxa"/>
          </w:tcPr>
          <w:p>
            <w:pPr>
              <w:pStyle w:val="4"/>
              <w:ind w:firstLine="0" w:firstLineChars="0"/>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7"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3</w:t>
            </w:r>
          </w:p>
        </w:tc>
        <w:tc>
          <w:tcPr>
            <w:tcW w:w="708" w:type="dxa"/>
          </w:tcPr>
          <w:p>
            <w:pPr>
              <w:pStyle w:val="4"/>
              <w:ind w:firstLine="0" w:firstLineChars="0"/>
              <w:rPr>
                <w:rFonts w:asciiTheme="minorEastAsia" w:hAnsiTheme="minorEastAsia" w:eastAsiaTheme="minorEastAsia"/>
              </w:rPr>
            </w:pPr>
          </w:p>
        </w:tc>
        <w:tc>
          <w:tcPr>
            <w:tcW w:w="854" w:type="dxa"/>
          </w:tcPr>
          <w:p>
            <w:pPr>
              <w:pStyle w:val="4"/>
              <w:ind w:firstLine="0" w:firstLineChars="0"/>
              <w:rPr>
                <w:rFonts w:asciiTheme="minorEastAsia" w:hAnsiTheme="minorEastAsia" w:eastAsiaTheme="minorEastAsia"/>
              </w:rPr>
            </w:pPr>
          </w:p>
        </w:tc>
        <w:tc>
          <w:tcPr>
            <w:tcW w:w="5240" w:type="dxa"/>
          </w:tcPr>
          <w:p>
            <w:pPr>
              <w:pStyle w:val="4"/>
              <w:ind w:firstLine="0" w:firstLineChars="0"/>
              <w:rPr>
                <w:rFonts w:asciiTheme="minorEastAsia" w:hAnsiTheme="minorEastAsia" w:eastAsiaTheme="minorEastAsia"/>
              </w:rPr>
            </w:pPr>
          </w:p>
        </w:tc>
        <w:tc>
          <w:tcPr>
            <w:tcW w:w="1948" w:type="dxa"/>
          </w:tcPr>
          <w:p>
            <w:pPr>
              <w:pStyle w:val="4"/>
              <w:ind w:firstLine="0" w:firstLineChars="0"/>
              <w:rPr>
                <w:rFonts w:asciiTheme="minorEastAsia" w:hAnsiTheme="minorEastAsia" w:eastAsiaTheme="minorEastAsia"/>
              </w:rPr>
            </w:pPr>
          </w:p>
        </w:tc>
      </w:tr>
    </w:tbl>
    <w:p>
      <w:pPr>
        <w:pStyle w:val="4"/>
        <w:rPr>
          <w:rFonts w:hint="eastAsia"/>
        </w:rPr>
      </w:pPr>
    </w:p>
    <w:p>
      <w:pPr>
        <w:pStyle w:val="4"/>
        <w:ind w:left="0" w:leftChars="0" w:firstLine="0" w:firstLineChars="0"/>
        <w:rPr>
          <w:rFonts w:hint="eastAsia"/>
        </w:rPr>
      </w:pPr>
    </w:p>
    <w:p>
      <w:pPr>
        <w:pStyle w:val="4"/>
        <w:rPr>
          <w:rFonts w:hint="eastAsia"/>
        </w:rPr>
      </w:pPr>
    </w:p>
    <w:p>
      <w:pPr>
        <w:pStyle w:val="4"/>
        <w:rPr>
          <w:rFonts w:hint="eastAsia"/>
        </w:rPr>
      </w:pPr>
    </w:p>
    <w:p>
      <w:pPr>
        <w:pStyle w:val="4"/>
        <w:rPr>
          <w:rFonts w:hint="eastAsia"/>
        </w:rPr>
      </w:pPr>
    </w:p>
    <w:p>
      <w:pPr>
        <w:pStyle w:val="2"/>
      </w:pPr>
      <w:bookmarkStart w:id="15" w:name="_Toc19404"/>
      <w:bookmarkStart w:id="16" w:name="_Toc25846"/>
      <w:r>
        <w:rPr>
          <w:rFonts w:hint="eastAsia"/>
        </w:rPr>
        <w:t>开发</w:t>
      </w:r>
      <w:r>
        <w:t>与</w:t>
      </w:r>
      <w:r>
        <w:rPr>
          <w:rFonts w:hint="eastAsia"/>
        </w:rPr>
        <w:t>实施（针对</w:t>
      </w:r>
      <w:r>
        <w:t>开发人员）</w:t>
      </w:r>
      <w:bookmarkEnd w:id="15"/>
      <w:bookmarkEnd w:id="16"/>
    </w:p>
    <w:p>
      <w:pPr>
        <w:pStyle w:val="3"/>
      </w:pPr>
      <w:bookmarkStart w:id="17" w:name="_Toc31276"/>
      <w:bookmarkStart w:id="18" w:name="_Toc19705"/>
      <w:r>
        <w:rPr>
          <w:rFonts w:hint="eastAsia"/>
        </w:rPr>
        <w:t>本次</w:t>
      </w:r>
      <w:r>
        <w:t>修改内容</w:t>
      </w:r>
      <w:bookmarkEnd w:id="17"/>
      <w:bookmarkEnd w:id="18"/>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152877744"/>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asciiTheme="minorEastAsia" w:hAnsiTheme="minorEastAsia" w:eastAsiaTheme="minorEastAsia"/>
                    <w:b/>
                    <w:kern w:val="2"/>
                    <w:sz w:val="18"/>
                    <w:szCs w:val="18"/>
                    <w:lang w:val="en-US" w:eastAsia="zh-CN" w:bidi="ar-SA"/>
                  </w:rPr>
                  <w:t>√ 不适用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953518270"/>
              <w:lock w:val="sdtLocked"/>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pStyle w:val="5"/>
      </w:pPr>
      <w:bookmarkStart w:id="19" w:name="_Toc7695"/>
      <w:bookmarkStart w:id="20" w:name="_Toc8650"/>
      <w:r>
        <w:rPr>
          <w:rFonts w:hint="eastAsia"/>
        </w:rPr>
        <w:t>表</w:t>
      </w:r>
      <w:r>
        <w:t>基本信息</w:t>
      </w:r>
      <w:bookmarkEnd w:id="19"/>
      <w:bookmarkEnd w:id="20"/>
    </w:p>
    <w:tbl>
      <w:tblPr>
        <w:tblStyle w:val="36"/>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6"/>
        <w:gridCol w:w="1823"/>
        <w:gridCol w:w="3952"/>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Style w:val="4"/>
              <w:ind w:firstLine="0" w:firstLineChars="0"/>
              <w:rPr>
                <w:rFonts w:hint="eastAsia"/>
              </w:rPr>
            </w:pPr>
            <w:r>
              <w:rPr>
                <w:rFonts w:hint="eastAsia"/>
              </w:rPr>
              <w:t>表</w:t>
            </w:r>
            <w:r>
              <w:t>编号</w:t>
            </w:r>
          </w:p>
        </w:tc>
        <w:tc>
          <w:tcPr>
            <w:tcW w:w="1823" w:type="dxa"/>
          </w:tcPr>
          <w:p>
            <w:pPr>
              <w:pStyle w:val="4"/>
              <w:ind w:firstLine="0" w:firstLineChars="0"/>
              <w:rPr>
                <w:rFonts w:hint="eastAsia"/>
              </w:rPr>
            </w:pPr>
            <w:r>
              <w:rPr>
                <w:rFonts w:hint="eastAsia"/>
              </w:rPr>
              <w:t>表名</w:t>
            </w:r>
            <w:r>
              <w:rPr>
                <w:rFonts w:hint="eastAsia"/>
                <w:lang w:eastAsia="zh-CN"/>
              </w:rPr>
              <w:t>称</w:t>
            </w:r>
          </w:p>
        </w:tc>
        <w:tc>
          <w:tcPr>
            <w:tcW w:w="3952" w:type="dxa"/>
          </w:tcPr>
          <w:p>
            <w:pPr>
              <w:pStyle w:val="4"/>
              <w:ind w:firstLine="0" w:firstLineChars="0"/>
              <w:rPr>
                <w:rFonts w:hint="eastAsia"/>
              </w:rPr>
            </w:pPr>
            <w:r>
              <w:rPr>
                <w:rFonts w:hint="eastAsia"/>
              </w:rPr>
              <w:t>表描述</w:t>
            </w:r>
          </w:p>
        </w:tc>
        <w:tc>
          <w:tcPr>
            <w:tcW w:w="1965" w:type="dxa"/>
            <w:textDirection w:val="lrTb"/>
            <w:vAlign w:val="top"/>
          </w:tcPr>
          <w:p>
            <w:pPr>
              <w:pStyle w:val="4"/>
              <w:ind w:firstLine="0" w:firstLineChars="0"/>
            </w:pPr>
            <w:r>
              <w:rPr>
                <w:rFonts w:hint="eastAsia"/>
              </w:rPr>
              <w:t>表</w:t>
            </w:r>
            <w:r>
              <w:t>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Style w:val="4"/>
              <w:ind w:firstLine="0" w:firstLineChars="0"/>
              <w:rPr>
                <w:rFonts w:hint="eastAsia" w:eastAsia="宋体"/>
                <w:lang w:val="en-US" w:eastAsia="zh-CN"/>
              </w:rPr>
            </w:pPr>
            <w:r>
              <w:rPr>
                <w:rFonts w:hint="eastAsia"/>
                <w:lang w:val="en-US" w:eastAsia="zh-CN"/>
              </w:rPr>
              <w:t>P12014</w:t>
            </w:r>
          </w:p>
        </w:tc>
        <w:tc>
          <w:tcPr>
            <w:tcW w:w="1823" w:type="dxa"/>
          </w:tcPr>
          <w:p>
            <w:pPr>
              <w:pStyle w:val="4"/>
              <w:ind w:firstLine="0" w:firstLineChars="0"/>
              <w:rPr>
                <w:rFonts w:hint="eastAsia" w:eastAsia="宋体"/>
                <w:lang w:eastAsia="zh-CN"/>
              </w:rPr>
            </w:pPr>
            <w:r>
              <w:rPr>
                <w:rFonts w:hint="eastAsia"/>
                <w:lang w:eastAsia="zh-CN"/>
              </w:rPr>
              <w:t>债券利率变动表</w:t>
            </w:r>
          </w:p>
        </w:tc>
        <w:tc>
          <w:tcPr>
            <w:tcW w:w="3952" w:type="dxa"/>
          </w:tcPr>
          <w:p>
            <w:pPr>
              <w:pStyle w:val="4"/>
              <w:ind w:firstLine="0" w:firstLineChars="0"/>
              <w:rPr>
                <w:rFonts w:hint="eastAsia" w:eastAsia="宋体"/>
                <w:lang w:eastAsia="zh-CN"/>
              </w:rPr>
            </w:pPr>
            <w:r>
              <w:rPr>
                <w:rFonts w:hint="eastAsia"/>
                <w:lang w:eastAsia="zh-CN"/>
              </w:rPr>
              <w:t>主要记录债券在不同的计息周期利率变动的情况。</w:t>
            </w:r>
          </w:p>
        </w:tc>
        <w:tc>
          <w:tcPr>
            <w:tcW w:w="1965" w:type="dxa"/>
            <w:textDirection w:val="lrTb"/>
            <w:vAlign w:val="top"/>
          </w:tcPr>
          <w:p>
            <w:pPr>
              <w:pStyle w:val="4"/>
              <w:ind w:firstLine="0" w:firstLineChars="0"/>
              <w:rPr>
                <w:rFonts w:hint="eastAsia" w:eastAsia="宋体"/>
                <w:lang w:eastAsia="zh-CN"/>
              </w:rPr>
            </w:pPr>
            <w:r>
              <w:rPr>
                <w:rFonts w:hint="eastAsia"/>
                <w:lang w:eastAsia="zh-CN"/>
              </w:rPr>
              <w:t>债券类</w:t>
            </w:r>
          </w:p>
        </w:tc>
      </w:tr>
    </w:tbl>
    <w:p>
      <w:pPr>
        <w:pStyle w:val="5"/>
      </w:pPr>
      <w:bookmarkStart w:id="21" w:name="_Toc30351"/>
      <w:bookmarkStart w:id="22" w:name="_Toc29173"/>
      <w:r>
        <w:rPr>
          <w:rFonts w:hint="eastAsia"/>
        </w:rPr>
        <w:t>字段</w:t>
      </w:r>
      <w:r>
        <w:t>基本信息</w:t>
      </w:r>
      <w:bookmarkEnd w:id="21"/>
      <w:bookmarkEnd w:id="22"/>
    </w:p>
    <w:p>
      <w:pPr>
        <w:pStyle w:val="6"/>
      </w:pPr>
      <w:r>
        <w:rPr>
          <w:rFonts w:hint="eastAsia"/>
          <w:lang w:eastAsia="zh-CN"/>
        </w:rPr>
        <w:t>字段属性</w:t>
      </w:r>
    </w:p>
    <w:p>
      <w:pPr>
        <w:rPr>
          <w:rFonts w:hint="eastAsia"/>
          <w:lang w:eastAsia="zh-CN"/>
        </w:rPr>
      </w:pPr>
      <w:r>
        <w:rPr>
          <w:rFonts w:hint="eastAsia"/>
          <w:lang w:eastAsia="zh-CN"/>
        </w:rPr>
        <w:t>标黄为系统字段</w:t>
      </w:r>
    </w:p>
    <w:p>
      <w:pPr>
        <w:rPr>
          <w:rFonts w:hint="eastAsia"/>
          <w:lang w:eastAsia="zh-CN"/>
        </w:rPr>
      </w:pPr>
    </w:p>
    <w:tbl>
      <w:tblPr>
        <w:tblStyle w:val="35"/>
        <w:tblW w:w="85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82"/>
        <w:gridCol w:w="1804"/>
        <w:gridCol w:w="1500"/>
        <w:gridCol w:w="930"/>
        <w:gridCol w:w="2040"/>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COLID</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COLUMNNAMECHN</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COLTYPE</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auto"/>
                <w:sz w:val="24"/>
                <w:szCs w:val="24"/>
                <w:u w:val="none"/>
              </w:rPr>
            </w:pPr>
            <w:r>
              <w:rPr>
                <w:rFonts w:hint="eastAsia" w:ascii="宋体" w:hAnsi="宋体" w:eastAsia="宋体" w:cs="宋体"/>
                <w:b/>
                <w:i w:val="0"/>
                <w:color w:val="auto"/>
                <w:kern w:val="0"/>
                <w:sz w:val="24"/>
                <w:szCs w:val="24"/>
                <w:u w:val="none"/>
                <w:lang w:val="en-US" w:eastAsia="zh-CN" w:bidi="ar"/>
              </w:rPr>
              <w:t>REMARK</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b/>
                <w:i w:val="0"/>
                <w:color w:val="auto"/>
                <w:kern w:val="0"/>
                <w:sz w:val="24"/>
                <w:szCs w:val="24"/>
                <w:u w:val="none"/>
                <w:lang w:val="en-US" w:eastAsia="zh-CN" w:bidi="ar"/>
              </w:rPr>
            </w:pPr>
            <w:r>
              <w:rPr>
                <w:rFonts w:hint="eastAsia" w:ascii="宋体" w:hAnsi="宋体" w:eastAsia="宋体" w:cs="宋体"/>
                <w:b/>
                <w:i w:val="0"/>
                <w:color w:val="000000"/>
                <w:kern w:val="0"/>
                <w:sz w:val="24"/>
                <w:szCs w:val="24"/>
                <w:u w:val="none"/>
                <w:lang w:val="en-US" w:eastAsia="zh-CN" w:bidi="ar"/>
              </w:rPr>
              <w:t>ENUM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6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highlight w:val="none"/>
                <w:u w:val="none"/>
              </w:rPr>
            </w:pPr>
            <w:r>
              <w:rPr>
                <w:rFonts w:hint="eastAsia" w:ascii="宋体" w:hAnsi="宋体" w:eastAsia="宋体" w:cs="宋体"/>
                <w:i w:val="0"/>
                <w:color w:val="auto"/>
                <w:kern w:val="0"/>
                <w:sz w:val="22"/>
                <w:szCs w:val="22"/>
                <w:highlight w:val="none"/>
                <w:u w:val="none"/>
                <w:lang w:val="en-US" w:eastAsia="zh-CN" w:bidi="ar"/>
              </w:rPr>
              <w:t>FV</w:t>
            </w:r>
          </w:p>
        </w:tc>
        <w:tc>
          <w:tcPr>
            <w:tcW w:w="1804" w:type="dxa"/>
            <w:tcBorders>
              <w:top w:val="single" w:color="000000" w:sz="4" w:space="0"/>
              <w:left w:val="single" w:color="000000" w:sz="4" w:space="0"/>
              <w:bottom w:val="single" w:color="000000" w:sz="4" w:space="0"/>
              <w:right w:val="single" w:color="000000" w:sz="4" w:space="0"/>
            </w:tcBorders>
            <w:shd w:val="clear" w:color="auto" w:fill="FFFF00"/>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highlight w:val="yellow"/>
                <w:u w:val="none"/>
              </w:rPr>
            </w:pPr>
            <w:r>
              <w:rPr>
                <w:rFonts w:hint="eastAsia" w:ascii="宋体" w:hAnsi="宋体" w:eastAsia="宋体" w:cs="宋体"/>
                <w:i w:val="0"/>
                <w:color w:val="000000"/>
                <w:kern w:val="0"/>
                <w:sz w:val="22"/>
                <w:szCs w:val="22"/>
                <w:u w:val="none"/>
                <w:lang w:val="en-US" w:eastAsia="zh-CN" w:bidi="ar"/>
              </w:rPr>
              <w:t>FV</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auto"/>
                <w:sz w:val="24"/>
                <w:szCs w:val="24"/>
                <w:highlight w:val="none"/>
                <w:u w:val="none"/>
              </w:rPr>
            </w:pPr>
            <w:r>
              <w:rPr>
                <w:rFonts w:hint="eastAsia" w:ascii="宋体" w:hAnsi="宋体" w:eastAsia="宋体" w:cs="宋体"/>
                <w:i w:val="0"/>
                <w:color w:val="auto"/>
                <w:kern w:val="0"/>
                <w:sz w:val="24"/>
                <w:szCs w:val="24"/>
                <w:highlight w:val="none"/>
                <w:u w:val="none"/>
                <w:lang w:val="en-US" w:eastAsia="zh-CN" w:bidi="ar"/>
              </w:rPr>
              <w:t>BIGINT</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highlight w:val="none"/>
                <w:u w:val="none"/>
              </w:rPr>
            </w:pPr>
            <w:r>
              <w:rPr>
                <w:rFonts w:hint="eastAsia" w:ascii="宋体" w:hAnsi="宋体" w:eastAsia="宋体" w:cs="宋体"/>
                <w:i w:val="0"/>
                <w:color w:val="auto"/>
                <w:kern w:val="0"/>
                <w:sz w:val="24"/>
                <w:szCs w:val="24"/>
                <w:highlight w:val="none"/>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highlight w:val="none"/>
                <w:u w:val="none"/>
              </w:rPr>
            </w:pPr>
            <w:r>
              <w:rPr>
                <w:rFonts w:hint="eastAsia" w:ascii="宋体" w:hAnsi="宋体" w:eastAsia="宋体" w:cs="宋体"/>
                <w:i w:val="0"/>
                <w:color w:val="auto"/>
                <w:kern w:val="0"/>
                <w:sz w:val="24"/>
                <w:szCs w:val="24"/>
                <w:highlight w:val="none"/>
                <w:u w:val="none"/>
                <w:lang w:val="en-US" w:eastAsia="zh-CN" w:bidi="ar"/>
              </w:rPr>
              <w:t>数据库实例唯一，数据变化后发生跳动</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kern w:val="0"/>
                <w:sz w:val="24"/>
                <w:szCs w:val="24"/>
                <w:highlight w:val="none"/>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6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highlight w:val="none"/>
                <w:u w:val="none"/>
              </w:rPr>
            </w:pPr>
            <w:r>
              <w:rPr>
                <w:rFonts w:hint="eastAsia" w:ascii="宋体" w:hAnsi="宋体" w:eastAsia="宋体" w:cs="宋体"/>
                <w:i w:val="0"/>
                <w:color w:val="auto"/>
                <w:kern w:val="0"/>
                <w:sz w:val="24"/>
                <w:szCs w:val="24"/>
                <w:highlight w:val="none"/>
                <w:u w:val="none"/>
                <w:lang w:val="en-US" w:eastAsia="zh-CN" w:bidi="ar"/>
              </w:rPr>
              <w:t>FT</w:t>
            </w:r>
          </w:p>
        </w:tc>
        <w:tc>
          <w:tcPr>
            <w:tcW w:w="1804" w:type="dxa"/>
            <w:tcBorders>
              <w:top w:val="single" w:color="000000" w:sz="4" w:space="0"/>
              <w:left w:val="single" w:color="000000" w:sz="4" w:space="0"/>
              <w:bottom w:val="single" w:color="000000" w:sz="4" w:space="0"/>
              <w:right w:val="single" w:color="000000" w:sz="4" w:space="0"/>
            </w:tcBorders>
            <w:shd w:val="clear" w:color="auto" w:fill="FFFF00"/>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4"/>
                <w:szCs w:val="24"/>
                <w:highlight w:val="yellow"/>
                <w:u w:val="none"/>
              </w:rPr>
            </w:pPr>
            <w:r>
              <w:rPr>
                <w:rFonts w:hint="eastAsia" w:ascii="宋体" w:hAnsi="宋体" w:eastAsia="宋体" w:cs="宋体"/>
                <w:i w:val="0"/>
                <w:color w:val="000000"/>
                <w:kern w:val="0"/>
                <w:sz w:val="22"/>
                <w:szCs w:val="22"/>
                <w:u w:val="none"/>
                <w:lang w:val="en-US" w:eastAsia="zh-CN" w:bidi="ar"/>
              </w:rPr>
              <w:t>FT</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highlight w:val="none"/>
                <w:u w:val="none"/>
              </w:rPr>
            </w:pPr>
            <w:r>
              <w:rPr>
                <w:rFonts w:hint="eastAsia" w:ascii="宋体" w:hAnsi="宋体" w:eastAsia="宋体" w:cs="宋体"/>
                <w:i w:val="0"/>
                <w:color w:val="auto"/>
                <w:kern w:val="0"/>
                <w:sz w:val="24"/>
                <w:szCs w:val="24"/>
                <w:highlight w:val="none"/>
                <w:u w:val="none"/>
                <w:lang w:val="en-US" w:eastAsia="zh-CN" w:bidi="ar"/>
              </w:rPr>
              <w:t>BIGINT</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highlight w:val="none"/>
                <w:u w:val="none"/>
              </w:rPr>
            </w:pPr>
            <w:r>
              <w:rPr>
                <w:rFonts w:hint="eastAsia" w:ascii="宋体" w:hAnsi="宋体" w:eastAsia="宋体" w:cs="宋体"/>
                <w:i w:val="0"/>
                <w:color w:val="auto"/>
                <w:kern w:val="0"/>
                <w:sz w:val="24"/>
                <w:szCs w:val="24"/>
                <w:highlight w:val="none"/>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highlight w:val="none"/>
                <w:u w:val="none"/>
              </w:rPr>
            </w:pPr>
            <w:r>
              <w:rPr>
                <w:rFonts w:hint="eastAsia" w:ascii="宋体" w:hAnsi="宋体" w:eastAsia="宋体" w:cs="宋体"/>
                <w:i w:val="0"/>
                <w:color w:val="auto"/>
                <w:kern w:val="0"/>
                <w:sz w:val="24"/>
                <w:szCs w:val="24"/>
                <w:highlight w:val="none"/>
                <w:u w:val="none"/>
                <w:lang w:val="en-US" w:eastAsia="zh-CN" w:bidi="ar"/>
              </w:rPr>
              <w:t>数据库实例唯一，pk，自生成后不变</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kern w:val="0"/>
                <w:sz w:val="24"/>
                <w:szCs w:val="24"/>
                <w:highlight w:val="none"/>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F1</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主内部编码</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INT</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auto"/>
                <w:sz w:val="22"/>
                <w:szCs w:val="22"/>
                <w:u w:val="none"/>
                <w:lang w:val="en-US" w:eastAsia="zh-CN"/>
              </w:rPr>
            </w:pP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lang w:val="en-US" w:eastAsia="zh-CN"/>
              </w:rPr>
            </w:pPr>
            <w:r>
              <w:rPr>
                <w:rFonts w:hint="eastAsia" w:ascii="宋体" w:hAnsi="宋体" w:cs="宋体"/>
                <w:i w:val="0"/>
                <w:color w:val="000000"/>
                <w:kern w:val="0"/>
                <w:sz w:val="22"/>
                <w:szCs w:val="22"/>
                <w:u w:val="none"/>
                <w:lang w:val="en-US" w:eastAsia="zh-CN" w:bidi="ar"/>
              </w:rPr>
              <w:t>关联</w:t>
            </w:r>
            <w:r>
              <w:rPr>
                <w:rFonts w:hint="eastAsia" w:ascii="宋体" w:hAnsi="宋体" w:eastAsia="宋体" w:cs="宋体"/>
                <w:i w:val="0"/>
                <w:color w:val="000000"/>
                <w:kern w:val="0"/>
                <w:sz w:val="22"/>
                <w:szCs w:val="22"/>
                <w:u w:val="none"/>
                <w:lang w:val="en-US" w:eastAsia="zh-CN" w:bidi="ar"/>
              </w:rPr>
              <w:t>P12001.F1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F2</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债券名称</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VARCHAR(200)</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宋体" w:hAnsi="宋体" w:eastAsia="宋体" w:cs="宋体"/>
                <w:i w:val="0"/>
                <w:color w:val="auto"/>
                <w:sz w:val="24"/>
                <w:szCs w:val="24"/>
                <w:u w:val="none"/>
                <w:lang w:eastAsia="zh-CN"/>
              </w:rPr>
            </w:pPr>
            <w:r>
              <w:rPr>
                <w:rFonts w:hint="eastAsia" w:ascii="宋体" w:hAnsi="宋体" w:cs="宋体"/>
                <w:i w:val="0"/>
                <w:color w:val="auto"/>
                <w:sz w:val="24"/>
                <w:szCs w:val="24"/>
                <w:u w:val="none"/>
                <w:lang w:eastAsia="zh-CN"/>
              </w:rPr>
              <w:t>触发器自动生成</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F3</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公告日期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INT(8)</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宋体" w:hAnsi="宋体" w:eastAsia="宋体" w:cs="宋体"/>
                <w:i w:val="0"/>
                <w:color w:val="auto"/>
                <w:sz w:val="24"/>
                <w:szCs w:val="24"/>
                <w:u w:val="none"/>
                <w:lang w:eastAsia="zh-CN"/>
              </w:rPr>
            </w:pPr>
            <w:r>
              <w:rPr>
                <w:rFonts w:hint="eastAsia" w:ascii="宋体" w:hAnsi="宋体" w:cs="宋体"/>
                <w:i w:val="0"/>
                <w:color w:val="auto"/>
                <w:sz w:val="24"/>
                <w:szCs w:val="24"/>
                <w:u w:val="none"/>
                <w:lang w:eastAsia="zh-CN"/>
              </w:rPr>
              <w:t>精确到具体日期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4"/>
                <w:szCs w:val="24"/>
                <w:u w:val="none"/>
                <w:lang w:eastAsia="zh-CN"/>
              </w:rPr>
            </w:pPr>
            <w:r>
              <w:rPr>
                <w:rFonts w:hint="eastAsia" w:ascii="宋体" w:hAnsi="宋体" w:cs="宋体"/>
                <w:i w:val="0"/>
                <w:color w:val="auto"/>
                <w:sz w:val="24"/>
                <w:szCs w:val="24"/>
                <w:u w:val="none"/>
                <w:lang w:eastAsia="zh-CN"/>
              </w:rPr>
              <w:t>样例</w:t>
            </w:r>
            <w:r>
              <w:rPr>
                <w:rFonts w:hint="eastAsia" w:ascii="宋体" w:hAnsi="宋体" w:cs="宋体"/>
                <w:i w:val="0"/>
                <w:color w:val="auto"/>
                <w:sz w:val="24"/>
                <w:szCs w:val="24"/>
                <w:u w:val="none"/>
                <w:lang w:val="en-US" w:eastAsia="zh-CN"/>
              </w:rPr>
              <w:t>20160817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F4</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cs="宋体"/>
                <w:i w:val="0"/>
                <w:color w:val="auto"/>
                <w:kern w:val="0"/>
                <w:sz w:val="22"/>
                <w:szCs w:val="22"/>
                <w:u w:val="none"/>
                <w:lang w:val="en-US" w:eastAsia="zh-CN" w:bidi="ar"/>
              </w:rPr>
              <w:t>利率</w:t>
            </w:r>
            <w:r>
              <w:rPr>
                <w:rFonts w:hint="eastAsia" w:ascii="宋体" w:hAnsi="宋体" w:eastAsia="宋体" w:cs="宋体"/>
                <w:i w:val="0"/>
                <w:color w:val="auto"/>
                <w:kern w:val="0"/>
                <w:sz w:val="22"/>
                <w:szCs w:val="22"/>
                <w:u w:val="none"/>
                <w:lang w:val="en-US" w:eastAsia="zh-CN" w:bidi="ar"/>
              </w:rPr>
              <w:t>变动类型</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INT</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auto"/>
                <w:sz w:val="22"/>
                <w:szCs w:val="22"/>
                <w:u w:val="none"/>
              </w:rPr>
            </w:pP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000000"/>
                <w:kern w:val="0"/>
                <w:sz w:val="22"/>
                <w:szCs w:val="22"/>
                <w:u w:val="none"/>
                <w:lang w:val="en-US" w:eastAsia="zh-CN" w:bidi="ar"/>
              </w:rPr>
              <w:t>A108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F5</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债券利率起始日期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INT(8)</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宋体" w:hAnsi="宋体" w:eastAsia="宋体" w:cs="宋体"/>
                <w:i w:val="0"/>
                <w:color w:val="auto"/>
                <w:sz w:val="24"/>
                <w:szCs w:val="24"/>
                <w:u w:val="none"/>
              </w:rPr>
            </w:pPr>
            <w:r>
              <w:rPr>
                <w:rFonts w:hint="eastAsia" w:ascii="宋体" w:hAnsi="宋体" w:cs="宋体"/>
                <w:i w:val="0"/>
                <w:color w:val="auto"/>
                <w:sz w:val="24"/>
                <w:szCs w:val="24"/>
                <w:u w:val="none"/>
                <w:lang w:eastAsia="zh-CN"/>
              </w:rPr>
              <w:t>精确到具体日期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4"/>
                <w:szCs w:val="24"/>
                <w:u w:val="none"/>
              </w:rPr>
            </w:pPr>
            <w:r>
              <w:rPr>
                <w:rFonts w:hint="eastAsia" w:ascii="宋体" w:hAnsi="宋体" w:cs="宋体"/>
                <w:i w:val="0"/>
                <w:color w:val="auto"/>
                <w:sz w:val="24"/>
                <w:szCs w:val="24"/>
                <w:u w:val="none"/>
                <w:lang w:eastAsia="zh-CN"/>
              </w:rPr>
              <w:t>样例</w:t>
            </w:r>
            <w:r>
              <w:rPr>
                <w:rFonts w:hint="eastAsia" w:ascii="宋体" w:hAnsi="宋体" w:cs="宋体"/>
                <w:i w:val="0"/>
                <w:color w:val="auto"/>
                <w:sz w:val="24"/>
                <w:szCs w:val="24"/>
                <w:u w:val="none"/>
                <w:lang w:val="en-US" w:eastAsia="zh-CN"/>
              </w:rPr>
              <w:t>20160817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F6</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债券利率终止日期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INT(8)</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auto"/>
                <w:sz w:val="24"/>
                <w:szCs w:val="24"/>
                <w:u w:val="none"/>
              </w:rPr>
            </w:pPr>
            <w:r>
              <w:rPr>
                <w:rFonts w:hint="eastAsia" w:ascii="宋体" w:hAnsi="宋体" w:cs="宋体"/>
                <w:i w:val="0"/>
                <w:color w:val="auto"/>
                <w:sz w:val="24"/>
                <w:szCs w:val="24"/>
                <w:u w:val="none"/>
                <w:lang w:eastAsia="zh-CN"/>
              </w:rPr>
              <w:t>精确到具体日期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4"/>
                <w:szCs w:val="24"/>
                <w:u w:val="none"/>
              </w:rPr>
            </w:pPr>
            <w:r>
              <w:rPr>
                <w:rFonts w:hint="eastAsia" w:ascii="宋体" w:hAnsi="宋体" w:cs="宋体"/>
                <w:i w:val="0"/>
                <w:color w:val="auto"/>
                <w:sz w:val="24"/>
                <w:szCs w:val="24"/>
                <w:u w:val="none"/>
                <w:lang w:eastAsia="zh-CN"/>
              </w:rPr>
              <w:t>样例</w:t>
            </w:r>
            <w:r>
              <w:rPr>
                <w:rFonts w:hint="eastAsia" w:ascii="宋体" w:hAnsi="宋体" w:cs="宋体"/>
                <w:i w:val="0"/>
                <w:color w:val="auto"/>
                <w:sz w:val="24"/>
                <w:szCs w:val="24"/>
                <w:u w:val="none"/>
                <w:lang w:val="en-US" w:eastAsia="zh-CN"/>
              </w:rPr>
              <w:t>20160817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F7</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计息周期起始日期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INT(8)</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auto"/>
                <w:sz w:val="22"/>
                <w:szCs w:val="22"/>
                <w:u w:val="none"/>
              </w:rPr>
            </w:pPr>
            <w:r>
              <w:rPr>
                <w:rFonts w:hint="eastAsia" w:ascii="宋体" w:hAnsi="宋体" w:cs="宋体"/>
                <w:i w:val="0"/>
                <w:color w:val="auto"/>
                <w:sz w:val="24"/>
                <w:szCs w:val="24"/>
                <w:u w:val="none"/>
                <w:lang w:eastAsia="zh-CN"/>
              </w:rPr>
              <w:t>精确到具体日期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2"/>
                <w:szCs w:val="22"/>
                <w:u w:val="none"/>
              </w:rPr>
            </w:pPr>
            <w:r>
              <w:rPr>
                <w:rFonts w:hint="eastAsia" w:ascii="宋体" w:hAnsi="宋体" w:cs="宋体"/>
                <w:i w:val="0"/>
                <w:color w:val="auto"/>
                <w:sz w:val="24"/>
                <w:szCs w:val="24"/>
                <w:u w:val="none"/>
                <w:lang w:eastAsia="zh-CN"/>
              </w:rPr>
              <w:t>样例</w:t>
            </w:r>
            <w:r>
              <w:rPr>
                <w:rFonts w:hint="eastAsia" w:ascii="宋体" w:hAnsi="宋体" w:cs="宋体"/>
                <w:i w:val="0"/>
                <w:color w:val="auto"/>
                <w:sz w:val="24"/>
                <w:szCs w:val="24"/>
                <w:u w:val="none"/>
                <w:lang w:val="en-US" w:eastAsia="zh-CN"/>
              </w:rPr>
              <w:t>20160817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F8</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计息周期终止日期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INT(8)</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auto"/>
                <w:sz w:val="24"/>
                <w:szCs w:val="24"/>
                <w:u w:val="none"/>
              </w:rPr>
            </w:pPr>
            <w:r>
              <w:rPr>
                <w:rFonts w:hint="eastAsia" w:ascii="宋体" w:hAnsi="宋体" w:cs="宋体"/>
                <w:i w:val="0"/>
                <w:color w:val="auto"/>
                <w:sz w:val="24"/>
                <w:szCs w:val="24"/>
                <w:u w:val="none"/>
                <w:lang w:eastAsia="zh-CN"/>
              </w:rPr>
              <w:t>精确到具体日期</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4"/>
                <w:szCs w:val="24"/>
                <w:u w:val="none"/>
              </w:rPr>
            </w:pPr>
            <w:r>
              <w:rPr>
                <w:rFonts w:hint="eastAsia" w:ascii="宋体" w:hAnsi="宋体" w:cs="宋体"/>
                <w:i w:val="0"/>
                <w:color w:val="auto"/>
                <w:sz w:val="24"/>
                <w:szCs w:val="24"/>
                <w:u w:val="none"/>
                <w:lang w:eastAsia="zh-CN"/>
              </w:rPr>
              <w:t>样例</w:t>
            </w:r>
            <w:r>
              <w:rPr>
                <w:rFonts w:hint="eastAsia" w:ascii="宋体" w:hAnsi="宋体" w:cs="宋体"/>
                <w:i w:val="0"/>
                <w:color w:val="auto"/>
                <w:sz w:val="24"/>
                <w:szCs w:val="24"/>
                <w:u w:val="none"/>
                <w:lang w:val="en-US" w:eastAsia="zh-CN"/>
              </w:rPr>
              <w:t>20160817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F9</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票面利率</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宋体" w:hAnsi="宋体" w:eastAsia="宋体" w:cs="宋体"/>
                <w:i w:val="0"/>
                <w:color w:val="auto"/>
                <w:sz w:val="24"/>
                <w:szCs w:val="24"/>
                <w:u w:val="none"/>
                <w:lang w:val="en-US" w:eastAsia="zh-CN"/>
              </w:rPr>
            </w:pPr>
            <w:r>
              <w:rPr>
                <w:rFonts w:hint="eastAsia" w:ascii="宋体" w:hAnsi="宋体" w:eastAsia="宋体" w:cs="宋体"/>
                <w:i w:val="0"/>
                <w:color w:val="auto"/>
                <w:sz w:val="24"/>
                <w:szCs w:val="24"/>
                <w:u w:val="none"/>
                <w:lang w:val="en-US" w:eastAsia="zh-CN"/>
              </w:rPr>
              <w:t>DECIMAL(8,6)</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auto"/>
                <w:sz w:val="24"/>
                <w:szCs w:val="24"/>
                <w:u w:val="none"/>
              </w:rPr>
            </w:pP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F10</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是否有效</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INT</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NOT 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auto"/>
                <w:sz w:val="22"/>
                <w:szCs w:val="22"/>
                <w:u w:val="none"/>
              </w:rPr>
            </w:pPr>
            <w:r>
              <w:rPr>
                <w:rFonts w:hint="eastAsia" w:ascii="宋体" w:hAnsi="宋体" w:eastAsia="宋体" w:cs="宋体"/>
                <w:i w:val="0"/>
                <w:color w:val="auto"/>
                <w:sz w:val="22"/>
                <w:szCs w:val="22"/>
                <w:u w:val="none"/>
              </w:rPr>
              <w:t>预先发布的是否有效为否，根据实际公告录入的为是</w:t>
            </w: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000000"/>
                <w:kern w:val="0"/>
                <w:sz w:val="22"/>
                <w:szCs w:val="22"/>
                <w:u w:val="none"/>
                <w:lang w:val="en-US" w:eastAsia="zh-CN" w:bidi="ar"/>
              </w:rPr>
              <w:t>A66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F11</w:t>
            </w:r>
          </w:p>
        </w:tc>
        <w:tc>
          <w:tcPr>
            <w:tcW w:w="180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备注</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varchar(500)</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auto"/>
                <w:sz w:val="24"/>
                <w:szCs w:val="24"/>
                <w:u w:val="none"/>
              </w:rPr>
            </w:pP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FS</w:t>
            </w:r>
          </w:p>
        </w:tc>
        <w:tc>
          <w:tcPr>
            <w:tcW w:w="1804" w:type="dxa"/>
            <w:tcBorders>
              <w:top w:val="single" w:color="000000" w:sz="4" w:space="0"/>
              <w:left w:val="single" w:color="000000" w:sz="4" w:space="0"/>
              <w:bottom w:val="single" w:color="000000" w:sz="4" w:space="0"/>
              <w:right w:val="single" w:color="000000" w:sz="4" w:space="0"/>
            </w:tcBorders>
            <w:shd w:val="clear" w:color="auto" w:fill="FFFF00"/>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000000"/>
                <w:kern w:val="0"/>
                <w:sz w:val="22"/>
                <w:szCs w:val="22"/>
                <w:u w:val="none"/>
                <w:lang w:val="en-US" w:eastAsia="zh-CN" w:bidi="ar"/>
              </w:rPr>
              <w:t>发布状态</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TINYINT</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auto"/>
                <w:sz w:val="24"/>
                <w:szCs w:val="24"/>
                <w:u w:val="none"/>
              </w:rPr>
            </w:pPr>
          </w:p>
        </w:tc>
        <w:tc>
          <w:tcPr>
            <w:tcW w:w="1500"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rPr>
                <w:rFonts w:hint="eastAsia" w:ascii="宋体" w:hAnsi="宋体" w:eastAsia="宋体" w:cs="宋体"/>
                <w:i w:val="0"/>
                <w:color w:val="auto"/>
                <w:sz w:val="24"/>
                <w:szCs w:val="24"/>
                <w:u w:val="none"/>
              </w:rPr>
            </w:pPr>
            <w:r>
              <w:rPr>
                <w:rFonts w:hint="eastAsia" w:ascii="宋体" w:hAnsi="宋体" w:eastAsia="宋体" w:cs="宋体"/>
                <w:i w:val="0"/>
                <w:color w:val="auto"/>
                <w:sz w:val="24"/>
                <w:szCs w:val="24"/>
                <w:u w:val="none"/>
              </w:rPr>
              <w:t>0-未发布，1-待审核，2-已审核，3-已删除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FA</w:t>
            </w:r>
          </w:p>
        </w:tc>
        <w:tc>
          <w:tcPr>
            <w:tcW w:w="1804" w:type="dxa"/>
            <w:tcBorders>
              <w:top w:val="single" w:color="000000" w:sz="4" w:space="0"/>
              <w:left w:val="single" w:color="000000" w:sz="4" w:space="0"/>
              <w:bottom w:val="single" w:color="000000" w:sz="4" w:space="0"/>
              <w:right w:val="single" w:color="000000" w:sz="4" w:space="0"/>
            </w:tcBorders>
            <w:shd w:val="clear" w:color="auto" w:fill="FFFF00"/>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000000"/>
                <w:kern w:val="0"/>
                <w:sz w:val="22"/>
                <w:szCs w:val="22"/>
                <w:u w:val="none"/>
                <w:lang w:val="en-US" w:eastAsia="zh-CN" w:bidi="ar"/>
              </w:rPr>
              <w:t>修改人员账号</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VARCHAR(64)</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auto"/>
                <w:sz w:val="22"/>
                <w:szCs w:val="22"/>
                <w:u w:val="none"/>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extDirection w:val="lrTb"/>
            <w:vAlign w:val="center"/>
          </w:tcPr>
          <w:p>
            <w:pPr>
              <w:rPr>
                <w:rFonts w:hint="eastAsia" w:ascii="宋体" w:hAnsi="宋体" w:eastAsia="宋体" w:cs="宋体"/>
                <w:i w:val="0"/>
                <w:color w:val="auto"/>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FN</w:t>
            </w:r>
          </w:p>
        </w:tc>
        <w:tc>
          <w:tcPr>
            <w:tcW w:w="1804" w:type="dxa"/>
            <w:tcBorders>
              <w:top w:val="single" w:color="000000" w:sz="4" w:space="0"/>
              <w:left w:val="single" w:color="000000" w:sz="4" w:space="0"/>
              <w:bottom w:val="single" w:color="000000" w:sz="4" w:space="0"/>
              <w:right w:val="single" w:color="000000" w:sz="4" w:space="0"/>
            </w:tcBorders>
            <w:shd w:val="clear" w:color="auto" w:fill="FFFF00"/>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000000"/>
                <w:kern w:val="0"/>
                <w:sz w:val="22"/>
                <w:szCs w:val="22"/>
                <w:u w:val="none"/>
                <w:lang w:val="en-US" w:eastAsia="zh-CN" w:bidi="ar"/>
              </w:rPr>
              <w:t>修改人员姓名</w:t>
            </w:r>
          </w:p>
        </w:tc>
        <w:tc>
          <w:tcPr>
            <w:tcW w:w="15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VARCHAR(50)</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auto"/>
                <w:sz w:val="22"/>
                <w:szCs w:val="22"/>
                <w:u w:val="none"/>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extDirection w:val="lrTb"/>
            <w:vAlign w:val="center"/>
          </w:tcPr>
          <w:p>
            <w:pPr>
              <w:rPr>
                <w:rFonts w:hint="eastAsia" w:ascii="宋体" w:hAnsi="宋体" w:eastAsia="宋体" w:cs="宋体"/>
                <w:i w:val="0"/>
                <w:color w:val="auto"/>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7"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FP</w:t>
            </w:r>
          </w:p>
        </w:tc>
        <w:tc>
          <w:tcPr>
            <w:tcW w:w="1804" w:type="dxa"/>
            <w:tcBorders>
              <w:top w:val="single" w:color="000000" w:sz="4" w:space="0"/>
              <w:left w:val="single" w:color="000000" w:sz="4" w:space="0"/>
              <w:bottom w:val="single" w:color="000000" w:sz="4" w:space="0"/>
              <w:right w:val="single" w:color="000000" w:sz="4" w:space="0"/>
            </w:tcBorders>
            <w:shd w:val="clear" w:color="auto" w:fill="FFFF00"/>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000000"/>
                <w:kern w:val="0"/>
                <w:sz w:val="22"/>
                <w:szCs w:val="22"/>
                <w:u w:val="none"/>
                <w:lang w:val="en-US" w:eastAsia="zh-CN" w:bidi="ar"/>
              </w:rPr>
              <w:t>发布时间</w:t>
            </w:r>
          </w:p>
        </w:tc>
        <w:tc>
          <w:tcPr>
            <w:tcW w:w="150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BIGINT</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记录首次入库时间</w:t>
            </w:r>
          </w:p>
        </w:tc>
        <w:tc>
          <w:tcPr>
            <w:tcW w:w="1500" w:type="dxa"/>
            <w:tcBorders>
              <w:top w:val="single" w:color="000000" w:sz="4" w:space="0"/>
              <w:left w:val="single" w:color="000000" w:sz="4" w:space="0"/>
              <w:bottom w:val="single" w:color="000000" w:sz="4" w:space="0"/>
              <w:right w:val="single" w:color="000000" w:sz="4" w:space="0"/>
            </w:tcBorders>
            <w:shd w:val="clear" w:color="auto" w:fill="FFFFFF"/>
            <w:textDirection w:val="lrTb"/>
            <w:vAlign w:val="center"/>
          </w:tcPr>
          <w:p>
            <w:pPr>
              <w:rPr>
                <w:rFonts w:hint="eastAsia" w:ascii="宋体" w:hAnsi="宋体" w:eastAsia="宋体" w:cs="宋体"/>
                <w:i w:val="0"/>
                <w:color w:val="auto"/>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FU</w:t>
            </w:r>
          </w:p>
        </w:tc>
        <w:tc>
          <w:tcPr>
            <w:tcW w:w="1804" w:type="dxa"/>
            <w:tcBorders>
              <w:top w:val="single" w:color="000000" w:sz="4" w:space="0"/>
              <w:left w:val="single" w:color="000000" w:sz="4" w:space="0"/>
              <w:bottom w:val="single" w:color="000000" w:sz="4" w:space="0"/>
              <w:right w:val="single" w:color="000000" w:sz="4" w:space="0"/>
            </w:tcBorders>
            <w:shd w:val="clear" w:color="auto" w:fill="FFFF00"/>
            <w:textDirection w:val="lrTb"/>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000000"/>
                <w:kern w:val="0"/>
                <w:sz w:val="22"/>
                <w:szCs w:val="22"/>
                <w:u w:val="none"/>
                <w:lang w:val="en-US" w:eastAsia="zh-CN" w:bidi="ar"/>
              </w:rPr>
              <w:t>更新时间</w:t>
            </w:r>
          </w:p>
        </w:tc>
        <w:tc>
          <w:tcPr>
            <w:tcW w:w="150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BIGINT</w:t>
            </w:r>
          </w:p>
        </w:tc>
        <w:tc>
          <w:tcPr>
            <w:tcW w:w="9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NULL</w:t>
            </w:r>
          </w:p>
        </w:tc>
        <w:tc>
          <w:tcPr>
            <w:tcW w:w="204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最后修改时间，首次发布时应等于发布时间</w:t>
            </w:r>
          </w:p>
        </w:tc>
        <w:tc>
          <w:tcPr>
            <w:tcW w:w="1500" w:type="dxa"/>
            <w:tcBorders>
              <w:top w:val="single" w:color="000000" w:sz="4" w:space="0"/>
              <w:left w:val="single" w:color="000000" w:sz="4" w:space="0"/>
              <w:bottom w:val="single" w:color="000000" w:sz="4" w:space="0"/>
              <w:right w:val="single" w:color="000000" w:sz="4" w:space="0"/>
            </w:tcBorders>
            <w:shd w:val="clear" w:color="auto" w:fill="FFFFFF"/>
            <w:textDirection w:val="lrTb"/>
            <w:vAlign w:val="center"/>
          </w:tcPr>
          <w:p>
            <w:pPr>
              <w:rPr>
                <w:rFonts w:hint="eastAsia" w:ascii="宋体" w:hAnsi="宋体" w:eastAsia="宋体" w:cs="宋体"/>
                <w:i w:val="0"/>
                <w:color w:val="auto"/>
                <w:kern w:val="0"/>
                <w:sz w:val="22"/>
                <w:szCs w:val="22"/>
                <w:u w:val="none"/>
                <w:lang w:val="en-US" w:eastAsia="zh-CN" w:bidi="ar"/>
              </w:rPr>
            </w:pPr>
          </w:p>
        </w:tc>
      </w:tr>
    </w:tbl>
    <w:p>
      <w:pPr/>
    </w:p>
    <w:p>
      <w:pPr>
        <w:pStyle w:val="6"/>
      </w:pPr>
      <w:r>
        <w:rPr>
          <w:rFonts w:hint="eastAsia"/>
          <w:lang w:eastAsia="zh-CN"/>
        </w:rPr>
        <w:t>参数</w:t>
      </w:r>
      <w:r>
        <w:t>类型</w:t>
      </w:r>
    </w:p>
    <w:tbl>
      <w:tblPr>
        <w:tblStyle w:val="35"/>
        <w:tblW w:w="77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080"/>
        <w:gridCol w:w="2241"/>
        <w:gridCol w:w="1050"/>
        <w:gridCol w:w="23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参数类别</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类别名称</w:t>
            </w:r>
          </w:p>
        </w:tc>
        <w:tc>
          <w:tcPr>
            <w:tcW w:w="2241"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参数分类</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value</w:t>
            </w:r>
          </w:p>
        </w:tc>
        <w:tc>
          <w:tcPr>
            <w:tcW w:w="231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A108</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22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利率</w:t>
            </w:r>
            <w:r>
              <w:rPr>
                <w:rFonts w:hint="eastAsia" w:ascii="宋体" w:hAnsi="宋体" w:eastAsia="宋体" w:cs="宋体"/>
                <w:i w:val="0"/>
                <w:color w:val="000000"/>
                <w:kern w:val="0"/>
                <w:sz w:val="22"/>
                <w:szCs w:val="22"/>
                <w:u w:val="none"/>
                <w:lang w:val="en-US" w:eastAsia="zh-CN" w:bidi="ar"/>
              </w:rPr>
              <w:t>变动类型</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231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固定利率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A108</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22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利率</w:t>
            </w:r>
            <w:r>
              <w:rPr>
                <w:rFonts w:hint="eastAsia" w:ascii="宋体" w:hAnsi="宋体" w:eastAsia="宋体" w:cs="宋体"/>
                <w:i w:val="0"/>
                <w:color w:val="000000"/>
                <w:kern w:val="0"/>
                <w:sz w:val="22"/>
                <w:szCs w:val="22"/>
                <w:u w:val="none"/>
                <w:lang w:val="en-US" w:eastAsia="zh-CN" w:bidi="ar"/>
              </w:rPr>
              <w:t>变动类型</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c>
          <w:tcPr>
            <w:tcW w:w="231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浮动利率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A108</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22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利率</w:t>
            </w:r>
            <w:r>
              <w:rPr>
                <w:rFonts w:hint="eastAsia" w:ascii="宋体" w:hAnsi="宋体" w:eastAsia="宋体" w:cs="宋体"/>
                <w:i w:val="0"/>
                <w:color w:val="000000"/>
                <w:kern w:val="0"/>
                <w:sz w:val="22"/>
                <w:szCs w:val="22"/>
                <w:u w:val="none"/>
                <w:lang w:val="en-US" w:eastAsia="zh-CN" w:bidi="ar"/>
              </w:rPr>
              <w:t>变动类型</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231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累计利率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A108</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22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利率</w:t>
            </w:r>
            <w:r>
              <w:rPr>
                <w:rFonts w:hint="eastAsia" w:ascii="宋体" w:hAnsi="宋体" w:eastAsia="宋体" w:cs="宋体"/>
                <w:i w:val="0"/>
                <w:color w:val="000000"/>
                <w:kern w:val="0"/>
                <w:sz w:val="22"/>
                <w:szCs w:val="22"/>
                <w:u w:val="none"/>
                <w:lang w:val="en-US" w:eastAsia="zh-CN" w:bidi="ar"/>
              </w:rPr>
              <w:t>变动类型</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c>
          <w:tcPr>
            <w:tcW w:w="231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特殊条款调整利率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A108</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22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利率</w:t>
            </w:r>
            <w:r>
              <w:rPr>
                <w:rFonts w:hint="eastAsia" w:ascii="宋体" w:hAnsi="宋体" w:eastAsia="宋体" w:cs="宋体"/>
                <w:i w:val="0"/>
                <w:color w:val="000000"/>
                <w:kern w:val="0"/>
                <w:sz w:val="22"/>
                <w:szCs w:val="22"/>
                <w:u w:val="none"/>
                <w:lang w:val="en-US" w:eastAsia="zh-CN" w:bidi="ar"/>
              </w:rPr>
              <w:t>变动类型</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w:t>
            </w:r>
          </w:p>
        </w:tc>
        <w:tc>
          <w:tcPr>
            <w:tcW w:w="231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w:t>
            </w:r>
          </w:p>
        </w:tc>
      </w:tr>
    </w:tbl>
    <w:p>
      <w:pPr/>
    </w:p>
    <w:p>
      <w:pPr/>
    </w:p>
    <w:p>
      <w:pPr>
        <w:pStyle w:val="5"/>
      </w:pPr>
      <w:bookmarkStart w:id="23" w:name="_Toc7626"/>
      <w:bookmarkStart w:id="24" w:name="_Toc30221"/>
      <w:r>
        <w:rPr>
          <w:rFonts w:hint="eastAsia"/>
        </w:rPr>
        <w:t>索引</w:t>
      </w:r>
      <w:r>
        <w:t>设计</w:t>
      </w:r>
      <w:bookmarkEnd w:id="23"/>
      <w:bookmarkEnd w:id="24"/>
    </w:p>
    <w:p>
      <w:pPr>
        <w:pStyle w:val="4"/>
      </w:pPr>
      <w:r>
        <w:rPr>
          <w:rFonts w:hint="eastAsia"/>
          <w:lang w:eastAsia="zh-CN"/>
        </w:rPr>
        <w:t>物理主键：</w:t>
      </w:r>
      <w:r>
        <w:rPr>
          <w:rFonts w:hint="eastAsia"/>
          <w:lang w:val="en-US" w:eastAsia="zh-CN"/>
        </w:rPr>
        <w:t>FT(pk)</w:t>
      </w:r>
    </w:p>
    <w:p>
      <w:pPr>
        <w:pStyle w:val="4"/>
        <w:rPr>
          <w:rFonts w:hint="eastAsia"/>
          <w:lang w:eastAsia="zh-CN"/>
        </w:rPr>
      </w:pPr>
      <w:r>
        <w:rPr>
          <w:rFonts w:hint="eastAsia"/>
          <w:lang w:eastAsia="zh-CN"/>
        </w:rPr>
        <w:t>业务主键：主内部编码、</w:t>
      </w:r>
      <w:r>
        <w:rPr>
          <w:rFonts w:hint="eastAsia" w:ascii="宋体" w:hAnsi="宋体" w:eastAsia="宋体" w:cs="宋体"/>
          <w:i w:val="0"/>
          <w:color w:val="auto"/>
          <w:kern w:val="0"/>
          <w:sz w:val="22"/>
          <w:szCs w:val="22"/>
          <w:u w:val="none"/>
          <w:lang w:val="en-US" w:eastAsia="zh-CN" w:bidi="ar"/>
        </w:rPr>
        <w:t>债券利率起始日期、计息周期起始日期</w:t>
      </w:r>
    </w:p>
    <w:p>
      <w:pPr>
        <w:pStyle w:val="4"/>
        <w:rPr>
          <w:rFonts w:hint="eastAsia"/>
          <w:lang w:eastAsia="zh-CN"/>
        </w:rPr>
      </w:pPr>
      <w:r>
        <w:rPr>
          <w:rFonts w:hint="eastAsia"/>
          <w:lang w:eastAsia="zh-CN"/>
        </w:rPr>
        <w:t>普通索引：利率</w:t>
      </w:r>
      <w:r>
        <w:rPr>
          <w:rFonts w:hint="eastAsia" w:ascii="宋体" w:hAnsi="宋体" w:eastAsia="宋体" w:cs="宋体"/>
          <w:i w:val="0"/>
          <w:color w:val="auto"/>
          <w:kern w:val="0"/>
          <w:sz w:val="22"/>
          <w:szCs w:val="22"/>
          <w:u w:val="none"/>
          <w:lang w:val="en-US" w:eastAsia="zh-CN" w:bidi="ar"/>
        </w:rPr>
        <w:t>变动类型</w:t>
      </w:r>
    </w:p>
    <w:p>
      <w:pPr>
        <w:pStyle w:val="5"/>
      </w:pPr>
      <w:bookmarkStart w:id="25" w:name="_Toc17202"/>
      <w:bookmarkStart w:id="26" w:name="_Toc10925"/>
      <w:r>
        <w:rPr>
          <w:rFonts w:hint="eastAsia"/>
        </w:rPr>
        <w:t>存储过程</w:t>
      </w:r>
      <w:bookmarkEnd w:id="25"/>
      <w:bookmarkEnd w:id="26"/>
    </w:p>
    <w:p>
      <w:pPr>
        <w:pStyle w:val="4"/>
        <w:rPr>
          <w:rFonts w:hint="eastAsia" w:eastAsia="宋体"/>
          <w:lang w:eastAsia="zh-CN"/>
        </w:rPr>
      </w:pPr>
      <w:r>
        <w:rPr>
          <w:rFonts w:hint="eastAsia"/>
          <w:lang w:eastAsia="zh-CN"/>
        </w:rPr>
        <w:t>不适用</w:t>
      </w:r>
    </w:p>
    <w:p>
      <w:pPr>
        <w:pStyle w:val="5"/>
        <w:rPr>
          <w:rFonts w:hint="eastAsia"/>
        </w:rPr>
      </w:pPr>
      <w:bookmarkStart w:id="27" w:name="_Toc3547"/>
      <w:bookmarkStart w:id="28" w:name="_Toc11782"/>
      <w:r>
        <w:rPr>
          <w:rFonts w:hint="eastAsia"/>
        </w:rPr>
        <w:t>触发器</w:t>
      </w:r>
      <w:bookmarkEnd w:id="27"/>
      <w:bookmarkEnd w:id="28"/>
    </w:p>
    <w:p>
      <w:pPr>
        <w:pStyle w:val="4"/>
        <w:ind w:left="0" w:leftChars="0" w:firstLine="0" w:firstLineChars="0"/>
        <w:rPr>
          <w:rFonts w:hint="eastAsia"/>
          <w:lang w:val="en-US" w:eastAsia="zh-CN"/>
        </w:rPr>
      </w:pPr>
      <w:r>
        <w:rPr>
          <w:rFonts w:hint="eastAsia"/>
          <w:lang w:val="en-US" w:eastAsia="zh-CN"/>
        </w:rPr>
        <w:t xml:space="preserve">CREATE TRIGGER `TRI_P12014_BI` BEFORE INSERT ON `p12014` FOR EACH ROW </w:t>
      </w:r>
    </w:p>
    <w:p>
      <w:pPr>
        <w:pStyle w:val="4"/>
        <w:ind w:left="0" w:leftChars="0" w:firstLine="0" w:firstLineChars="0"/>
        <w:rPr>
          <w:rFonts w:hint="eastAsia"/>
          <w:lang w:val="en-US" w:eastAsia="zh-CN"/>
        </w:rPr>
      </w:pPr>
      <w:r>
        <w:rPr>
          <w:rFonts w:hint="eastAsia"/>
          <w:lang w:val="en-US" w:eastAsia="zh-CN"/>
        </w:rPr>
        <w:t>BEGIN</w:t>
      </w:r>
    </w:p>
    <w:p>
      <w:pPr>
        <w:pStyle w:val="4"/>
        <w:ind w:left="0" w:leftChars="0" w:firstLine="0" w:firstLineChars="0"/>
        <w:rPr>
          <w:rFonts w:hint="eastAsia"/>
          <w:lang w:val="en-US" w:eastAsia="zh-CN"/>
        </w:rPr>
      </w:pPr>
      <w:r>
        <w:rPr>
          <w:rFonts w:hint="eastAsia"/>
          <w:lang w:val="en-US" w:eastAsia="zh-CN"/>
        </w:rPr>
        <w:t>if new.F1 IS NOT NULL</w:t>
      </w:r>
    </w:p>
    <w:p>
      <w:pPr>
        <w:pStyle w:val="4"/>
        <w:ind w:left="0" w:leftChars="0" w:firstLine="0" w:firstLineChars="0"/>
        <w:rPr>
          <w:rFonts w:hint="eastAsia"/>
          <w:lang w:val="en-US" w:eastAsia="zh-CN"/>
        </w:rPr>
      </w:pPr>
      <w:r>
        <w:rPr>
          <w:rFonts w:hint="eastAsia"/>
          <w:lang w:val="en-US" w:eastAsia="zh-CN"/>
        </w:rPr>
        <w:t xml:space="preserve">THEN  </w:t>
      </w:r>
    </w:p>
    <w:p>
      <w:pPr>
        <w:pStyle w:val="4"/>
        <w:ind w:left="0" w:leftChars="0" w:firstLine="0" w:firstLineChars="0"/>
        <w:rPr>
          <w:rFonts w:hint="eastAsia"/>
          <w:lang w:val="en-US" w:eastAsia="zh-CN"/>
        </w:rPr>
      </w:pPr>
      <w:r>
        <w:rPr>
          <w:rFonts w:hint="eastAsia"/>
          <w:lang w:val="en-US" w:eastAsia="zh-CN"/>
        </w:rPr>
        <w:t xml:space="preserve">    SET @new.F2=(SELECT F4 FROM P12001 S WHERE new.F1=S.F1 and S.F4 IS NOT NULL ORDER BY FU DESC LIMIT 1);</w:t>
      </w:r>
    </w:p>
    <w:p>
      <w:pPr>
        <w:pStyle w:val="4"/>
        <w:ind w:left="0" w:leftChars="0" w:firstLine="0" w:firstLineChars="0"/>
        <w:rPr>
          <w:rFonts w:hint="eastAsia"/>
          <w:lang w:val="en-US" w:eastAsia="zh-CN"/>
        </w:rPr>
      </w:pPr>
      <w:r>
        <w:rPr>
          <w:rFonts w:hint="eastAsia"/>
          <w:lang w:val="en-US" w:eastAsia="zh-CN"/>
        </w:rPr>
        <w:t xml:space="preserve">    SET new.F2=@new.F2;</w:t>
      </w:r>
    </w:p>
    <w:p>
      <w:pPr>
        <w:pStyle w:val="4"/>
        <w:ind w:left="0" w:leftChars="0" w:firstLine="0" w:firstLineChars="0"/>
        <w:rPr>
          <w:rFonts w:hint="eastAsia"/>
          <w:lang w:val="en-US" w:eastAsia="zh-CN"/>
        </w:rPr>
      </w:pPr>
      <w:r>
        <w:rPr>
          <w:rFonts w:hint="eastAsia"/>
          <w:lang w:val="en-US" w:eastAsia="zh-CN"/>
        </w:rPr>
        <w:t>END IF;</w:t>
      </w:r>
    </w:p>
    <w:p>
      <w:pPr>
        <w:pStyle w:val="4"/>
        <w:ind w:left="0" w:leftChars="0" w:firstLine="0" w:firstLineChars="0"/>
        <w:rPr>
          <w:rFonts w:hint="eastAsia"/>
          <w:lang w:val="en-US" w:eastAsia="zh-CN"/>
        </w:rPr>
      </w:pPr>
      <w:r>
        <w:rPr>
          <w:rFonts w:hint="eastAsia"/>
          <w:lang w:val="en-US" w:eastAsia="zh-CN"/>
        </w:rPr>
        <w:t xml:space="preserve">END;  </w:t>
      </w:r>
    </w:p>
    <w:p>
      <w:pPr>
        <w:pStyle w:val="4"/>
        <w:ind w:left="0" w:leftChars="0" w:firstLine="0" w:firstLineChars="0"/>
        <w:rPr>
          <w:rFonts w:hint="eastAsia"/>
          <w:lang w:val="en-US" w:eastAsia="zh-CN"/>
        </w:rPr>
      </w:pPr>
    </w:p>
    <w:p>
      <w:pPr>
        <w:pStyle w:val="4"/>
        <w:numPr>
          <w:ilvl w:val="0"/>
          <w:numId w:val="2"/>
        </w:numPr>
        <w:ind w:left="0" w:leftChars="0" w:firstLine="0" w:firstLineChars="0"/>
        <w:rPr>
          <w:rFonts w:hint="eastAsia" w:ascii="Times New Roman" w:hAnsi="Times New Roman" w:eastAsia="宋体" w:cs="Times New Roman"/>
          <w:b/>
          <w:kern w:val="44"/>
          <w:sz w:val="44"/>
          <w:lang w:val="en-US" w:eastAsia="zh-CN" w:bidi="ar-SA"/>
        </w:rPr>
      </w:pPr>
      <w:r>
        <w:rPr>
          <w:rFonts w:hint="eastAsia" w:ascii="Times New Roman" w:hAnsi="Times New Roman" w:eastAsia="宋体" w:cs="Times New Roman"/>
          <w:b/>
          <w:kern w:val="44"/>
          <w:sz w:val="44"/>
          <w:lang w:val="en-US" w:eastAsia="zh-CN" w:bidi="ar-SA"/>
        </w:rPr>
        <w:t>录入工具说明</w:t>
      </w:r>
    </w:p>
    <w:p>
      <w:pPr>
        <w:pStyle w:val="4"/>
        <w:numPr>
          <w:ilvl w:val="0"/>
          <w:numId w:val="0"/>
        </w:numPr>
        <w:ind w:leftChars="0"/>
        <w:rPr>
          <w:rFonts w:hint="eastAsia"/>
          <w:lang w:val="en-US" w:eastAsia="zh-CN"/>
        </w:rPr>
      </w:pPr>
      <w:r>
        <w:rPr>
          <w:rFonts w:hint="eastAsia" w:cs="Times New Roman"/>
          <w:b w:val="0"/>
          <w:bCs/>
          <w:kern w:val="44"/>
          <w:sz w:val="21"/>
          <w:szCs w:val="21"/>
          <w:lang w:val="en-US" w:eastAsia="zh-CN" w:bidi="ar-SA"/>
        </w:rPr>
        <w:t>特殊需求说明</w:t>
      </w:r>
    </w:p>
    <w:p>
      <w:pPr>
        <w:pStyle w:val="4"/>
        <w:numPr>
          <w:ilvl w:val="0"/>
          <w:numId w:val="0"/>
        </w:numPr>
        <w:rPr>
          <w:rFonts w:hint="eastAsia"/>
          <w:lang w:val="en-US" w:eastAsia="zh-CN"/>
        </w:rPr>
      </w:pPr>
      <w:r>
        <w:rPr>
          <w:rFonts w:hint="eastAsia"/>
          <w:lang w:val="en-US" w:eastAsia="zh-CN"/>
        </w:rPr>
        <w:t>1、【主内部编码】关联P12001主表【主内部编码】字段，</w:t>
      </w:r>
      <w:r>
        <w:rPr>
          <w:rFonts w:hint="eastAsia"/>
          <w:color w:val="FF0000"/>
          <w:lang w:val="en-US" w:eastAsia="zh-CN"/>
        </w:rPr>
        <w:t>通过</w:t>
      </w:r>
      <w:r>
        <w:rPr>
          <w:rFonts w:hint="eastAsia" w:ascii="宋体" w:hAnsi="宋体" w:eastAsia="宋体" w:cs="宋体"/>
          <w:i w:val="0"/>
          <w:color w:val="FF0000"/>
          <w:kern w:val="0"/>
          <w:sz w:val="22"/>
          <w:szCs w:val="22"/>
          <w:u w:val="none"/>
          <w:lang w:val="en-US" w:eastAsia="zh-CN" w:bidi="ar"/>
        </w:rPr>
        <w:t>证券代码</w:t>
      </w:r>
      <w:r>
        <w:rPr>
          <w:rFonts w:hint="eastAsia" w:ascii="宋体" w:hAnsi="宋体" w:cs="宋体"/>
          <w:i w:val="0"/>
          <w:color w:val="FF0000"/>
          <w:kern w:val="0"/>
          <w:sz w:val="22"/>
          <w:szCs w:val="22"/>
          <w:u w:val="none"/>
          <w:lang w:val="en-US" w:eastAsia="zh-CN" w:bidi="ar"/>
        </w:rPr>
        <w:t>和</w:t>
      </w:r>
      <w:r>
        <w:rPr>
          <w:rFonts w:hint="eastAsia"/>
          <w:color w:val="FF0000"/>
          <w:lang w:val="en-US" w:eastAsia="zh-CN"/>
        </w:rPr>
        <w:t>债券简称检索</w:t>
      </w:r>
      <w:r>
        <w:rPr>
          <w:rFonts w:hint="eastAsia"/>
          <w:lang w:val="en-US" w:eastAsia="zh-CN"/>
        </w:rPr>
        <w:t>展示格式为</w:t>
      </w:r>
      <w:r>
        <w:rPr>
          <w:rFonts w:hint="default"/>
          <w:lang w:val="en-US" w:eastAsia="zh-CN"/>
        </w:rPr>
        <w:t>’</w:t>
      </w:r>
      <w:r>
        <w:rPr>
          <w:rFonts w:hint="eastAsia"/>
          <w:lang w:val="en-US" w:eastAsia="zh-CN"/>
        </w:rPr>
        <w:t>主内部编码</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债券简称</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交易代码</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r>
        <w:rPr>
          <w:rFonts w:hint="eastAsia"/>
          <w:lang w:val="en-US" w:eastAsia="zh-CN"/>
        </w:rPr>
        <w:t>例如：100091-15赣煤炭CP001-041551018</w:t>
      </w:r>
    </w:p>
    <w:p>
      <w:pPr>
        <w:pStyle w:val="4"/>
        <w:numPr>
          <w:ilvl w:val="0"/>
          <w:numId w:val="0"/>
        </w:numPr>
        <w:rPr>
          <w:rFonts w:hint="eastAsia"/>
          <w:lang w:val="en-US" w:eastAsia="zh-CN"/>
        </w:rPr>
      </w:pPr>
      <w:r>
        <w:rPr>
          <w:rFonts w:hint="eastAsia"/>
          <w:lang w:val="en-US" w:eastAsia="zh-CN"/>
        </w:rPr>
        <w:t>3、查询字段：【主内部编码】、【债券名称】、【公告日期】、【变动类型】、【债券利率起始日期】、【</w:t>
      </w:r>
      <w:r>
        <w:rPr>
          <w:rFonts w:hint="eastAsia" w:ascii="宋体" w:hAnsi="宋体" w:eastAsia="宋体" w:cs="宋体"/>
          <w:i w:val="0"/>
          <w:color w:val="auto"/>
          <w:kern w:val="0"/>
          <w:sz w:val="22"/>
          <w:szCs w:val="22"/>
          <w:u w:val="none"/>
          <w:lang w:val="en-US" w:eastAsia="zh-CN" w:bidi="ar"/>
        </w:rPr>
        <w:t>计息周期起始日期</w:t>
      </w:r>
      <w:r>
        <w:rPr>
          <w:rFonts w:hint="eastAsia"/>
          <w:lang w:val="en-US" w:eastAsia="zh-CN"/>
        </w:rPr>
        <w:t>】、【</w:t>
      </w:r>
      <w:r>
        <w:rPr>
          <w:rFonts w:hint="eastAsia" w:ascii="宋体" w:hAnsi="宋体" w:eastAsia="宋体" w:cs="宋体"/>
          <w:i w:val="0"/>
          <w:color w:val="auto"/>
          <w:kern w:val="0"/>
          <w:sz w:val="22"/>
          <w:szCs w:val="22"/>
          <w:u w:val="none"/>
          <w:lang w:val="en-US" w:eastAsia="zh-CN" w:bidi="ar"/>
        </w:rPr>
        <w:t>计息周期终止日期</w:t>
      </w:r>
      <w:r>
        <w:rPr>
          <w:rFonts w:hint="eastAsia"/>
          <w:lang w:val="en-US" w:eastAsia="zh-CN"/>
        </w:rPr>
        <w:t>】、【是否有效】、【发布状态】、【修改人员姓名】、【更新时间】</w:t>
      </w:r>
    </w:p>
    <w:p>
      <w:pPr>
        <w:pStyle w:val="4"/>
        <w:numPr>
          <w:ilvl w:val="0"/>
          <w:numId w:val="0"/>
        </w:numPr>
        <w:rPr>
          <w:rFonts w:hint="eastAsia"/>
          <w:lang w:val="en-US" w:eastAsia="zh-CN"/>
        </w:rPr>
      </w:pPr>
      <w:r>
        <w:rPr>
          <w:rFonts w:hint="eastAsia"/>
          <w:lang w:val="en-US" w:eastAsia="zh-CN"/>
        </w:rPr>
        <w:t>4、查询结果字段：【主内部编码】、【债券名称】、【公告日期】、【变动类型】、【债券利率起始日期】、【债券利率终止日期】、【</w:t>
      </w:r>
      <w:r>
        <w:rPr>
          <w:rFonts w:hint="eastAsia" w:ascii="宋体" w:hAnsi="宋体" w:eastAsia="宋体" w:cs="宋体"/>
          <w:i w:val="0"/>
          <w:color w:val="auto"/>
          <w:kern w:val="0"/>
          <w:sz w:val="22"/>
          <w:szCs w:val="22"/>
          <w:u w:val="none"/>
          <w:lang w:val="en-US" w:eastAsia="zh-CN" w:bidi="ar"/>
        </w:rPr>
        <w:t>计息周期起始日期</w:t>
      </w:r>
      <w:r>
        <w:rPr>
          <w:rFonts w:hint="eastAsia"/>
          <w:lang w:val="en-US" w:eastAsia="zh-CN"/>
        </w:rPr>
        <w:t>】、【</w:t>
      </w:r>
      <w:r>
        <w:rPr>
          <w:rFonts w:hint="eastAsia" w:ascii="宋体" w:hAnsi="宋体" w:eastAsia="宋体" w:cs="宋体"/>
          <w:i w:val="0"/>
          <w:color w:val="auto"/>
          <w:kern w:val="0"/>
          <w:sz w:val="22"/>
          <w:szCs w:val="22"/>
          <w:u w:val="none"/>
          <w:lang w:val="en-US" w:eastAsia="zh-CN" w:bidi="ar"/>
        </w:rPr>
        <w:t>计息周期终止日期</w:t>
      </w:r>
      <w:r>
        <w:rPr>
          <w:rFonts w:hint="eastAsia"/>
          <w:lang w:val="en-US" w:eastAsia="zh-CN"/>
        </w:rPr>
        <w:t>】、【票面利率】、【是否有效】、【发布状态】、【修改人员姓名】、【更新时间】。</w:t>
      </w:r>
    </w:p>
    <w:p>
      <w:pPr>
        <w:numPr>
          <w:ilvl w:val="0"/>
          <w:numId w:val="0"/>
        </w:numPr>
        <w:rPr>
          <w:rFonts w:hint="eastAsia" w:ascii="Times New Roman" w:hAnsi="Times New Roman" w:eastAsia="宋体" w:cs="Times New Roman"/>
          <w:b/>
          <w:kern w:val="44"/>
          <w:sz w:val="44"/>
          <w:lang w:val="en-US" w:eastAsia="zh-CN" w:bidi="ar-SA"/>
        </w:rPr>
      </w:pPr>
      <w:r>
        <w:rPr>
          <w:rFonts w:hint="eastAsia"/>
          <w:lang w:val="en-US" w:eastAsia="zh-CN"/>
        </w:rPr>
        <w:t>5、排序规则：Order by F5 desc</w:t>
      </w:r>
    </w:p>
    <w:p>
      <w:pPr>
        <w:pStyle w:val="2"/>
        <w:numPr>
          <w:numId w:val="0"/>
        </w:numPr>
        <w:tabs>
          <w:tab w:val="clear" w:pos="432"/>
        </w:tabs>
        <w:ind w:leftChars="0"/>
        <w:rPr>
          <w:rFonts w:hint="eastAsia"/>
          <w:lang w:val="en-US" w:eastAsia="zh-CN"/>
        </w:rPr>
      </w:pPr>
      <w:bookmarkStart w:id="29" w:name="_Toc12015"/>
      <w:bookmarkStart w:id="30" w:name="_Toc21637"/>
      <w:r>
        <w:rPr>
          <w:rFonts w:hint="eastAsia"/>
          <w:lang w:val="en-US" w:eastAsia="zh-CN"/>
        </w:rPr>
        <w:t>5.</w:t>
      </w:r>
      <w:r>
        <w:rPr>
          <w:rFonts w:hint="eastAsia"/>
        </w:rPr>
        <w:t>处理</w:t>
      </w:r>
      <w:r>
        <w:t>工具与规则（</w:t>
      </w:r>
      <w:r>
        <w:rPr>
          <w:rFonts w:hint="eastAsia"/>
        </w:rPr>
        <w:t>针对</w:t>
      </w:r>
      <w:r>
        <w:t>录入人员）</w:t>
      </w:r>
      <w:bookmarkEnd w:id="29"/>
      <w:bookmarkEnd w:id="30"/>
    </w:p>
    <w:p>
      <w:pPr>
        <w:pStyle w:val="3"/>
        <w:rPr>
          <w:rFonts w:hint="eastAsia"/>
          <w:lang w:val="en-US" w:eastAsia="zh-CN"/>
        </w:rPr>
      </w:pPr>
      <w:bookmarkStart w:id="31" w:name="_Toc29561"/>
      <w:bookmarkStart w:id="32" w:name="_Toc21209"/>
      <w:r>
        <w:rPr>
          <w:rFonts w:hint="eastAsia"/>
        </w:rPr>
        <w:t>本次</w:t>
      </w:r>
      <w:r>
        <w:t>修改内容</w:t>
      </w:r>
      <w:bookmarkEnd w:id="31"/>
      <w:bookmarkEnd w:id="32"/>
    </w:p>
    <w:p>
      <w:pPr>
        <w:pStyle w:val="5"/>
        <w:spacing w:before="468" w:after="312"/>
      </w:pPr>
      <w:bookmarkStart w:id="33" w:name="_Toc14359"/>
      <w:bookmarkStart w:id="34" w:name="_Toc28091"/>
      <w:r>
        <w:rPr>
          <w:rFonts w:hint="eastAsia"/>
        </w:rPr>
        <w:t>抓取规则</w:t>
      </w:r>
      <w:bookmarkEnd w:id="33"/>
      <w:bookmarkEnd w:id="34"/>
    </w:p>
    <w:tbl>
      <w:tblPr>
        <w:tblStyle w:val="35"/>
        <w:tblW w:w="8009" w:type="dxa"/>
        <w:tblInd w:w="0" w:type="dxa"/>
        <w:tblLayout w:type="fixed"/>
        <w:tblCellMar>
          <w:top w:w="0" w:type="dxa"/>
          <w:left w:w="108" w:type="dxa"/>
          <w:bottom w:w="0" w:type="dxa"/>
          <w:right w:w="108" w:type="dxa"/>
        </w:tblCellMar>
      </w:tblPr>
      <w:tblGrid>
        <w:gridCol w:w="976"/>
        <w:gridCol w:w="1116"/>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234711204"/>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asciiTheme="minorEastAsia" w:hAnsiTheme="minorEastAsia" w:eastAsiaTheme="minorEastAsia"/>
                    <w:b/>
                    <w:sz w:val="18"/>
                    <w:szCs w:val="18"/>
                  </w:rPr>
                  <w:t>√ 不适用</w:t>
                </w:r>
              </w:p>
            </w:sdtContent>
          </w:sdt>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数据运维组</w:t>
            </w: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292567528"/>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ind w:left="420" w:leftChars="200"/>
        <w:rPr>
          <w:rFonts w:hint="eastAsia"/>
        </w:rPr>
      </w:pPr>
    </w:p>
    <w:p>
      <w:pPr>
        <w:pStyle w:val="5"/>
        <w:spacing w:before="468" w:after="312"/>
      </w:pPr>
      <w:bookmarkStart w:id="35" w:name="_Toc1693"/>
      <w:bookmarkStart w:id="36" w:name="_Toc10699"/>
      <w:r>
        <w:rPr>
          <w:rFonts w:hint="eastAsia"/>
        </w:rPr>
        <w:t>历史</w:t>
      </w:r>
      <w:r>
        <w:t>数据</w:t>
      </w:r>
      <w:r>
        <w:rPr>
          <w:rFonts w:hint="eastAsia"/>
        </w:rPr>
        <w:t>清洗规则</w:t>
      </w:r>
      <w:bookmarkEnd w:id="35"/>
      <w:bookmarkEnd w:id="36"/>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1545632825"/>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asciiTheme="minorEastAsia" w:hAnsiTheme="minorEastAsia" w:eastAsiaTheme="minorEastAsia"/>
                    <w:b/>
                    <w:sz w:val="18"/>
                    <w:szCs w:val="18"/>
                  </w:rPr>
                  <w:t>√ 不适用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数据运维组</w:t>
            </w: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213589838"/>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rPr>
          <w:rFonts w:hint="eastAsia"/>
        </w:rPr>
      </w:pPr>
      <w:r>
        <w:rPr>
          <w:rFonts w:hint="eastAsia"/>
        </w:rPr>
        <w:t xml:space="preserve">    </w:t>
      </w:r>
    </w:p>
    <w:p>
      <w:pPr>
        <w:pStyle w:val="5"/>
        <w:spacing w:before="468" w:after="312"/>
      </w:pPr>
      <w:bookmarkStart w:id="37" w:name="_Toc11719"/>
      <w:bookmarkStart w:id="38" w:name="_Toc893"/>
      <w:r>
        <w:rPr>
          <w:rFonts w:hint="eastAsia"/>
        </w:rPr>
        <w:t>处理规则</w:t>
      </w:r>
      <w:bookmarkEnd w:id="37"/>
      <w:bookmarkEnd w:id="38"/>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1341693289"/>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cs="Times New Roman" w:asciiTheme="minorEastAsia" w:hAnsiTheme="minorEastAsia" w:eastAsiaTheme="minorEastAsia"/>
                    <w:b/>
                    <w:kern w:val="2"/>
                    <w:sz w:val="18"/>
                    <w:szCs w:val="18"/>
                    <w:lang w:val="en-US" w:eastAsia="zh-CN" w:bidi="ar-SA"/>
                  </w:rPr>
                  <w:t>√ 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hint="eastAsia" w:cs="宋体" w:asciiTheme="minorEastAsia" w:hAnsiTheme="minorEastAsia" w:eastAsiaTheme="minorEastAsia"/>
                <w:color w:val="000000"/>
                <w:kern w:val="0"/>
                <w:sz w:val="18"/>
                <w:szCs w:val="18"/>
                <w:lang w:eastAsia="zh-CN"/>
              </w:rPr>
            </w:pPr>
            <w:r>
              <w:rPr>
                <w:rFonts w:hint="eastAsia" w:cs="宋体" w:asciiTheme="minorEastAsia" w:hAnsiTheme="minorEastAsia" w:eastAsiaTheme="minorEastAsia"/>
                <w:color w:val="000000"/>
                <w:kern w:val="0"/>
                <w:sz w:val="18"/>
                <w:szCs w:val="18"/>
                <w:lang w:eastAsia="zh-CN"/>
              </w:rPr>
              <w:t>债券组</w:t>
            </w: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sdt>
          <w:sdtPr>
            <w:rPr>
              <w:rFonts w:hint="eastAsia" w:cs="Times New Roman" w:asciiTheme="minorEastAsia" w:hAnsiTheme="minorEastAsia" w:eastAsiaTheme="minorEastAsia"/>
              <w:color w:val="000000"/>
              <w:kern w:val="0"/>
              <w:sz w:val="18"/>
              <w:szCs w:val="18"/>
              <w:lang w:val="en-US" w:eastAsia="zh-CN" w:bidi="ar-SA"/>
            </w:rPr>
            <w:id w:val="147458404"/>
            <w:placeholder>
              <w:docPart w:val="{d8f81b7c-0713-4d08-a04e-07952af20619}"/>
            </w:placeholder>
            <w:comboBox>
              <w:listItem w:value="选择一项。"/>
            </w:comboBox>
          </w:sdtPr>
          <w:sdtEndPr>
            <w:rPr>
              <w:rFonts w:hint="eastAsia" w:cs="Times New Roman" w:asciiTheme="minorEastAsia" w:hAnsiTheme="minorEastAsia" w:eastAsiaTheme="minorEastAsia"/>
              <w:color w:val="000000"/>
              <w:kern w:val="0"/>
              <w:sz w:val="18"/>
              <w:szCs w:val="18"/>
              <w:lang w:val="en-US" w:eastAsia="zh-CN" w:bidi="ar-SA"/>
            </w:rPr>
          </w:sdtEndPr>
          <w:sdtContent>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hint="eastAsia" w:asciiTheme="minorEastAsia" w:hAnsiTheme="minorEastAsia" w:eastAsiaTheme="minorEastAsia"/>
                    <w:color w:val="000000"/>
                    <w:kern w:val="0"/>
                    <w:sz w:val="18"/>
                    <w:szCs w:val="18"/>
                    <w:lang w:eastAsia="zh-CN"/>
                  </w:rPr>
                </w:pPr>
                <w:r>
                  <w:rPr>
                    <w:rFonts w:hint="eastAsia" w:asciiTheme="minorEastAsia" w:hAnsiTheme="minorEastAsia" w:eastAsiaTheme="minorEastAsia"/>
                    <w:color w:val="000000"/>
                    <w:kern w:val="0"/>
                    <w:sz w:val="18"/>
                    <w:szCs w:val="18"/>
                    <w:lang w:eastAsia="zh-CN"/>
                  </w:rPr>
                  <w:t>徐松</w:t>
                </w:r>
              </w:p>
            </w:tc>
          </w:sdtContent>
        </w:sdt>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1745331212"/>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ind w:firstLine="420"/>
      </w:pPr>
      <w:r>
        <w:rPr>
          <w:rFonts w:hint="eastAsia"/>
        </w:rPr>
        <w:t>对</w:t>
      </w:r>
      <w:r>
        <w:t>于表字段的详细处理规则，需要由规划人员和处理人员不断</w:t>
      </w:r>
      <w:r>
        <w:rPr>
          <w:rFonts w:hint="eastAsia"/>
        </w:rPr>
        <w:t>完善</w:t>
      </w:r>
      <w:r>
        <w:t>、跟进。</w:t>
      </w:r>
    </w:p>
    <w:p>
      <w:pPr>
        <w:rPr>
          <w:rFonts w:hint="eastAsia"/>
          <w:lang w:eastAsia="zh-CN"/>
        </w:rPr>
      </w:pPr>
      <w:r>
        <w:rPr>
          <w:rFonts w:hint="eastAsia"/>
          <w:lang w:eastAsia="zh-CN"/>
        </w:rPr>
        <w:t>债券利率表字段说明：</w:t>
      </w:r>
    </w:p>
    <w:tbl>
      <w:tblPr>
        <w:tblStyle w:val="35"/>
        <w:tblW w:w="86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46"/>
        <w:gridCol w:w="2415"/>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字段名称</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字段中文名称</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处理规则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F1</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主内部编码</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lang w:val="en-US" w:eastAsia="zh-CN"/>
              </w:rPr>
            </w:pPr>
            <w:r>
              <w:rPr>
                <w:rFonts w:hint="eastAsia" w:ascii="宋体" w:hAnsi="宋体" w:eastAsia="宋体" w:cs="宋体"/>
                <w:i w:val="0"/>
                <w:color w:val="000000"/>
                <w:sz w:val="24"/>
                <w:szCs w:val="24"/>
                <w:u w:val="none"/>
                <w:lang w:eastAsia="zh-CN"/>
              </w:rPr>
              <w:t>关联</w:t>
            </w:r>
            <w:r>
              <w:rPr>
                <w:rFonts w:hint="eastAsia" w:ascii="宋体" w:hAnsi="宋体" w:eastAsia="宋体" w:cs="宋体"/>
                <w:i w:val="0"/>
                <w:color w:val="000000"/>
                <w:sz w:val="24"/>
                <w:szCs w:val="24"/>
                <w:u w:val="none"/>
                <w:lang w:val="en-US" w:eastAsia="zh-CN"/>
              </w:rPr>
              <w:t>P12001.F1,系统自动生成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F2</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债券名称</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lang w:eastAsia="zh-CN"/>
              </w:rPr>
            </w:pPr>
            <w:r>
              <w:rPr>
                <w:rFonts w:hint="eastAsia" w:ascii="宋体" w:hAnsi="宋体" w:eastAsia="宋体" w:cs="宋体"/>
                <w:i w:val="0"/>
                <w:color w:val="000000"/>
                <w:sz w:val="24"/>
                <w:szCs w:val="24"/>
                <w:u w:val="none"/>
                <w:lang w:eastAsia="zh-CN"/>
              </w:rPr>
              <w:t>保存后触发器自动生成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F3</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公告日期</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lang w:eastAsia="zh-CN"/>
              </w:rPr>
            </w:pPr>
            <w:r>
              <w:rPr>
                <w:rFonts w:hint="eastAsia" w:ascii="宋体" w:hAnsi="宋体" w:eastAsia="宋体" w:cs="宋体"/>
                <w:i w:val="0"/>
                <w:color w:val="000000"/>
                <w:sz w:val="24"/>
                <w:szCs w:val="24"/>
                <w:u w:val="none"/>
                <w:lang w:eastAsia="zh-CN"/>
              </w:rPr>
              <w:t>主要是指债券利率公告的日期，精确到具体日期，样例：</w:t>
            </w:r>
            <w:r>
              <w:rPr>
                <w:rFonts w:hint="eastAsia" w:ascii="宋体" w:hAnsi="宋体" w:eastAsia="宋体" w:cs="宋体"/>
                <w:i w:val="0"/>
                <w:color w:val="000000"/>
                <w:sz w:val="24"/>
                <w:szCs w:val="24"/>
                <w:u w:val="none"/>
                <w:lang w:val="en-US" w:eastAsia="zh-CN"/>
              </w:rPr>
              <w:t>20160816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F4</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变动类型</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lang w:eastAsia="zh-CN"/>
              </w:rPr>
            </w:pPr>
            <w:r>
              <w:rPr>
                <w:rFonts w:hint="eastAsia" w:ascii="宋体" w:hAnsi="宋体" w:eastAsia="宋体" w:cs="宋体"/>
                <w:i w:val="0"/>
                <w:color w:val="000000"/>
                <w:sz w:val="24"/>
                <w:szCs w:val="24"/>
                <w:u w:val="none"/>
                <w:lang w:eastAsia="zh-CN"/>
              </w:rPr>
              <w:t>具体变动类型：固定利率、浮动利率、累进利率、特殊条款调整利率、其他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F5</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债券利率起始日期</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lang w:eastAsia="zh-CN"/>
              </w:rPr>
            </w:pPr>
            <w:r>
              <w:rPr>
                <w:rFonts w:hint="eastAsia" w:ascii="宋体" w:hAnsi="宋体" w:eastAsia="宋体" w:cs="宋体"/>
                <w:i w:val="0"/>
                <w:color w:val="000000"/>
                <w:sz w:val="24"/>
                <w:szCs w:val="24"/>
                <w:u w:val="none"/>
                <w:lang w:eastAsia="zh-CN"/>
              </w:rPr>
              <w:t>主要指债券利率</w:t>
            </w:r>
            <w:r>
              <w:rPr>
                <w:rFonts w:hint="eastAsia" w:ascii="宋体" w:hAnsi="宋体" w:cs="宋体"/>
                <w:i w:val="0"/>
                <w:color w:val="000000"/>
                <w:sz w:val="24"/>
                <w:szCs w:val="24"/>
                <w:u w:val="none"/>
                <w:lang w:eastAsia="zh-CN"/>
              </w:rPr>
              <w:t>在计息周期内</w:t>
            </w:r>
            <w:r>
              <w:rPr>
                <w:rFonts w:hint="eastAsia" w:ascii="宋体" w:hAnsi="宋体" w:eastAsia="宋体" w:cs="宋体"/>
                <w:i w:val="0"/>
                <w:color w:val="000000"/>
                <w:sz w:val="24"/>
                <w:szCs w:val="24"/>
                <w:u w:val="none"/>
                <w:lang w:eastAsia="zh-CN"/>
              </w:rPr>
              <w:t>的有效日期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F6</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债券利率终止日期</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rPr>
            </w:pPr>
            <w:r>
              <w:rPr>
                <w:rFonts w:hint="eastAsia" w:ascii="宋体" w:hAnsi="宋体" w:eastAsia="宋体" w:cs="宋体"/>
                <w:i w:val="0"/>
                <w:color w:val="000000"/>
                <w:sz w:val="24"/>
                <w:szCs w:val="24"/>
                <w:u w:val="none"/>
                <w:lang w:eastAsia="zh-CN"/>
              </w:rPr>
              <w:t>主要指债券利率</w:t>
            </w:r>
            <w:r>
              <w:rPr>
                <w:rFonts w:hint="eastAsia" w:ascii="宋体" w:hAnsi="宋体" w:cs="宋体"/>
                <w:i w:val="0"/>
                <w:color w:val="000000"/>
                <w:sz w:val="24"/>
                <w:szCs w:val="24"/>
                <w:u w:val="none"/>
                <w:lang w:eastAsia="zh-CN"/>
              </w:rPr>
              <w:t>在计息周期内</w:t>
            </w:r>
            <w:r>
              <w:rPr>
                <w:rFonts w:hint="eastAsia" w:ascii="宋体" w:hAnsi="宋体" w:eastAsia="宋体" w:cs="宋体"/>
                <w:i w:val="0"/>
                <w:color w:val="000000"/>
                <w:sz w:val="24"/>
                <w:szCs w:val="24"/>
                <w:u w:val="none"/>
                <w:lang w:eastAsia="zh-CN"/>
              </w:rPr>
              <w:t>的有效日期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F7</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计息周期起始日期</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lang w:eastAsia="zh-CN"/>
              </w:rPr>
            </w:pPr>
            <w:r>
              <w:rPr>
                <w:rFonts w:hint="eastAsia" w:ascii="宋体" w:hAnsi="宋体" w:eastAsia="宋体" w:cs="宋体"/>
                <w:i w:val="0"/>
                <w:color w:val="000000"/>
                <w:sz w:val="24"/>
                <w:szCs w:val="24"/>
                <w:u w:val="none"/>
                <w:lang w:eastAsia="zh-CN"/>
              </w:rPr>
              <w:t>主要指本次付息的计息期限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F8</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计息周期终止日期</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lang w:eastAsia="zh-CN"/>
              </w:rPr>
            </w:pPr>
            <w:r>
              <w:rPr>
                <w:rFonts w:hint="eastAsia" w:ascii="宋体" w:hAnsi="宋体" w:eastAsia="宋体" w:cs="宋体"/>
                <w:i w:val="0"/>
                <w:color w:val="000000"/>
                <w:sz w:val="24"/>
                <w:szCs w:val="24"/>
                <w:u w:val="none"/>
                <w:lang w:eastAsia="zh-CN"/>
              </w:rPr>
              <w:t>主要指本次付息的计息期限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F9</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票面利率</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宋体" w:hAnsi="宋体" w:eastAsia="宋体" w:cs="宋体"/>
                <w:i w:val="0"/>
                <w:color w:val="000000"/>
                <w:sz w:val="24"/>
                <w:szCs w:val="24"/>
                <w:u w:val="none"/>
                <w:lang w:eastAsia="zh-CN"/>
              </w:rPr>
            </w:pPr>
            <w:r>
              <w:rPr>
                <w:rFonts w:hint="eastAsia" w:ascii="宋体" w:hAnsi="宋体" w:eastAsia="宋体" w:cs="宋体"/>
                <w:i w:val="0"/>
                <w:color w:val="000000"/>
                <w:sz w:val="24"/>
                <w:szCs w:val="24"/>
                <w:u w:val="none"/>
                <w:lang w:eastAsia="zh-CN"/>
              </w:rPr>
              <w:t>具体数值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140"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F10</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是否有效</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预先发布的是否有效为否，根据实际公告录入的为是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F11</w:t>
            </w:r>
          </w:p>
        </w:tc>
        <w:tc>
          <w:tcPr>
            <w:tcW w:w="24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备注</w:t>
            </w:r>
          </w:p>
        </w:tc>
        <w:tc>
          <w:tcPr>
            <w:tcW w:w="448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宋体" w:hAnsi="宋体" w:eastAsia="宋体" w:cs="宋体"/>
                <w:i w:val="0"/>
                <w:color w:val="000000"/>
                <w:sz w:val="24"/>
                <w:szCs w:val="24"/>
                <w:u w:val="none"/>
                <w:lang w:eastAsia="zh-CN"/>
              </w:rPr>
            </w:pPr>
            <w:r>
              <w:rPr>
                <w:rFonts w:hint="eastAsia" w:ascii="宋体" w:hAnsi="宋体" w:eastAsia="宋体" w:cs="宋体"/>
                <w:i w:val="0"/>
                <w:color w:val="000000"/>
                <w:sz w:val="24"/>
                <w:szCs w:val="24"/>
                <w:u w:val="none"/>
                <w:lang w:eastAsia="zh-CN"/>
              </w:rPr>
              <w:t>本表中不能囊括的特殊信息</w:t>
            </w:r>
          </w:p>
        </w:tc>
      </w:tr>
    </w:tbl>
    <w:p>
      <w:pPr>
        <w:numPr>
          <w:ilvl w:val="0"/>
          <w:numId w:val="0"/>
        </w:numPr>
        <w:rPr>
          <w:rFonts w:hint="eastAsia"/>
          <w:b/>
          <w:bCs/>
          <w:sz w:val="28"/>
          <w:szCs w:val="28"/>
          <w:lang w:val="en-US" w:eastAsia="zh-CN"/>
        </w:rPr>
      </w:pPr>
      <w:r>
        <w:rPr>
          <w:rFonts w:hint="eastAsia"/>
          <w:b/>
          <w:bCs/>
          <w:sz w:val="28"/>
          <w:szCs w:val="28"/>
          <w:lang w:val="en-US" w:eastAsia="zh-CN"/>
        </w:rPr>
        <w:t>1.数据源：</w:t>
      </w:r>
    </w:p>
    <w:p>
      <w:pPr>
        <w:numPr>
          <w:ilvl w:val="0"/>
          <w:numId w:val="0"/>
        </w:numPr>
        <w:rPr>
          <w:rFonts w:hint="eastAsia"/>
          <w:lang w:val="en-US" w:eastAsia="zh-CN"/>
        </w:rPr>
      </w:pPr>
      <w:r>
        <w:rPr>
          <w:rFonts w:hint="eastAsia"/>
          <w:lang w:val="en-US" w:eastAsia="zh-CN"/>
        </w:rPr>
        <w:t>1、中国货币网：</w:t>
      </w:r>
      <w:r>
        <w:rPr>
          <w:rFonts w:hint="eastAsia"/>
          <w:lang w:val="en-US" w:eastAsia="zh-CN"/>
        </w:rPr>
        <w:fldChar w:fldCharType="begin"/>
      </w:r>
      <w:r>
        <w:rPr>
          <w:rFonts w:hint="eastAsia"/>
          <w:lang w:val="en-US" w:eastAsia="zh-CN"/>
        </w:rPr>
        <w:instrText xml:space="preserve"> HYPERLINK "http://www.chinamoney.com.cn/fe/Channel/8651" </w:instrText>
      </w:r>
      <w:r>
        <w:rPr>
          <w:rFonts w:hint="eastAsia"/>
          <w:lang w:val="en-US" w:eastAsia="zh-CN"/>
        </w:rPr>
        <w:fldChar w:fldCharType="separate"/>
      </w:r>
      <w:r>
        <w:rPr>
          <w:rStyle w:val="30"/>
          <w:rFonts w:hint="eastAsia"/>
          <w:lang w:val="en-US" w:eastAsia="zh-CN"/>
        </w:rPr>
        <w:t>http://www.chinamoney.com.cn/fe/Channel/8651</w:t>
      </w:r>
      <w:r>
        <w:rPr>
          <w:rFonts w:hint="eastAsia"/>
          <w:lang w:val="en-US" w:eastAsia="zh-CN"/>
        </w:rPr>
        <w:fldChar w:fldCharType="end"/>
      </w:r>
    </w:p>
    <w:p>
      <w:pPr>
        <w:numPr>
          <w:ilvl w:val="0"/>
          <w:numId w:val="0"/>
        </w:numPr>
        <w:rPr>
          <w:bdr w:val="single" w:sz="4" w:space="0"/>
        </w:rPr>
      </w:pPr>
      <w:r>
        <w:rPr>
          <w:bdr w:val="single" w:sz="4" w:space="0"/>
        </w:rPr>
        <w:drawing>
          <wp:inline distT="0" distB="0" distL="114300" distR="114300">
            <wp:extent cx="5268595" cy="2882900"/>
            <wp:effectExtent l="0" t="0" r="8255"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268595" cy="28829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债券的流通上市公告中主要包括债券发行时的票面利率和利率类型等信息，具体债券利率在计息周期内的有效期需要到债券的付息兑付公告中寻找。</w:t>
      </w:r>
    </w:p>
    <w:p>
      <w:pPr>
        <w:numPr>
          <w:ilvl w:val="0"/>
          <w:numId w:val="3"/>
        </w:numPr>
        <w:rPr>
          <w:rFonts w:hint="eastAsia"/>
          <w:lang w:val="en-US" w:eastAsia="zh-CN"/>
        </w:rPr>
      </w:pPr>
      <w:r>
        <w:rPr>
          <w:rFonts w:hint="eastAsia"/>
          <w:lang w:val="en-US" w:eastAsia="zh-CN"/>
        </w:rPr>
        <w:t>上海清算所：</w:t>
      </w:r>
      <w:r>
        <w:rPr>
          <w:rFonts w:hint="eastAsia"/>
          <w:lang w:val="en-US" w:eastAsia="zh-CN"/>
        </w:rPr>
        <w:fldChar w:fldCharType="begin"/>
      </w:r>
      <w:r>
        <w:rPr>
          <w:rFonts w:hint="eastAsia"/>
          <w:lang w:val="en-US" w:eastAsia="zh-CN"/>
        </w:rPr>
        <w:instrText xml:space="preserve"> HYPERLINK "http://www.shclearing.com/xxpl/jyltysgg/" </w:instrText>
      </w:r>
      <w:r>
        <w:rPr>
          <w:rFonts w:hint="eastAsia"/>
          <w:lang w:val="en-US" w:eastAsia="zh-CN"/>
        </w:rPr>
        <w:fldChar w:fldCharType="separate"/>
      </w:r>
      <w:r>
        <w:rPr>
          <w:rStyle w:val="30"/>
          <w:rFonts w:hint="eastAsia"/>
          <w:lang w:val="en-US" w:eastAsia="zh-CN"/>
        </w:rPr>
        <w:t>http://www.shclearing.com/xxpl/jyltysgg/</w:t>
      </w:r>
      <w:r>
        <w:rPr>
          <w:rFonts w:hint="eastAsia"/>
          <w:lang w:val="en-US" w:eastAsia="zh-CN"/>
        </w:rPr>
        <w:fldChar w:fldCharType="end"/>
      </w:r>
    </w:p>
    <w:p>
      <w:pPr>
        <w:numPr>
          <w:ilvl w:val="0"/>
          <w:numId w:val="0"/>
        </w:numPr>
        <w:rPr>
          <w:bdr w:val="single" w:sz="4" w:space="0"/>
        </w:rPr>
      </w:pPr>
      <w:r>
        <w:rPr>
          <w:bdr w:val="single" w:sz="4" w:space="0"/>
        </w:rPr>
        <w:drawing>
          <wp:inline distT="0" distB="0" distL="114300" distR="114300">
            <wp:extent cx="5266690" cy="2764790"/>
            <wp:effectExtent l="0" t="0" r="1016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8"/>
                    <a:stretch>
                      <a:fillRect/>
                    </a:stretch>
                  </pic:blipFill>
                  <pic:spPr>
                    <a:xfrm>
                      <a:off x="0" y="0"/>
                      <a:ext cx="5266690" cy="27647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从债券发行披露的募集说明书中可以看到债券有无特殊条款，付息兑付日期等信息。在债券交易流通公告中主要包含债券发行时的票面利率和计息方式等信息。具体债券利率的在计息周期内的有效期需要到债券的付息兑付公告中寻找。</w:t>
      </w:r>
    </w:p>
    <w:p>
      <w:pPr>
        <w:numPr>
          <w:ilvl w:val="0"/>
          <w:numId w:val="3"/>
        </w:numPr>
        <w:rPr>
          <w:rFonts w:hint="eastAsia"/>
          <w:lang w:val="en-US" w:eastAsia="zh-CN"/>
        </w:rPr>
      </w:pPr>
      <w:r>
        <w:rPr>
          <w:rFonts w:hint="eastAsia"/>
          <w:lang w:val="en-US" w:eastAsia="zh-CN"/>
        </w:rPr>
        <w:t>中国债券信息网：</w:t>
      </w:r>
      <w:r>
        <w:rPr>
          <w:rFonts w:hint="eastAsia"/>
          <w:lang w:val="en-US" w:eastAsia="zh-CN"/>
        </w:rPr>
        <w:fldChar w:fldCharType="begin"/>
      </w:r>
      <w:r>
        <w:rPr>
          <w:rFonts w:hint="eastAsia"/>
          <w:lang w:val="en-US" w:eastAsia="zh-CN"/>
        </w:rPr>
        <w:instrText xml:space="preserve"> HYPERLINK "http://www.chinabond.com.cn/Channel/21000" </w:instrText>
      </w:r>
      <w:r>
        <w:rPr>
          <w:rFonts w:hint="eastAsia"/>
          <w:lang w:val="en-US" w:eastAsia="zh-CN"/>
        </w:rPr>
        <w:fldChar w:fldCharType="separate"/>
      </w:r>
      <w:r>
        <w:rPr>
          <w:rStyle w:val="30"/>
          <w:rFonts w:hint="eastAsia"/>
          <w:lang w:val="en-US" w:eastAsia="zh-CN"/>
        </w:rPr>
        <w:t>http://www.chinabond.com.cn/Channel/21000</w:t>
      </w:r>
      <w:r>
        <w:rPr>
          <w:rFonts w:hint="eastAsia"/>
          <w:lang w:val="en-US" w:eastAsia="zh-CN"/>
        </w:rPr>
        <w:fldChar w:fldCharType="end"/>
      </w:r>
    </w:p>
    <w:p>
      <w:pPr>
        <w:numPr>
          <w:ilvl w:val="0"/>
          <w:numId w:val="0"/>
        </w:numPr>
        <w:rPr>
          <w:rFonts w:hint="eastAsia"/>
          <w:lang w:val="en-US" w:eastAsia="zh-CN"/>
        </w:rPr>
      </w:pPr>
      <w:r>
        <w:rPr>
          <w:bdr w:val="single" w:sz="4" w:space="0"/>
        </w:rPr>
        <w:drawing>
          <wp:inline distT="0" distB="0" distL="114300" distR="114300">
            <wp:extent cx="5265420" cy="2917825"/>
            <wp:effectExtent l="0" t="0" r="11430" b="158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265420" cy="29178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中国债券信息网交易流通要素公告：</w:t>
      </w:r>
      <w:r>
        <w:rPr>
          <w:rFonts w:hint="eastAsia"/>
          <w:lang w:val="en-US" w:eastAsia="zh-CN"/>
        </w:rPr>
        <w:fldChar w:fldCharType="begin"/>
      </w:r>
      <w:r>
        <w:rPr>
          <w:rFonts w:hint="eastAsia"/>
          <w:lang w:val="en-US" w:eastAsia="zh-CN"/>
        </w:rPr>
        <w:instrText xml:space="preserve"> HYPERLINK "http://www.chinabond.com.cn/Channel/4268436" </w:instrText>
      </w:r>
      <w:r>
        <w:rPr>
          <w:rFonts w:hint="eastAsia"/>
          <w:lang w:val="en-US" w:eastAsia="zh-CN"/>
        </w:rPr>
        <w:fldChar w:fldCharType="separate"/>
      </w:r>
      <w:r>
        <w:rPr>
          <w:rStyle w:val="30"/>
          <w:rFonts w:hint="eastAsia"/>
          <w:lang w:val="en-US" w:eastAsia="zh-CN"/>
        </w:rPr>
        <w:t>http://www.chinabond.com.cn/Channel/4268436</w:t>
      </w:r>
      <w:r>
        <w:rPr>
          <w:rFonts w:hint="eastAsia"/>
          <w:lang w:val="en-US" w:eastAsia="zh-CN"/>
        </w:rPr>
        <w:fldChar w:fldCharType="end"/>
      </w:r>
      <w:r>
        <w:rPr>
          <w:rFonts w:hint="eastAsia"/>
          <w:lang w:val="en-US" w:eastAsia="zh-CN"/>
        </w:rPr>
        <w:t xml:space="preserve">  </w:t>
      </w:r>
      <w:r>
        <w:rPr>
          <w:bdr w:val="single" w:sz="4" w:space="0"/>
        </w:rPr>
        <w:drawing>
          <wp:inline distT="0" distB="0" distL="114300" distR="114300">
            <wp:extent cx="5233670" cy="2558415"/>
            <wp:effectExtent l="0" t="0" r="5080" b="133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5233670" cy="25584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从债券发行文件的募集说明书中可以看到债券有无特殊条款，付息兑付日期等信息。在债券交易流通公告中主要包含债券发行时的票面利率和计息方式等信息。付息兑付与行权报告主要包含特殊条款的行权情况，具体债券利率的在计息周期内的有效期需要到债券的付息兑付公告中寻找。</w:t>
      </w:r>
    </w:p>
    <w:p>
      <w:pPr>
        <w:numPr>
          <w:ilvl w:val="0"/>
          <w:numId w:val="3"/>
        </w:numPr>
        <w:rPr>
          <w:rFonts w:hint="eastAsia"/>
          <w:lang w:val="en-US" w:eastAsia="zh-CN"/>
        </w:rPr>
      </w:pPr>
      <w:r>
        <w:rPr>
          <w:rFonts w:hint="eastAsia"/>
          <w:lang w:val="en-US" w:eastAsia="zh-CN"/>
        </w:rPr>
        <w:t>上海证券交易所：</w:t>
      </w:r>
      <w:r>
        <w:rPr>
          <w:rFonts w:hint="eastAsia"/>
          <w:lang w:val="en-US" w:eastAsia="zh-CN"/>
        </w:rPr>
        <w:fldChar w:fldCharType="begin"/>
      </w:r>
      <w:r>
        <w:rPr>
          <w:rFonts w:hint="eastAsia"/>
          <w:lang w:val="en-US" w:eastAsia="zh-CN"/>
        </w:rPr>
        <w:instrText xml:space="preserve"> HYPERLINK "http://www.sse.com.cn/disclosure/bond/announcement/corporate/" </w:instrText>
      </w:r>
      <w:r>
        <w:rPr>
          <w:rFonts w:hint="eastAsia"/>
          <w:lang w:val="en-US" w:eastAsia="zh-CN"/>
        </w:rPr>
        <w:fldChar w:fldCharType="separate"/>
      </w:r>
      <w:r>
        <w:rPr>
          <w:rStyle w:val="30"/>
          <w:rFonts w:hint="eastAsia"/>
          <w:lang w:val="en-US" w:eastAsia="zh-CN"/>
        </w:rPr>
        <w:t>http://www.sse.com.cn/disclosure/bond/announcement/corporate/</w:t>
      </w:r>
      <w:r>
        <w:rPr>
          <w:rFonts w:hint="eastAsia"/>
          <w:lang w:val="en-US" w:eastAsia="zh-CN"/>
        </w:rPr>
        <w:fldChar w:fldCharType="end"/>
      </w:r>
    </w:p>
    <w:p>
      <w:pPr>
        <w:numPr>
          <w:ilvl w:val="0"/>
          <w:numId w:val="0"/>
        </w:numPr>
        <w:rPr>
          <w:bdr w:val="single" w:sz="4" w:space="0"/>
        </w:rPr>
      </w:pPr>
      <w:r>
        <w:rPr>
          <w:bdr w:val="single" w:sz="4" w:space="0"/>
        </w:rPr>
        <w:drawing>
          <wp:inline distT="0" distB="0" distL="114300" distR="114300">
            <wp:extent cx="5267960" cy="2665095"/>
            <wp:effectExtent l="0" t="0" r="8890" b="19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1"/>
                    <a:stretch>
                      <a:fillRect/>
                    </a:stretch>
                  </pic:blipFill>
                  <pic:spPr>
                    <a:xfrm>
                      <a:off x="0" y="0"/>
                      <a:ext cx="5267960" cy="2665095"/>
                    </a:xfrm>
                    <a:prstGeom prst="rect">
                      <a:avLst/>
                    </a:prstGeom>
                    <a:noFill/>
                    <a:ln w="9525">
                      <a:noFill/>
                    </a:ln>
                  </pic:spPr>
                </pic:pic>
              </a:graphicData>
            </a:graphic>
          </wp:inline>
        </w:drawing>
      </w:r>
    </w:p>
    <w:p>
      <w:pPr>
        <w:numPr>
          <w:ilvl w:val="0"/>
          <w:numId w:val="0"/>
        </w:numPr>
        <w:rPr>
          <w:rFonts w:hint="eastAsia" w:eastAsia="宋体"/>
          <w:bdr w:val="single" w:sz="4" w:space="0"/>
          <w:lang w:val="en-US" w:eastAsia="zh-CN"/>
        </w:rPr>
      </w:pPr>
      <w:r>
        <w:rPr>
          <w:rFonts w:hint="eastAsia"/>
          <w:lang w:val="en-US" w:eastAsia="zh-CN"/>
        </w:rPr>
        <w:t>从债券发公告的募集说明书中可以看到债券有无特殊条款，付息兑付日期等信息。在债券上市公告中主要包含债券发行时的票面利率和计息方式等信息。特殊条款会有一个特殊条款行权结果报告，具体债券利率的在计息周期内的有效期需要到债券的付息兑付公告中寻找。</w:t>
      </w:r>
    </w:p>
    <w:p>
      <w:pPr>
        <w:numPr>
          <w:ilvl w:val="0"/>
          <w:numId w:val="3"/>
        </w:numPr>
        <w:rPr>
          <w:rFonts w:hint="eastAsia"/>
          <w:lang w:val="en-US" w:eastAsia="zh-CN"/>
        </w:rPr>
      </w:pPr>
      <w:r>
        <w:rPr>
          <w:rFonts w:hint="eastAsia"/>
          <w:lang w:val="en-US" w:eastAsia="zh-CN"/>
        </w:rPr>
        <w:t>深圳证券交易所：</w:t>
      </w:r>
      <w:r>
        <w:rPr>
          <w:rFonts w:hint="eastAsia"/>
          <w:lang w:val="en-US" w:eastAsia="zh-CN"/>
        </w:rPr>
        <w:fldChar w:fldCharType="begin"/>
      </w:r>
      <w:r>
        <w:rPr>
          <w:rFonts w:hint="eastAsia"/>
          <w:lang w:val="en-US" w:eastAsia="zh-CN"/>
        </w:rPr>
        <w:instrText xml:space="preserve"> HYPERLINK "http://disclosure.szse.cn/m/zqgg.htm" </w:instrText>
      </w:r>
      <w:r>
        <w:rPr>
          <w:rFonts w:hint="eastAsia"/>
          <w:lang w:val="en-US" w:eastAsia="zh-CN"/>
        </w:rPr>
        <w:fldChar w:fldCharType="separate"/>
      </w:r>
      <w:r>
        <w:rPr>
          <w:rStyle w:val="30"/>
          <w:rFonts w:hint="eastAsia"/>
          <w:lang w:val="en-US" w:eastAsia="zh-CN"/>
        </w:rPr>
        <w:t>http://disclosure.szse.cn/m/zqgg.htm</w:t>
      </w:r>
      <w:r>
        <w:rPr>
          <w:rFonts w:hint="eastAsia"/>
          <w:lang w:val="en-US" w:eastAsia="zh-CN"/>
        </w:rPr>
        <w:fldChar w:fldCharType="end"/>
      </w:r>
    </w:p>
    <w:p>
      <w:pPr>
        <w:numPr>
          <w:ilvl w:val="0"/>
          <w:numId w:val="0"/>
        </w:numPr>
        <w:rPr>
          <w:bdr w:val="single" w:sz="4" w:space="0"/>
        </w:rPr>
      </w:pPr>
      <w:r>
        <w:rPr>
          <w:bdr w:val="single" w:sz="4" w:space="0"/>
        </w:rPr>
        <w:drawing>
          <wp:inline distT="0" distB="0" distL="114300" distR="114300">
            <wp:extent cx="5272405" cy="2971800"/>
            <wp:effectExtent l="0" t="0" r="444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5272405" cy="29718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从债券公告的募集说明书中可以看到债券有无特殊条款，付息兑付日期等信息。在债券上市公告中主要包含债券发行时的票面利率和计息方式等信息。特殊条款会有一个特殊条款行权结果报告，具体债券利率的在计息周期内的有效期需要到债券的付息兑付公告中寻找。</w:t>
      </w:r>
    </w:p>
    <w:p>
      <w:pPr>
        <w:numPr>
          <w:ilvl w:val="0"/>
          <w:numId w:val="0"/>
        </w:numPr>
        <w:rPr>
          <w:rFonts w:hint="eastAsia"/>
          <w:b/>
          <w:bCs/>
          <w:sz w:val="28"/>
          <w:szCs w:val="28"/>
          <w:lang w:val="en-US" w:eastAsia="zh-CN"/>
        </w:rPr>
      </w:pPr>
      <w:r>
        <w:rPr>
          <w:rFonts w:hint="eastAsia"/>
          <w:b/>
          <w:bCs/>
          <w:sz w:val="28"/>
          <w:szCs w:val="28"/>
          <w:lang w:val="en-US" w:eastAsia="zh-CN"/>
        </w:rPr>
        <w:t>2.业务规则</w:t>
      </w:r>
    </w:p>
    <w:p>
      <w:pPr>
        <w:numPr>
          <w:ilvl w:val="0"/>
          <w:numId w:val="4"/>
        </w:numPr>
        <w:rPr>
          <w:rFonts w:hint="eastAsia"/>
          <w:b/>
          <w:bCs/>
          <w:lang w:val="en-US" w:eastAsia="zh-CN"/>
        </w:rPr>
      </w:pPr>
      <w:r>
        <w:rPr>
          <w:rFonts w:hint="eastAsia"/>
          <w:b/>
          <w:bCs/>
          <w:lang w:val="en-US" w:eastAsia="zh-CN"/>
        </w:rPr>
        <w:t>固定利率处理的业务规则</w:t>
      </w:r>
    </w:p>
    <w:p>
      <w:pPr>
        <w:numPr>
          <w:ilvl w:val="0"/>
          <w:numId w:val="0"/>
        </w:numPr>
        <w:rPr>
          <w:rFonts w:hint="eastAsia"/>
          <w:lang w:val="en-US" w:eastAsia="zh-CN"/>
        </w:rPr>
      </w:pPr>
      <w:r>
        <w:rPr>
          <w:rFonts w:hint="eastAsia"/>
          <w:lang w:val="en-US" w:eastAsia="zh-CN"/>
        </w:rPr>
        <w:t>（1）固定利率的处理规则：不存在特殊条款的固定利率债券，债券利率变动的表中的数据主要取债券的流通要素公告或上市公告，公告日期为流通要素公告的公告日期，债券利率起始日期和计息周期的起始日期是一样的，债券利率的终止日期与计息周期的终止日期是一样的</w:t>
      </w:r>
      <w:r>
        <w:rPr>
          <w:rFonts w:hint="eastAsia"/>
          <w:b w:val="0"/>
          <w:bCs w:val="0"/>
          <w:lang w:val="en-US" w:eastAsia="zh-CN"/>
        </w:rPr>
        <w:t>。</w:t>
      </w:r>
      <w:r>
        <w:rPr>
          <w:rFonts w:hint="eastAsia"/>
          <w:b w:val="0"/>
          <w:bCs w:val="0"/>
          <w:color w:val="auto"/>
          <w:lang w:val="en-US" w:eastAsia="zh-CN"/>
        </w:rPr>
        <w:t>债券每付息一次，债券利率表就会多一条记录。根据债券募集说明书中对债券付息情况的描述，来判断债券在存续期内付息的次数，从而确定债券利率表中记录的个数。</w:t>
      </w:r>
      <w:r>
        <w:rPr>
          <w:rFonts w:hint="eastAsia"/>
          <w:b w:val="0"/>
          <w:bCs w:val="0"/>
          <w:lang w:val="en-US" w:eastAsia="zh-CN"/>
        </w:rPr>
        <w:t>债券利率的变动类型均为固定利率，并且是否有效字段填是。</w:t>
      </w:r>
    </w:p>
    <w:p>
      <w:pPr>
        <w:numPr>
          <w:ilvl w:val="0"/>
          <w:numId w:val="0"/>
        </w:numPr>
        <w:rPr>
          <w:rFonts w:hint="eastAsia"/>
          <w:b/>
          <w:bCs/>
          <w:color w:val="auto"/>
          <w:lang w:val="en-US" w:eastAsia="zh-CN"/>
        </w:rPr>
      </w:pPr>
      <w:r>
        <w:rPr>
          <w:rFonts w:hint="eastAsia"/>
          <w:lang w:val="en-US" w:eastAsia="zh-CN"/>
        </w:rPr>
        <w:t>（2）对于存在特殊条款（回售、赎回、提前兑付、续期选择权等）的固定利率债券，交易流通公告或上市公告中的债券利率对于特殊条款行权日之前的计息周期是有效的，特殊条款行权日期之后的债券是无效的。我们处理的原则是根据债券的计息方式、起息日、付息日等信息来判断债券的计息周期，在募集说明书中披露的特殊条款理论行权日之前的计息周期，债券发行时的利率是有效的，是否有效填是。在募集说明书中披露的特殊条款理论行权日之</w:t>
      </w:r>
      <w:r>
        <w:rPr>
          <w:rFonts w:hint="eastAsia"/>
          <w:b w:val="0"/>
          <w:bCs w:val="0"/>
          <w:lang w:val="en-US" w:eastAsia="zh-CN"/>
        </w:rPr>
        <w:t>后的计息周期，债券发行时的利率是无效的，是否有效填否。在行权日期之后的计息周期，</w:t>
      </w:r>
      <w:r>
        <w:rPr>
          <w:rFonts w:hint="eastAsia"/>
          <w:b w:val="0"/>
          <w:bCs w:val="0"/>
          <w:color w:val="auto"/>
          <w:lang w:val="en-US" w:eastAsia="zh-CN"/>
        </w:rPr>
        <w:t>债券利率变动具体详细的信息到债券特殊条款的行权结果中获得，是否有效填是。债券利率变动的详细信息可以从付息和兑付公告中获得</w:t>
      </w:r>
      <w:bookmarkStart w:id="43" w:name="_GoBack"/>
      <w:bookmarkEnd w:id="43"/>
      <w:r>
        <w:rPr>
          <w:rFonts w:hint="eastAsia"/>
          <w:b w:val="0"/>
          <w:bCs w:val="0"/>
          <w:color w:val="auto"/>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样例1：中铁二局股份有限公司2015年度第九期超短期融资券</w:t>
      </w:r>
    </w:p>
    <w:p>
      <w:pPr>
        <w:numPr>
          <w:ilvl w:val="0"/>
          <w:numId w:val="0"/>
        </w:numPr>
        <w:rPr>
          <w:rFonts w:hint="eastAsia"/>
          <w:lang w:val="en-US" w:eastAsia="zh-CN"/>
        </w:rPr>
      </w:pPr>
      <w:r>
        <w:rPr>
          <w:rFonts w:hint="eastAsia"/>
          <w:lang w:val="en-US" w:eastAsia="zh-CN"/>
        </w:rPr>
        <w:t>流通要素公告数据源：</w:t>
      </w:r>
      <w:r>
        <w:rPr>
          <w:rFonts w:hint="eastAsia"/>
          <w:lang w:val="en-US" w:eastAsia="zh-CN"/>
        </w:rPr>
        <w:fldChar w:fldCharType="begin"/>
      </w:r>
      <w:r>
        <w:rPr>
          <w:rFonts w:hint="eastAsia"/>
          <w:lang w:val="en-US" w:eastAsia="zh-CN"/>
        </w:rPr>
        <w:instrText xml:space="preserve"> HYPERLINK "http://www.chinamoney.com.cn/fe/Info/18781985" </w:instrText>
      </w:r>
      <w:r>
        <w:rPr>
          <w:rFonts w:hint="eastAsia"/>
          <w:lang w:val="en-US" w:eastAsia="zh-CN"/>
        </w:rPr>
        <w:fldChar w:fldCharType="separate"/>
      </w:r>
      <w:r>
        <w:rPr>
          <w:rStyle w:val="30"/>
          <w:rFonts w:hint="eastAsia"/>
          <w:lang w:val="en-US" w:eastAsia="zh-CN"/>
        </w:rPr>
        <w:t>http://www.chinamoney.com.cn/fe/Info/18781985</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具体情况如下所示：</w:t>
      </w:r>
    </w:p>
    <w:p>
      <w:pPr>
        <w:numPr>
          <w:ilvl w:val="0"/>
          <w:numId w:val="0"/>
        </w:numPr>
        <w:rPr>
          <w:rFonts w:hint="eastAsia"/>
          <w:lang w:val="en-US" w:eastAsia="zh-CN"/>
        </w:rPr>
      </w:pPr>
      <w:r>
        <w:rPr>
          <w:bdr w:val="single" w:sz="4" w:space="0"/>
        </w:rPr>
        <w:drawing>
          <wp:inline distT="0" distB="0" distL="114300" distR="114300">
            <wp:extent cx="5269865" cy="887095"/>
            <wp:effectExtent l="0" t="0" r="6985" b="825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3"/>
                    <a:stretch>
                      <a:fillRect/>
                    </a:stretch>
                  </pic:blipFill>
                  <pic:spPr>
                    <a:xfrm>
                      <a:off x="0" y="0"/>
                      <a:ext cx="5269865" cy="887095"/>
                    </a:xfrm>
                    <a:prstGeom prst="rect">
                      <a:avLst/>
                    </a:prstGeom>
                    <a:noFill/>
                    <a:ln w="9525">
                      <a:noFill/>
                    </a:ln>
                  </pic:spPr>
                </pic:pic>
              </a:graphicData>
            </a:graphic>
          </wp:inline>
        </w:drawing>
      </w:r>
    </w:p>
    <w:p>
      <w:pPr>
        <w:numPr>
          <w:ilvl w:val="0"/>
          <w:numId w:val="0"/>
        </w:numPr>
        <w:rPr>
          <w:rFonts w:hint="eastAsia"/>
          <w:lang w:val="en-US" w:eastAsia="zh-CN"/>
        </w:rPr>
      </w:pPr>
      <w:r>
        <w:rPr>
          <w:bdr w:val="single" w:sz="4" w:space="0"/>
        </w:rPr>
        <w:drawing>
          <wp:inline distT="0" distB="0" distL="114300" distR="114300">
            <wp:extent cx="5269230" cy="4698365"/>
            <wp:effectExtent l="0" t="0" r="7620" b="698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4"/>
                    <a:stretch>
                      <a:fillRect/>
                    </a:stretch>
                  </pic:blipFill>
                  <pic:spPr>
                    <a:xfrm>
                      <a:off x="0" y="0"/>
                      <a:ext cx="5269230" cy="46983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通过流通要素公告可以得出债券利率变动表中数据：</w:t>
      </w:r>
    </w:p>
    <w:p>
      <w:pPr>
        <w:numPr>
          <w:ilvl w:val="0"/>
          <w:numId w:val="0"/>
        </w:numPr>
        <w:rPr>
          <w:rFonts w:hint="eastAsia"/>
          <w:lang w:val="en-US" w:eastAsia="zh-CN"/>
        </w:rPr>
      </w:pPr>
      <w:r>
        <w:rPr>
          <w:rFonts w:hint="eastAsia"/>
          <w:color w:val="FF0000"/>
          <w:lang w:val="en-US" w:eastAsia="zh-CN"/>
        </w:rPr>
        <w:t>主内部编码</w:t>
      </w:r>
      <w:r>
        <w:rPr>
          <w:rFonts w:hint="eastAsia"/>
          <w:lang w:val="en-US" w:eastAsia="zh-CN"/>
        </w:rPr>
        <w:t>：自动生成</w:t>
      </w:r>
    </w:p>
    <w:p>
      <w:pPr>
        <w:numPr>
          <w:ilvl w:val="0"/>
          <w:numId w:val="0"/>
        </w:numPr>
        <w:rPr>
          <w:rFonts w:hint="eastAsia"/>
          <w:lang w:val="en-US" w:eastAsia="zh-CN"/>
        </w:rPr>
      </w:pPr>
      <w:r>
        <w:rPr>
          <w:rFonts w:hint="eastAsia"/>
          <w:color w:val="FF0000"/>
          <w:lang w:val="en-US" w:eastAsia="zh-CN"/>
        </w:rPr>
        <w:t>债券名称</w:t>
      </w:r>
      <w:r>
        <w:rPr>
          <w:rFonts w:hint="eastAsia"/>
          <w:lang w:val="en-US" w:eastAsia="zh-CN"/>
        </w:rPr>
        <w:t>：中铁二局股份有限公司2015年度第九期超短期融资券</w:t>
      </w:r>
    </w:p>
    <w:p>
      <w:pPr>
        <w:numPr>
          <w:ilvl w:val="0"/>
          <w:numId w:val="0"/>
        </w:numPr>
        <w:rPr>
          <w:rFonts w:hint="eastAsia"/>
          <w:lang w:val="en-US" w:eastAsia="zh-CN"/>
        </w:rPr>
      </w:pPr>
      <w:r>
        <w:rPr>
          <w:rFonts w:hint="eastAsia"/>
          <w:color w:val="FF0000"/>
          <w:lang w:val="en-US" w:eastAsia="zh-CN"/>
        </w:rPr>
        <w:t>公告日期</w:t>
      </w:r>
      <w:r>
        <w:rPr>
          <w:rFonts w:hint="eastAsia"/>
          <w:lang w:val="en-US" w:eastAsia="zh-CN"/>
        </w:rPr>
        <w:t>：20150806</w:t>
      </w:r>
    </w:p>
    <w:p>
      <w:pPr>
        <w:numPr>
          <w:ilvl w:val="0"/>
          <w:numId w:val="0"/>
        </w:numPr>
        <w:rPr>
          <w:rFonts w:hint="eastAsia"/>
          <w:lang w:val="en-US" w:eastAsia="zh-CN"/>
        </w:rPr>
      </w:pPr>
      <w:r>
        <w:rPr>
          <w:rFonts w:hint="eastAsia"/>
          <w:color w:val="FF0000"/>
          <w:lang w:val="en-US" w:eastAsia="zh-CN"/>
        </w:rPr>
        <w:t>利率变动类型</w:t>
      </w:r>
      <w:r>
        <w:rPr>
          <w:rFonts w:hint="eastAsia"/>
          <w:lang w:val="en-US" w:eastAsia="zh-CN"/>
        </w:rPr>
        <w:t>：固定利率</w:t>
      </w:r>
    </w:p>
    <w:p>
      <w:pPr>
        <w:numPr>
          <w:ilvl w:val="0"/>
          <w:numId w:val="0"/>
        </w:numPr>
        <w:rPr>
          <w:rFonts w:hint="eastAsia"/>
          <w:lang w:val="en-US" w:eastAsia="zh-CN"/>
        </w:rPr>
      </w:pPr>
      <w:r>
        <w:rPr>
          <w:rFonts w:hint="eastAsia"/>
          <w:color w:val="FF0000"/>
          <w:lang w:val="en-US" w:eastAsia="zh-CN"/>
        </w:rPr>
        <w:t>债券利率起始日期</w:t>
      </w:r>
      <w:r>
        <w:rPr>
          <w:rFonts w:hint="eastAsia"/>
          <w:lang w:val="en-US" w:eastAsia="zh-CN"/>
        </w:rPr>
        <w:t>：20150806</w:t>
      </w:r>
    </w:p>
    <w:p>
      <w:pPr>
        <w:numPr>
          <w:ilvl w:val="0"/>
          <w:numId w:val="0"/>
        </w:numPr>
        <w:rPr>
          <w:rFonts w:hint="eastAsia"/>
          <w:lang w:val="en-US" w:eastAsia="zh-CN"/>
        </w:rPr>
      </w:pPr>
      <w:r>
        <w:rPr>
          <w:rFonts w:hint="eastAsia"/>
          <w:color w:val="FF0000"/>
          <w:lang w:val="en-US" w:eastAsia="zh-CN"/>
        </w:rPr>
        <w:t>债券利率终止日期</w:t>
      </w:r>
      <w:r>
        <w:rPr>
          <w:rFonts w:hint="eastAsia"/>
          <w:lang w:val="en-US" w:eastAsia="zh-CN"/>
        </w:rPr>
        <w:t>：20160502</w:t>
      </w:r>
    </w:p>
    <w:p>
      <w:pPr>
        <w:numPr>
          <w:ilvl w:val="0"/>
          <w:numId w:val="0"/>
        </w:numPr>
        <w:rPr>
          <w:rFonts w:hint="eastAsia"/>
          <w:lang w:val="en-US" w:eastAsia="zh-CN"/>
        </w:rPr>
      </w:pPr>
      <w:r>
        <w:rPr>
          <w:rFonts w:hint="eastAsia"/>
          <w:color w:val="FF0000"/>
          <w:lang w:val="en-US" w:eastAsia="zh-CN"/>
        </w:rPr>
        <w:t>计息周期起始日期</w:t>
      </w:r>
      <w:r>
        <w:rPr>
          <w:rFonts w:hint="eastAsia"/>
          <w:lang w:val="en-US" w:eastAsia="zh-CN"/>
        </w:rPr>
        <w:t>：20150806</w:t>
      </w:r>
    </w:p>
    <w:p>
      <w:pPr>
        <w:numPr>
          <w:ilvl w:val="0"/>
          <w:numId w:val="0"/>
        </w:numPr>
        <w:rPr>
          <w:rFonts w:hint="eastAsia"/>
          <w:lang w:val="en-US" w:eastAsia="zh-CN"/>
        </w:rPr>
      </w:pPr>
      <w:r>
        <w:rPr>
          <w:rFonts w:hint="eastAsia"/>
          <w:color w:val="FF0000"/>
          <w:lang w:val="en-US" w:eastAsia="zh-CN"/>
        </w:rPr>
        <w:t>计息周期终止日期</w:t>
      </w:r>
      <w:r>
        <w:rPr>
          <w:rFonts w:hint="eastAsia"/>
          <w:lang w:val="en-US" w:eastAsia="zh-CN"/>
        </w:rPr>
        <w:t>：20160502</w:t>
      </w:r>
    </w:p>
    <w:p>
      <w:pPr>
        <w:numPr>
          <w:ilvl w:val="0"/>
          <w:numId w:val="0"/>
        </w:numPr>
        <w:rPr>
          <w:rFonts w:hint="eastAsia"/>
          <w:lang w:val="en-US" w:eastAsia="zh-CN"/>
        </w:rPr>
      </w:pPr>
      <w:r>
        <w:rPr>
          <w:rFonts w:hint="eastAsia"/>
          <w:color w:val="FF0000"/>
          <w:lang w:val="en-US" w:eastAsia="zh-CN"/>
        </w:rPr>
        <w:t>债券利率</w:t>
      </w:r>
      <w:r>
        <w:rPr>
          <w:rFonts w:hint="eastAsia"/>
          <w:lang w:val="en-US" w:eastAsia="zh-CN"/>
        </w:rPr>
        <w:t>：3.58%</w:t>
      </w:r>
    </w:p>
    <w:p>
      <w:pPr>
        <w:numPr>
          <w:ilvl w:val="0"/>
          <w:numId w:val="0"/>
        </w:numPr>
        <w:rPr>
          <w:rFonts w:hint="eastAsia"/>
          <w:lang w:val="en-US" w:eastAsia="zh-CN"/>
        </w:rPr>
      </w:pPr>
      <w:r>
        <w:rPr>
          <w:rFonts w:hint="eastAsia"/>
          <w:color w:val="FF0000"/>
          <w:lang w:val="en-US" w:eastAsia="zh-CN"/>
        </w:rPr>
        <w:t>是否有效</w:t>
      </w:r>
      <w:r>
        <w:rPr>
          <w:rFonts w:hint="eastAsia"/>
          <w:lang w:val="en-US" w:eastAsia="zh-CN"/>
        </w:rPr>
        <w:t>：是</w:t>
      </w:r>
    </w:p>
    <w:p>
      <w:pPr>
        <w:numPr>
          <w:ilvl w:val="0"/>
          <w:numId w:val="0"/>
        </w:numPr>
        <w:rPr>
          <w:rFonts w:hint="eastAsia"/>
          <w:lang w:val="en-US" w:eastAsia="zh-CN"/>
        </w:rPr>
      </w:pPr>
      <w:r>
        <w:rPr>
          <w:rFonts w:hint="eastAsia"/>
          <w:color w:val="FF0000"/>
          <w:lang w:val="en-US" w:eastAsia="zh-CN"/>
        </w:rPr>
        <w:t>备注</w:t>
      </w:r>
      <w:r>
        <w:rPr>
          <w:rFonts w:hint="eastAsia"/>
          <w:lang w:val="en-US" w:eastAsia="zh-CN"/>
        </w:rPr>
        <w:t>：空</w:t>
      </w:r>
    </w:p>
    <w:p>
      <w:pPr>
        <w:numPr>
          <w:ilvl w:val="0"/>
          <w:numId w:val="0"/>
        </w:numPr>
        <w:rPr>
          <w:rFonts w:hint="eastAsia"/>
          <w:lang w:val="en-US" w:eastAsia="zh-CN"/>
        </w:rPr>
      </w:pPr>
      <w:r>
        <w:rPr>
          <w:rFonts w:hint="eastAsia"/>
          <w:b/>
          <w:bCs/>
          <w:lang w:val="en-US" w:eastAsia="zh-CN"/>
        </w:rPr>
        <w:t>备注</w:t>
      </w:r>
      <w:r>
        <w:rPr>
          <w:rFonts w:hint="eastAsia"/>
          <w:lang w:val="en-US" w:eastAsia="zh-CN"/>
        </w:rPr>
        <w:t>：由于债券的付息方式是到期一次性付息，故债券利率变动表的记录只有一条。</w:t>
      </w:r>
    </w:p>
    <w:p>
      <w:pPr>
        <w:numPr>
          <w:ilvl w:val="0"/>
          <w:numId w:val="0"/>
        </w:numPr>
        <w:rPr>
          <w:rFonts w:hint="eastAsia"/>
          <w:b/>
          <w:bCs/>
          <w:color w:val="auto"/>
          <w:lang w:val="en-US" w:eastAsia="zh-CN"/>
        </w:rPr>
      </w:pPr>
    </w:p>
    <w:p>
      <w:pPr>
        <w:numPr>
          <w:ilvl w:val="0"/>
          <w:numId w:val="4"/>
        </w:numPr>
        <w:rPr>
          <w:rFonts w:hint="eastAsia"/>
          <w:b/>
          <w:bCs/>
          <w:lang w:val="en-US" w:eastAsia="zh-CN"/>
        </w:rPr>
      </w:pPr>
      <w:r>
        <w:rPr>
          <w:rFonts w:hint="eastAsia"/>
          <w:b/>
          <w:bCs/>
          <w:lang w:val="en-US" w:eastAsia="zh-CN"/>
        </w:rPr>
        <w:t>浮动利率业务处理规则</w:t>
      </w:r>
    </w:p>
    <w:p>
      <w:pPr>
        <w:numPr>
          <w:ilvl w:val="0"/>
          <w:numId w:val="0"/>
        </w:numPr>
        <w:rPr>
          <w:rFonts w:hint="eastAsia"/>
          <w:lang w:val="en-US" w:eastAsia="zh-CN"/>
        </w:rPr>
      </w:pPr>
      <w:r>
        <w:rPr>
          <w:rFonts w:hint="eastAsia"/>
          <w:lang w:val="en-US" w:eastAsia="zh-CN"/>
        </w:rPr>
        <w:t xml:space="preserve">    浮动利率的处理规则：债券募集说明书中会对债券的票面利率进行说明，债券的票面利率为基准利率加上基本利差。上市流通要素公告上的票面利率为债券发行时的利率，我们把发行时的票面利率默认为债券在存续内的利率，根据募集说明书中的付息方式、起息日、付息日可以得出每一计息周期的起始和截止时间。</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对于浮动利率的债券来说，债券流通要素公告（上市公告）中债券利率为债券发行时的利率对债券第一个计息周期是有效的，其他计息周期的详细信息到债券付息兑付公告中寻找，是否有效填是，相对于其他计息周期，发行时的票面利率是无效的，是否有效填否。有效的债券利率变动具体的信息到债券付息兑付公告中获得。</w:t>
      </w:r>
    </w:p>
    <w:p>
      <w:pPr>
        <w:numPr>
          <w:ilvl w:val="0"/>
          <w:numId w:val="0"/>
        </w:numPr>
        <w:rPr>
          <w:rFonts w:hint="eastAsia"/>
          <w:lang w:val="en-US" w:eastAsia="zh-CN"/>
        </w:rPr>
      </w:pPr>
      <w:r>
        <w:rPr>
          <w:rFonts w:hint="eastAsia"/>
          <w:lang w:val="en-US" w:eastAsia="zh-CN"/>
        </w:rPr>
        <w:t>样例数据：河北钢铁集团有限公司2010年度第一期中期票据（浮动利率）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lang w:val="en-US" w:eastAsia="zh-CN"/>
        </w:rPr>
      </w:pPr>
      <w:r>
        <w:rPr>
          <w:rFonts w:hint="eastAsia"/>
          <w:lang w:val="en-US" w:eastAsia="zh-CN"/>
        </w:rPr>
        <w:t>数据源：</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fldChar w:fldCharType="begin"/>
      </w:r>
      <w:r>
        <w:rPr>
          <w:rFonts w:hint="eastAsia" w:ascii="Times New Roman" w:hAnsi="Times New Roman" w:eastAsia="宋体" w:cs="Times New Roman"/>
          <w:kern w:val="2"/>
          <w:sz w:val="21"/>
          <w:lang w:val="en-US" w:eastAsia="zh-CN" w:bidi="ar-SA"/>
        </w:rPr>
        <w:instrText xml:space="preserve"> HYPERLINK "http://www.chinamoney.com.cn/fe/CMS5_G20306002Resource?info=26665245;res=14633820732281677277561;download=" </w:instrText>
      </w:r>
      <w:r>
        <w:rPr>
          <w:rFonts w:hint="eastAsia" w:ascii="Times New Roman" w:hAnsi="Times New Roman" w:eastAsia="宋体" w:cs="Times New Roman"/>
          <w:kern w:val="2"/>
          <w:sz w:val="21"/>
          <w:lang w:val="en-US" w:eastAsia="zh-CN" w:bidi="ar-SA"/>
        </w:rPr>
        <w:fldChar w:fldCharType="separate"/>
      </w:r>
      <w:r>
        <w:rPr>
          <w:rFonts w:hint="eastAsia" w:ascii="Times New Roman" w:hAnsi="Times New Roman" w:eastAsia="宋体" w:cs="Times New Roman"/>
          <w:kern w:val="2"/>
          <w:sz w:val="21"/>
          <w:lang w:val="en-US" w:eastAsia="zh-CN" w:bidi="ar-SA"/>
        </w:rPr>
        <w:t>河北钢铁集团有限公司2010年度第一期中期票据募集说明书</w:t>
      </w:r>
      <w:r>
        <w:rPr>
          <w:rFonts w:hint="eastAsia" w:ascii="Times New Roman" w:hAnsi="Times New Roman" w:eastAsia="宋体" w:cs="Times New Roman"/>
          <w:kern w:val="2"/>
          <w:sz w:val="21"/>
          <w:lang w:val="en-US" w:eastAsia="zh-CN" w:bidi="ar-SA"/>
        </w:rPr>
        <w:fldChar w:fldCharType="end"/>
      </w:r>
      <w:r>
        <w:rPr>
          <w:rFonts w:hint="eastAsia" w:cs="Times New Roman"/>
          <w:kern w:val="2"/>
          <w:sz w:val="21"/>
          <w:lang w:val="en-US" w:eastAsia="zh-CN" w:bidi="ar-SA"/>
        </w:rPr>
        <w:t>：</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"http://www.chinamoney.com.cn/fe/Info/26665245" </w:instrText>
      </w:r>
      <w:r>
        <w:rPr>
          <w:rFonts w:hint="eastAsia"/>
          <w:lang w:val="en-US" w:eastAsia="zh-CN"/>
        </w:rPr>
        <w:fldChar w:fldCharType="separate"/>
      </w:r>
      <w:r>
        <w:rPr>
          <w:rStyle w:val="30"/>
          <w:rFonts w:hint="eastAsia"/>
          <w:lang w:val="en-US" w:eastAsia="zh-CN"/>
        </w:rPr>
        <w:t>http://www.chinamoney.com.cn/fe/Info/26665245</w:t>
      </w:r>
      <w:r>
        <w:rPr>
          <w:rFonts w:hint="eastAsia"/>
          <w:lang w:val="en-US" w:eastAsia="zh-CN"/>
        </w:rPr>
        <w:fldChar w:fldCharType="end"/>
      </w:r>
    </w:p>
    <w:p>
      <w:pPr>
        <w:numPr>
          <w:ilvl w:val="0"/>
          <w:numId w:val="0"/>
        </w:numPr>
        <w:rPr>
          <w:rFonts w:hint="eastAsia"/>
          <w:lang w:val="en-US" w:eastAsia="zh-CN"/>
        </w:rPr>
      </w:pPr>
      <w:r>
        <w:rPr>
          <w:bdr w:val="single" w:sz="4" w:space="0"/>
        </w:rPr>
        <w:drawing>
          <wp:inline distT="0" distB="0" distL="114300" distR="114300">
            <wp:extent cx="4156710" cy="2183765"/>
            <wp:effectExtent l="0" t="0" r="15240" b="698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5"/>
                    <a:stretch>
                      <a:fillRect/>
                    </a:stretch>
                  </pic:blipFill>
                  <pic:spPr>
                    <a:xfrm>
                      <a:off x="0" y="0"/>
                      <a:ext cx="4156710" cy="2183765"/>
                    </a:xfrm>
                    <a:prstGeom prst="rect">
                      <a:avLst/>
                    </a:prstGeom>
                    <a:noFill/>
                    <a:ln w="9525">
                      <a:noFill/>
                    </a:ln>
                  </pic:spPr>
                </pic:pic>
              </a:graphicData>
            </a:graphic>
          </wp:inline>
        </w:drawing>
      </w:r>
    </w:p>
    <w:p>
      <w:pPr>
        <w:numPr>
          <w:ilvl w:val="0"/>
          <w:numId w:val="0"/>
        </w:numPr>
        <w:rPr>
          <w:rFonts w:hint="eastAsia"/>
          <w:lang w:val="en-US" w:eastAsia="zh-CN"/>
        </w:rPr>
      </w:pPr>
      <w:r>
        <w:rPr>
          <w:bdr w:val="single" w:sz="4" w:space="0"/>
        </w:rPr>
        <w:drawing>
          <wp:inline distT="0" distB="0" distL="114300" distR="114300">
            <wp:extent cx="4152265" cy="3790315"/>
            <wp:effectExtent l="0" t="0" r="635" b="6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6"/>
                    <a:stretch>
                      <a:fillRect/>
                    </a:stretch>
                  </pic:blipFill>
                  <pic:spPr>
                    <a:xfrm>
                      <a:off x="0" y="0"/>
                      <a:ext cx="4152265" cy="37903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河北钢铁集团有限公司2010年度第一期中期票据流通要素公告：</w:t>
      </w:r>
      <w:r>
        <w:rPr>
          <w:rFonts w:hint="eastAsia"/>
          <w:lang w:val="en-US" w:eastAsia="zh-CN"/>
        </w:rPr>
        <w:br w:type="textWrapping"/>
      </w:r>
      <w:r>
        <w:rPr>
          <w:rFonts w:hint="eastAsia"/>
          <w:lang w:val="en-US" w:eastAsia="zh-CN"/>
        </w:rPr>
        <w:fldChar w:fldCharType="begin"/>
      </w:r>
      <w:r>
        <w:rPr>
          <w:rFonts w:hint="eastAsia"/>
          <w:lang w:val="en-US" w:eastAsia="zh-CN"/>
        </w:rPr>
        <w:instrText xml:space="preserve"> HYPERLINK "http://www.chinamoney.com.cn/fe/Info/26648766" </w:instrText>
      </w:r>
      <w:r>
        <w:rPr>
          <w:rFonts w:hint="eastAsia"/>
          <w:lang w:val="en-US" w:eastAsia="zh-CN"/>
        </w:rPr>
        <w:fldChar w:fldCharType="separate"/>
      </w:r>
      <w:r>
        <w:rPr>
          <w:rStyle w:val="30"/>
          <w:rFonts w:hint="eastAsia"/>
          <w:lang w:val="en-US" w:eastAsia="zh-CN"/>
        </w:rPr>
        <w:t>http://www.chinamoney.com.cn/fe/Info/26648766</w:t>
      </w:r>
      <w:r>
        <w:rPr>
          <w:rFonts w:hint="eastAsia"/>
          <w:lang w:val="en-US" w:eastAsia="zh-CN"/>
        </w:rPr>
        <w:fldChar w:fldCharType="end"/>
      </w:r>
    </w:p>
    <w:p>
      <w:pPr>
        <w:numPr>
          <w:ilvl w:val="0"/>
          <w:numId w:val="0"/>
        </w:numPr>
        <w:rPr>
          <w:rFonts w:hint="eastAsia"/>
          <w:lang w:val="en-US" w:eastAsia="zh-CN"/>
        </w:rPr>
      </w:pPr>
      <w:r>
        <w:rPr>
          <w:bdr w:val="single" w:sz="4" w:space="0"/>
        </w:rPr>
        <w:drawing>
          <wp:inline distT="0" distB="0" distL="114300" distR="114300">
            <wp:extent cx="5269865" cy="548640"/>
            <wp:effectExtent l="0" t="0" r="6985" b="381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7"/>
                    <a:stretch>
                      <a:fillRect/>
                    </a:stretch>
                  </pic:blipFill>
                  <pic:spPr>
                    <a:xfrm>
                      <a:off x="0" y="0"/>
                      <a:ext cx="5269865" cy="548640"/>
                    </a:xfrm>
                    <a:prstGeom prst="rect">
                      <a:avLst/>
                    </a:prstGeom>
                    <a:noFill/>
                    <a:ln w="9525">
                      <a:noFill/>
                    </a:ln>
                  </pic:spPr>
                </pic:pic>
              </a:graphicData>
            </a:graphic>
          </wp:inline>
        </w:drawing>
      </w:r>
    </w:p>
    <w:p>
      <w:pPr>
        <w:numPr>
          <w:ilvl w:val="0"/>
          <w:numId w:val="0"/>
        </w:numPr>
        <w:rPr>
          <w:bdr w:val="single" w:sz="4" w:space="0"/>
        </w:rPr>
      </w:pPr>
      <w:r>
        <w:rPr>
          <w:bdr w:val="single" w:sz="4" w:space="0"/>
        </w:rPr>
        <w:drawing>
          <wp:inline distT="0" distB="0" distL="114300" distR="114300">
            <wp:extent cx="5111750" cy="2883535"/>
            <wp:effectExtent l="0" t="0" r="12700" b="1206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8"/>
                    <a:stretch>
                      <a:fillRect/>
                    </a:stretch>
                  </pic:blipFill>
                  <pic:spPr>
                    <a:xfrm>
                      <a:off x="0" y="0"/>
                      <a:ext cx="5111750" cy="2883535"/>
                    </a:xfrm>
                    <a:prstGeom prst="rect">
                      <a:avLst/>
                    </a:prstGeom>
                    <a:noFill/>
                    <a:ln w="9525">
                      <a:noFill/>
                    </a:ln>
                  </pic:spPr>
                </pic:pic>
              </a:graphicData>
            </a:graphic>
          </wp:inline>
        </w:drawing>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fldChar w:fldCharType="begin"/>
      </w:r>
      <w:r>
        <w:rPr>
          <w:rFonts w:hint="eastAsia" w:ascii="Times New Roman" w:hAnsi="Times New Roman" w:eastAsia="宋体" w:cs="Times New Roman"/>
          <w:kern w:val="2"/>
          <w:sz w:val="21"/>
          <w:lang w:val="en-US" w:eastAsia="zh-CN" w:bidi="ar-SA"/>
        </w:rPr>
        <w:instrText xml:space="preserve"> HYPERLINK "http://www.chinamoney.com.cn/fe/CMS5_G20306002Resource?info=24968714;res=1462935392571871945868;download=" </w:instrText>
      </w:r>
      <w:r>
        <w:rPr>
          <w:rFonts w:hint="eastAsia" w:ascii="Times New Roman" w:hAnsi="Times New Roman" w:eastAsia="宋体" w:cs="Times New Roman"/>
          <w:kern w:val="2"/>
          <w:sz w:val="21"/>
          <w:lang w:val="en-US" w:eastAsia="zh-CN" w:bidi="ar-SA"/>
        </w:rPr>
        <w:fldChar w:fldCharType="separate"/>
      </w:r>
      <w:r>
        <w:rPr>
          <w:rFonts w:hint="eastAsia" w:ascii="Times New Roman" w:hAnsi="Times New Roman" w:eastAsia="宋体" w:cs="Times New Roman"/>
          <w:kern w:val="2"/>
          <w:sz w:val="21"/>
          <w:lang w:val="en-US" w:eastAsia="zh-CN" w:bidi="ar-SA"/>
        </w:rPr>
        <w:t>河北钢铁集团有限公司2010年度第一期中期票据(品种一)2012年付息公告</w:t>
      </w:r>
      <w:r>
        <w:rPr>
          <w:rFonts w:hint="eastAsia" w:ascii="Times New Roman" w:hAnsi="Times New Roman" w:eastAsia="宋体" w:cs="Times New Roman"/>
          <w:kern w:val="2"/>
          <w:sz w:val="21"/>
          <w:lang w:val="en-US" w:eastAsia="zh-CN" w:bidi="ar-SA"/>
        </w:rPr>
        <w:fldChar w:fldCharType="end"/>
      </w:r>
      <w:r>
        <w:rPr>
          <w:rFonts w:hint="eastAsia" w:ascii="Times New Roman" w:hAnsi="Times New Roman" w:eastAsia="宋体" w:cs="Times New Roman"/>
          <w:kern w:val="2"/>
          <w:sz w:val="21"/>
          <w:lang w:val="en-US" w:eastAsia="zh-CN" w:bidi="ar-SA"/>
        </w:rPr>
        <w:t>：</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"http://www.chinamoney.com.cn/fe/Info/24968714" </w:instrText>
      </w:r>
      <w:r>
        <w:rPr>
          <w:rFonts w:hint="eastAsia"/>
          <w:lang w:val="en-US" w:eastAsia="zh-CN"/>
        </w:rPr>
        <w:fldChar w:fldCharType="separate"/>
      </w:r>
      <w:r>
        <w:rPr>
          <w:rStyle w:val="30"/>
          <w:rFonts w:hint="eastAsia"/>
          <w:lang w:val="en-US" w:eastAsia="zh-CN"/>
        </w:rPr>
        <w:t>http://www.chinamoney.com.cn/fe/Info/24968714</w:t>
      </w:r>
      <w:r>
        <w:rPr>
          <w:rFonts w:hint="eastAsia"/>
          <w:lang w:val="en-US" w:eastAsia="zh-CN"/>
        </w:rPr>
        <w:fldChar w:fldCharType="end"/>
      </w:r>
    </w:p>
    <w:p>
      <w:pPr>
        <w:numPr>
          <w:ilvl w:val="0"/>
          <w:numId w:val="0"/>
        </w:numPr>
        <w:rPr>
          <w:rFonts w:hint="eastAsia"/>
          <w:lang w:val="en-US" w:eastAsia="zh-CN"/>
        </w:rPr>
      </w:pPr>
      <w:r>
        <w:rPr>
          <w:bdr w:val="single" w:sz="4" w:space="0"/>
        </w:rPr>
        <w:drawing>
          <wp:inline distT="0" distB="0" distL="114300" distR="114300">
            <wp:extent cx="5081270" cy="734060"/>
            <wp:effectExtent l="0" t="0" r="5080" b="889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9"/>
                    <a:stretch>
                      <a:fillRect/>
                    </a:stretch>
                  </pic:blipFill>
                  <pic:spPr>
                    <a:xfrm>
                      <a:off x="0" y="0"/>
                      <a:ext cx="5081270" cy="734060"/>
                    </a:xfrm>
                    <a:prstGeom prst="rect">
                      <a:avLst/>
                    </a:prstGeom>
                    <a:noFill/>
                    <a:ln w="9525">
                      <a:noFill/>
                    </a:ln>
                  </pic:spPr>
                </pic:pic>
              </a:graphicData>
            </a:graphic>
          </wp:inline>
        </w:drawing>
      </w:r>
    </w:p>
    <w:p>
      <w:pPr>
        <w:numPr>
          <w:ilvl w:val="0"/>
          <w:numId w:val="0"/>
        </w:numPr>
        <w:rPr>
          <w:rFonts w:hint="eastAsia"/>
          <w:lang w:val="en-US" w:eastAsia="zh-CN"/>
        </w:rPr>
      </w:pPr>
      <w:r>
        <w:rPr>
          <w:bdr w:val="single" w:sz="4" w:space="0"/>
        </w:rPr>
        <w:drawing>
          <wp:inline distT="0" distB="0" distL="114300" distR="114300">
            <wp:extent cx="4729480" cy="3209925"/>
            <wp:effectExtent l="0" t="0" r="13970"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0"/>
                    <a:stretch>
                      <a:fillRect/>
                    </a:stretch>
                  </pic:blipFill>
                  <pic:spPr>
                    <a:xfrm>
                      <a:off x="0" y="0"/>
                      <a:ext cx="4729480" cy="32099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根据募集说明书中能够得到，品种一的基准利率为发行首日和其他各计息年度起息日适用的中国人民银行公布的一年期整存整取定期储蓄存款利率。</w:t>
      </w:r>
      <w:r>
        <w:rPr>
          <w:rFonts w:hint="eastAsia"/>
          <w:color w:val="FF0000"/>
          <w:lang w:val="en-US" w:eastAsia="zh-CN"/>
        </w:rPr>
        <w:t>基准利率</w:t>
      </w:r>
      <w:r>
        <w:rPr>
          <w:rFonts w:hint="eastAsia"/>
          <w:lang w:val="en-US" w:eastAsia="zh-CN"/>
        </w:rPr>
        <w:t>是随着人民银行公布的利率而改变，从而造成债券的票面利率发生改变。我们处理债券流通要素公告中债券的利率只取第一个计息年度。</w:t>
      </w:r>
    </w:p>
    <w:p>
      <w:pPr>
        <w:numPr>
          <w:ilvl w:val="0"/>
          <w:numId w:val="0"/>
        </w:numPr>
        <w:rPr>
          <w:rFonts w:hint="eastAsia"/>
          <w:lang w:val="en-US" w:eastAsia="zh-CN"/>
        </w:rPr>
      </w:pPr>
      <w:r>
        <w:rPr>
          <w:rFonts w:hint="eastAsia"/>
          <w:lang w:val="en-US" w:eastAsia="zh-CN"/>
        </w:rPr>
        <w:t>根据流通要素公告得到的债券利率变动表的数据：</w:t>
      </w:r>
    </w:p>
    <w:p>
      <w:pPr>
        <w:numPr>
          <w:ilvl w:val="0"/>
          <w:numId w:val="0"/>
        </w:num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数据1</w:t>
      </w:r>
    </w:p>
    <w:p>
      <w:pPr>
        <w:numPr>
          <w:ilvl w:val="0"/>
          <w:numId w:val="0"/>
        </w:numPr>
        <w:rPr>
          <w:rFonts w:hint="eastAsia"/>
          <w:lang w:val="en-US" w:eastAsia="zh-CN"/>
        </w:rPr>
      </w:pPr>
      <w:r>
        <w:rPr>
          <w:rFonts w:hint="eastAsia"/>
          <w:color w:val="FF0000"/>
          <w:lang w:val="en-US" w:eastAsia="zh-CN"/>
        </w:rPr>
        <w:t>主内部编码</w:t>
      </w:r>
      <w:r>
        <w:rPr>
          <w:rFonts w:hint="eastAsia"/>
          <w:lang w:val="en-US" w:eastAsia="zh-CN"/>
        </w:rPr>
        <w:t>：自动生成</w:t>
      </w:r>
    </w:p>
    <w:p>
      <w:pPr>
        <w:numPr>
          <w:ilvl w:val="0"/>
          <w:numId w:val="0"/>
        </w:numPr>
        <w:rPr>
          <w:rFonts w:hint="eastAsia" w:ascii="Times New Roman" w:hAnsi="Times New Roman" w:eastAsia="宋体" w:cs="Times New Roman"/>
          <w:kern w:val="2"/>
          <w:sz w:val="21"/>
          <w:lang w:val="en-US" w:eastAsia="zh-CN" w:bidi="ar-SA"/>
        </w:rPr>
      </w:pPr>
      <w:r>
        <w:rPr>
          <w:rFonts w:hint="eastAsia"/>
          <w:color w:val="FF0000"/>
          <w:lang w:val="en-US" w:eastAsia="zh-CN"/>
        </w:rPr>
        <w:t>债券名称</w:t>
      </w:r>
      <w:r>
        <w:rPr>
          <w:rFonts w:hint="eastAsia"/>
          <w:lang w:val="en-US" w:eastAsia="zh-CN"/>
        </w:rPr>
        <w:t>：</w:t>
      </w:r>
      <w:r>
        <w:rPr>
          <w:rFonts w:hint="eastAsia" w:ascii="Times New Roman" w:hAnsi="Times New Roman" w:eastAsia="宋体" w:cs="Times New Roman"/>
          <w:kern w:val="2"/>
          <w:sz w:val="21"/>
          <w:lang w:val="en-US" w:eastAsia="zh-CN" w:bidi="ar-SA"/>
        </w:rPr>
        <w:t>河北钢铁集团有限公司2010年度第一期中期票据(品种一)</w:t>
      </w:r>
    </w:p>
    <w:p>
      <w:pPr>
        <w:numPr>
          <w:ilvl w:val="0"/>
          <w:numId w:val="0"/>
        </w:numPr>
        <w:rPr>
          <w:rFonts w:hint="eastAsia"/>
          <w:lang w:val="en-US" w:eastAsia="zh-CN"/>
        </w:rPr>
      </w:pPr>
      <w:r>
        <w:rPr>
          <w:rFonts w:hint="eastAsia"/>
          <w:color w:val="FF0000"/>
          <w:lang w:val="en-US" w:eastAsia="zh-CN"/>
        </w:rPr>
        <w:t>公告日期</w:t>
      </w:r>
      <w:r>
        <w:rPr>
          <w:rFonts w:hint="eastAsia"/>
          <w:lang w:val="en-US" w:eastAsia="zh-CN"/>
        </w:rPr>
        <w:t>：20100914</w:t>
      </w:r>
    </w:p>
    <w:p>
      <w:pPr>
        <w:numPr>
          <w:ilvl w:val="0"/>
          <w:numId w:val="0"/>
        </w:numPr>
        <w:rPr>
          <w:rFonts w:hint="eastAsia"/>
          <w:lang w:val="en-US" w:eastAsia="zh-CN"/>
        </w:rPr>
      </w:pPr>
      <w:r>
        <w:rPr>
          <w:rFonts w:hint="eastAsia"/>
          <w:color w:val="FF0000"/>
          <w:lang w:val="en-US" w:eastAsia="zh-CN"/>
        </w:rPr>
        <w:t>利率变动类型</w:t>
      </w:r>
      <w:r>
        <w:rPr>
          <w:rFonts w:hint="eastAsia"/>
          <w:lang w:val="en-US" w:eastAsia="zh-CN"/>
        </w:rPr>
        <w:t>：浮动利率</w:t>
      </w:r>
    </w:p>
    <w:p>
      <w:pPr>
        <w:numPr>
          <w:ilvl w:val="0"/>
          <w:numId w:val="0"/>
        </w:numPr>
        <w:rPr>
          <w:rFonts w:hint="eastAsia"/>
          <w:lang w:val="en-US" w:eastAsia="zh-CN"/>
        </w:rPr>
      </w:pPr>
      <w:r>
        <w:rPr>
          <w:rFonts w:hint="eastAsia"/>
          <w:color w:val="FF0000"/>
          <w:lang w:val="en-US" w:eastAsia="zh-CN"/>
        </w:rPr>
        <w:t>债券利率起始日期</w:t>
      </w:r>
      <w:r>
        <w:rPr>
          <w:rFonts w:hint="eastAsia"/>
          <w:lang w:val="en-US" w:eastAsia="zh-CN"/>
        </w:rPr>
        <w:t>：20100914</w:t>
      </w:r>
    </w:p>
    <w:p>
      <w:pPr>
        <w:numPr>
          <w:ilvl w:val="0"/>
          <w:numId w:val="0"/>
        </w:numPr>
        <w:rPr>
          <w:rFonts w:hint="eastAsia"/>
          <w:lang w:val="en-US" w:eastAsia="zh-CN"/>
        </w:rPr>
      </w:pPr>
      <w:r>
        <w:rPr>
          <w:rFonts w:hint="eastAsia"/>
          <w:color w:val="FF0000"/>
          <w:lang w:val="en-US" w:eastAsia="zh-CN"/>
        </w:rPr>
        <w:t>债券利率终止日期</w:t>
      </w:r>
      <w:r>
        <w:rPr>
          <w:rFonts w:hint="eastAsia"/>
          <w:lang w:val="en-US" w:eastAsia="zh-CN"/>
        </w:rPr>
        <w:t>：20110913</w:t>
      </w:r>
    </w:p>
    <w:p>
      <w:pPr>
        <w:numPr>
          <w:ilvl w:val="0"/>
          <w:numId w:val="0"/>
        </w:numPr>
        <w:rPr>
          <w:rFonts w:hint="eastAsia"/>
          <w:lang w:val="en-US" w:eastAsia="zh-CN"/>
        </w:rPr>
      </w:pPr>
      <w:r>
        <w:rPr>
          <w:rFonts w:hint="eastAsia"/>
          <w:color w:val="FF0000"/>
          <w:lang w:val="en-US" w:eastAsia="zh-CN"/>
        </w:rPr>
        <w:t>计息周期起始日期</w:t>
      </w:r>
      <w:r>
        <w:rPr>
          <w:rFonts w:hint="eastAsia"/>
          <w:lang w:val="en-US" w:eastAsia="zh-CN"/>
        </w:rPr>
        <w:t xml:space="preserve">：20100914  </w:t>
      </w:r>
      <w:r>
        <w:rPr>
          <w:rFonts w:hint="eastAsia"/>
          <w:color w:val="FF0000"/>
          <w:lang w:val="en-US" w:eastAsia="zh-CN"/>
        </w:rPr>
        <w:t>业务规则</w:t>
      </w:r>
      <w:r>
        <w:rPr>
          <w:rFonts w:hint="eastAsia"/>
          <w:lang w:val="en-US" w:eastAsia="zh-CN"/>
        </w:rPr>
        <w:t>：发行时候的浮动利率对第一个计息周期是有效的。</w:t>
      </w:r>
    </w:p>
    <w:p>
      <w:pPr>
        <w:numPr>
          <w:ilvl w:val="0"/>
          <w:numId w:val="0"/>
        </w:numPr>
        <w:rPr>
          <w:rFonts w:hint="eastAsia"/>
          <w:lang w:val="en-US" w:eastAsia="zh-CN"/>
        </w:rPr>
      </w:pPr>
      <w:r>
        <w:rPr>
          <w:rFonts w:hint="eastAsia"/>
          <w:color w:val="FF0000"/>
          <w:lang w:val="en-US" w:eastAsia="zh-CN"/>
        </w:rPr>
        <w:t>计息周期终止日期</w:t>
      </w:r>
      <w:r>
        <w:rPr>
          <w:rFonts w:hint="eastAsia"/>
          <w:lang w:val="en-US" w:eastAsia="zh-CN"/>
        </w:rPr>
        <w:t>：20110913</w:t>
      </w:r>
    </w:p>
    <w:p>
      <w:pPr>
        <w:numPr>
          <w:ilvl w:val="0"/>
          <w:numId w:val="0"/>
        </w:numPr>
        <w:rPr>
          <w:rFonts w:hint="eastAsia"/>
          <w:lang w:val="en-US" w:eastAsia="zh-CN"/>
        </w:rPr>
      </w:pPr>
      <w:r>
        <w:rPr>
          <w:rFonts w:hint="eastAsia"/>
          <w:color w:val="FF0000"/>
          <w:lang w:val="en-US" w:eastAsia="zh-CN"/>
        </w:rPr>
        <w:t>债券利率</w:t>
      </w:r>
      <w:r>
        <w:rPr>
          <w:rFonts w:hint="eastAsia"/>
          <w:lang w:val="en-US" w:eastAsia="zh-CN"/>
        </w:rPr>
        <w:t>：3.65%</w:t>
      </w:r>
    </w:p>
    <w:p>
      <w:pPr>
        <w:numPr>
          <w:ilvl w:val="0"/>
          <w:numId w:val="0"/>
        </w:numPr>
        <w:rPr>
          <w:rFonts w:hint="eastAsia"/>
          <w:lang w:val="en-US" w:eastAsia="zh-CN"/>
        </w:rPr>
      </w:pPr>
      <w:r>
        <w:rPr>
          <w:rFonts w:hint="eastAsia"/>
          <w:color w:val="FF0000"/>
          <w:lang w:val="en-US" w:eastAsia="zh-CN"/>
        </w:rPr>
        <w:t>是否有效</w:t>
      </w:r>
      <w:r>
        <w:rPr>
          <w:rFonts w:hint="eastAsia"/>
          <w:lang w:val="en-US" w:eastAsia="zh-CN"/>
        </w:rPr>
        <w:t>：是</w:t>
      </w:r>
    </w:p>
    <w:p>
      <w:pPr>
        <w:numPr>
          <w:ilvl w:val="0"/>
          <w:numId w:val="0"/>
        </w:numPr>
        <w:rPr>
          <w:rFonts w:hint="eastAsia"/>
          <w:lang w:val="en-US" w:eastAsia="zh-CN"/>
        </w:rPr>
      </w:pPr>
      <w:r>
        <w:rPr>
          <w:rFonts w:hint="eastAsia"/>
          <w:color w:val="FF0000"/>
          <w:lang w:val="en-US" w:eastAsia="zh-CN"/>
        </w:rPr>
        <w:t>备注</w:t>
      </w:r>
      <w:r>
        <w:rPr>
          <w:rFonts w:hint="eastAsia"/>
          <w:lang w:val="en-US" w:eastAsia="zh-CN"/>
        </w:rPr>
        <w:t>：空</w:t>
      </w:r>
    </w:p>
    <w:p>
      <w:pPr>
        <w:numPr>
          <w:ilvl w:val="0"/>
          <w:numId w:val="0"/>
        </w:num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数据2</w:t>
      </w:r>
    </w:p>
    <w:p>
      <w:pPr>
        <w:numPr>
          <w:ilvl w:val="0"/>
          <w:numId w:val="0"/>
        </w:numPr>
        <w:rPr>
          <w:rFonts w:hint="eastAsia"/>
          <w:lang w:val="en-US" w:eastAsia="zh-CN"/>
        </w:rPr>
      </w:pPr>
      <w:r>
        <w:rPr>
          <w:rFonts w:hint="eastAsia"/>
          <w:color w:val="FF0000"/>
          <w:lang w:val="en-US" w:eastAsia="zh-CN"/>
        </w:rPr>
        <w:t>主内部编码</w:t>
      </w:r>
      <w:r>
        <w:rPr>
          <w:rFonts w:hint="eastAsia"/>
          <w:lang w:val="en-US" w:eastAsia="zh-CN"/>
        </w:rPr>
        <w:t>：自动生成</w:t>
      </w:r>
    </w:p>
    <w:p>
      <w:pPr>
        <w:numPr>
          <w:ilvl w:val="0"/>
          <w:numId w:val="0"/>
        </w:numPr>
        <w:rPr>
          <w:rFonts w:hint="eastAsia" w:ascii="Times New Roman" w:hAnsi="Times New Roman" w:eastAsia="宋体" w:cs="Times New Roman"/>
          <w:kern w:val="2"/>
          <w:sz w:val="21"/>
          <w:lang w:val="en-US" w:eastAsia="zh-CN" w:bidi="ar-SA"/>
        </w:rPr>
      </w:pPr>
      <w:r>
        <w:rPr>
          <w:rFonts w:hint="eastAsia"/>
          <w:color w:val="FF0000"/>
          <w:lang w:val="en-US" w:eastAsia="zh-CN"/>
        </w:rPr>
        <w:t>债券名称</w:t>
      </w:r>
      <w:r>
        <w:rPr>
          <w:rFonts w:hint="eastAsia"/>
          <w:lang w:val="en-US" w:eastAsia="zh-CN"/>
        </w:rPr>
        <w:t>：</w:t>
      </w:r>
      <w:r>
        <w:rPr>
          <w:rFonts w:hint="eastAsia" w:ascii="Times New Roman" w:hAnsi="Times New Roman" w:eastAsia="宋体" w:cs="Times New Roman"/>
          <w:kern w:val="2"/>
          <w:sz w:val="21"/>
          <w:lang w:val="en-US" w:eastAsia="zh-CN" w:bidi="ar-SA"/>
        </w:rPr>
        <w:t>河北钢铁集团有限公司2010年度第一期中期票据(品种一)</w:t>
      </w:r>
    </w:p>
    <w:p>
      <w:pPr>
        <w:numPr>
          <w:ilvl w:val="0"/>
          <w:numId w:val="0"/>
        </w:numPr>
        <w:rPr>
          <w:rFonts w:hint="eastAsia"/>
          <w:lang w:val="en-US" w:eastAsia="zh-CN"/>
        </w:rPr>
      </w:pPr>
      <w:r>
        <w:rPr>
          <w:rFonts w:hint="eastAsia"/>
          <w:color w:val="FF0000"/>
          <w:lang w:val="en-US" w:eastAsia="zh-CN"/>
        </w:rPr>
        <w:t>公告日期</w:t>
      </w:r>
      <w:r>
        <w:rPr>
          <w:rFonts w:hint="eastAsia"/>
          <w:lang w:val="en-US" w:eastAsia="zh-CN"/>
        </w:rPr>
        <w:t>：20100914</w:t>
      </w:r>
    </w:p>
    <w:p>
      <w:pPr>
        <w:numPr>
          <w:ilvl w:val="0"/>
          <w:numId w:val="0"/>
        </w:numPr>
        <w:rPr>
          <w:rFonts w:hint="eastAsia"/>
          <w:lang w:val="en-US" w:eastAsia="zh-CN"/>
        </w:rPr>
      </w:pPr>
      <w:r>
        <w:rPr>
          <w:rFonts w:hint="eastAsia"/>
          <w:color w:val="FF0000"/>
          <w:lang w:val="en-US" w:eastAsia="zh-CN"/>
        </w:rPr>
        <w:t>利率变动类型</w:t>
      </w:r>
      <w:r>
        <w:rPr>
          <w:rFonts w:hint="eastAsia"/>
          <w:lang w:val="en-US" w:eastAsia="zh-CN"/>
        </w:rPr>
        <w:t>：浮动利率</w:t>
      </w:r>
    </w:p>
    <w:p>
      <w:pPr>
        <w:numPr>
          <w:ilvl w:val="0"/>
          <w:numId w:val="0"/>
        </w:numPr>
        <w:rPr>
          <w:rFonts w:hint="eastAsia"/>
          <w:lang w:val="en-US" w:eastAsia="zh-CN"/>
        </w:rPr>
      </w:pPr>
      <w:r>
        <w:rPr>
          <w:rFonts w:hint="eastAsia"/>
          <w:color w:val="FF0000"/>
          <w:lang w:val="en-US" w:eastAsia="zh-CN"/>
        </w:rPr>
        <w:t>债券利率起始日期</w:t>
      </w:r>
      <w:r>
        <w:rPr>
          <w:rFonts w:hint="eastAsia"/>
          <w:lang w:val="en-US" w:eastAsia="zh-CN"/>
        </w:rPr>
        <w:t>：20110914</w:t>
      </w:r>
    </w:p>
    <w:p>
      <w:pPr>
        <w:numPr>
          <w:ilvl w:val="0"/>
          <w:numId w:val="0"/>
        </w:numPr>
        <w:rPr>
          <w:rFonts w:hint="eastAsia"/>
          <w:lang w:val="en-US" w:eastAsia="zh-CN"/>
        </w:rPr>
      </w:pPr>
      <w:r>
        <w:rPr>
          <w:rFonts w:hint="eastAsia"/>
          <w:color w:val="FF0000"/>
          <w:lang w:val="en-US" w:eastAsia="zh-CN"/>
        </w:rPr>
        <w:t>债券利率终止日期</w:t>
      </w:r>
      <w:r>
        <w:rPr>
          <w:rFonts w:hint="eastAsia"/>
          <w:lang w:val="en-US" w:eastAsia="zh-CN"/>
        </w:rPr>
        <w:t>：20120913</w:t>
      </w:r>
    </w:p>
    <w:p>
      <w:pPr>
        <w:numPr>
          <w:ilvl w:val="0"/>
          <w:numId w:val="0"/>
        </w:numPr>
        <w:rPr>
          <w:rFonts w:hint="eastAsia"/>
          <w:lang w:val="en-US" w:eastAsia="zh-CN"/>
        </w:rPr>
      </w:pPr>
      <w:r>
        <w:rPr>
          <w:rFonts w:hint="eastAsia"/>
          <w:color w:val="FF0000"/>
          <w:lang w:val="en-US" w:eastAsia="zh-CN"/>
        </w:rPr>
        <w:t>计息周期起始日期</w:t>
      </w:r>
      <w:r>
        <w:rPr>
          <w:rFonts w:hint="eastAsia"/>
          <w:lang w:val="en-US" w:eastAsia="zh-CN"/>
        </w:rPr>
        <w:t xml:space="preserve">：20110914  </w:t>
      </w:r>
      <w:r>
        <w:rPr>
          <w:rFonts w:hint="eastAsia"/>
          <w:color w:val="FF0000"/>
          <w:lang w:val="en-US" w:eastAsia="zh-CN"/>
        </w:rPr>
        <w:t>业务规则</w:t>
      </w:r>
      <w:r>
        <w:rPr>
          <w:rFonts w:hint="eastAsia"/>
          <w:lang w:val="en-US" w:eastAsia="zh-CN"/>
        </w:rPr>
        <w:t>：发行时候的浮动利率对第二个计息周期是无效的。</w:t>
      </w:r>
    </w:p>
    <w:p>
      <w:pPr>
        <w:numPr>
          <w:ilvl w:val="0"/>
          <w:numId w:val="0"/>
        </w:numPr>
        <w:rPr>
          <w:rFonts w:hint="eastAsia"/>
          <w:lang w:val="en-US" w:eastAsia="zh-CN"/>
        </w:rPr>
      </w:pPr>
      <w:r>
        <w:rPr>
          <w:rFonts w:hint="eastAsia"/>
          <w:color w:val="FF0000"/>
          <w:lang w:val="en-US" w:eastAsia="zh-CN"/>
        </w:rPr>
        <w:t>计息周期终止日期</w:t>
      </w:r>
      <w:r>
        <w:rPr>
          <w:rFonts w:hint="eastAsia"/>
          <w:lang w:val="en-US" w:eastAsia="zh-CN"/>
        </w:rPr>
        <w:t>：20120913</w:t>
      </w:r>
    </w:p>
    <w:p>
      <w:pPr>
        <w:numPr>
          <w:ilvl w:val="0"/>
          <w:numId w:val="0"/>
        </w:numPr>
        <w:rPr>
          <w:rFonts w:hint="eastAsia"/>
          <w:lang w:val="en-US" w:eastAsia="zh-CN"/>
        </w:rPr>
      </w:pPr>
      <w:r>
        <w:rPr>
          <w:rFonts w:hint="eastAsia"/>
          <w:color w:val="FF0000"/>
          <w:lang w:val="en-US" w:eastAsia="zh-CN"/>
        </w:rPr>
        <w:t>债券利率</w:t>
      </w:r>
      <w:r>
        <w:rPr>
          <w:rFonts w:hint="eastAsia"/>
          <w:lang w:val="en-US" w:eastAsia="zh-CN"/>
        </w:rPr>
        <w:t>：3.65%</w:t>
      </w:r>
    </w:p>
    <w:p>
      <w:pPr>
        <w:numPr>
          <w:ilvl w:val="0"/>
          <w:numId w:val="0"/>
        </w:numPr>
        <w:rPr>
          <w:rFonts w:hint="eastAsia"/>
          <w:lang w:val="en-US" w:eastAsia="zh-CN"/>
        </w:rPr>
      </w:pPr>
      <w:r>
        <w:rPr>
          <w:rFonts w:hint="eastAsia"/>
          <w:color w:val="FF0000"/>
          <w:lang w:val="en-US" w:eastAsia="zh-CN"/>
        </w:rPr>
        <w:t>是否有效</w:t>
      </w:r>
      <w:r>
        <w:rPr>
          <w:rFonts w:hint="eastAsia"/>
          <w:lang w:val="en-US" w:eastAsia="zh-CN"/>
        </w:rPr>
        <w:t>：否</w:t>
      </w:r>
    </w:p>
    <w:p>
      <w:pPr>
        <w:numPr>
          <w:ilvl w:val="0"/>
          <w:numId w:val="0"/>
        </w:numPr>
        <w:rPr>
          <w:rFonts w:hint="eastAsia"/>
          <w:lang w:val="en-US" w:eastAsia="zh-CN"/>
        </w:rPr>
      </w:pPr>
      <w:r>
        <w:rPr>
          <w:rFonts w:hint="eastAsia"/>
          <w:color w:val="FF0000"/>
          <w:lang w:val="en-US" w:eastAsia="zh-CN"/>
        </w:rPr>
        <w:t>备注</w:t>
      </w:r>
      <w:r>
        <w:rPr>
          <w:rFonts w:hint="eastAsia"/>
          <w:lang w:val="en-US" w:eastAsia="zh-CN"/>
        </w:rPr>
        <w:t>：空</w:t>
      </w:r>
    </w:p>
    <w:p>
      <w:pPr>
        <w:numPr>
          <w:ilvl w:val="0"/>
          <w:numId w:val="0"/>
        </w:numPr>
        <w:rPr>
          <w:rFonts w:hint="eastAsia"/>
          <w:b/>
          <w:bCs/>
          <w:lang w:val="en-US" w:eastAsia="zh-CN"/>
        </w:rPr>
      </w:pPr>
      <w:r>
        <w:rPr>
          <w:rFonts w:hint="eastAsia"/>
          <w:b/>
          <w:bCs/>
          <w:sz w:val="21"/>
          <w:szCs w:val="21"/>
          <w:lang w:val="en-US" w:eastAsia="zh-CN"/>
        </w:rPr>
        <w:t>备注：本例中</w:t>
      </w:r>
      <w:r>
        <w:rPr>
          <w:rFonts w:hint="eastAsia" w:ascii="Times New Roman" w:hAnsi="Times New Roman" w:eastAsia="宋体" w:cs="Times New Roman"/>
          <w:b/>
          <w:bCs/>
          <w:kern w:val="2"/>
          <w:sz w:val="21"/>
          <w:lang w:val="en-US" w:eastAsia="zh-CN" w:bidi="ar-SA"/>
        </w:rPr>
        <w:t>河北钢铁集团有限公司2010年度第一期中期票据(品种一)</w:t>
      </w:r>
      <w:r>
        <w:rPr>
          <w:rFonts w:hint="eastAsia" w:cs="Times New Roman"/>
          <w:b/>
          <w:bCs/>
          <w:kern w:val="2"/>
          <w:sz w:val="21"/>
          <w:lang w:val="en-US" w:eastAsia="zh-CN" w:bidi="ar-SA"/>
        </w:rPr>
        <w:t>是7年期债券，付息方式是按年付息，所以有7个计息周期，债券利率变动表相应会有7条记录。流通上市公告中票面利率对于第一个计息周期是有效的，对于后面6个计息周期是无效的。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根据</w:t>
      </w:r>
      <w:r>
        <w:rPr>
          <w:rFonts w:hint="eastAsia" w:ascii="Times New Roman" w:hAnsi="Times New Roman" w:eastAsia="宋体" w:cs="Times New Roman"/>
          <w:kern w:val="2"/>
          <w:sz w:val="21"/>
          <w:lang w:val="en-US" w:eastAsia="zh-CN" w:bidi="ar-SA"/>
        </w:rPr>
        <w:t>2012年付息公告</w:t>
      </w:r>
      <w:r>
        <w:rPr>
          <w:rFonts w:hint="eastAsia" w:cs="Times New Roman"/>
          <w:kern w:val="2"/>
          <w:sz w:val="21"/>
          <w:lang w:val="en-US" w:eastAsia="zh-CN" w:bidi="ar-SA"/>
        </w:rPr>
        <w:t>中可以得出债券的利率变动表中的数据为：</w:t>
      </w:r>
    </w:p>
    <w:p>
      <w:pPr>
        <w:numPr>
          <w:ilvl w:val="0"/>
          <w:numId w:val="0"/>
        </w:numPr>
        <w:rPr>
          <w:rFonts w:hint="eastAsia"/>
          <w:lang w:val="en-US" w:eastAsia="zh-CN"/>
        </w:rPr>
      </w:pPr>
      <w:r>
        <w:rPr>
          <w:rFonts w:hint="eastAsia"/>
          <w:color w:val="FF0000"/>
          <w:lang w:val="en-US" w:eastAsia="zh-CN"/>
        </w:rPr>
        <w:t>主内部编码</w:t>
      </w:r>
      <w:r>
        <w:rPr>
          <w:rFonts w:hint="eastAsia"/>
          <w:lang w:val="en-US" w:eastAsia="zh-CN"/>
        </w:rPr>
        <w:t>：自动生成</w:t>
      </w:r>
    </w:p>
    <w:p>
      <w:pPr>
        <w:numPr>
          <w:ilvl w:val="0"/>
          <w:numId w:val="0"/>
        </w:numPr>
        <w:rPr>
          <w:rFonts w:hint="eastAsia"/>
          <w:lang w:val="en-US" w:eastAsia="zh-CN"/>
        </w:rPr>
      </w:pPr>
      <w:r>
        <w:rPr>
          <w:rFonts w:hint="eastAsia"/>
          <w:color w:val="FF0000"/>
          <w:lang w:val="en-US" w:eastAsia="zh-CN"/>
        </w:rPr>
        <w:t>债券名称</w:t>
      </w:r>
      <w:r>
        <w:rPr>
          <w:rFonts w:hint="eastAsia"/>
          <w:lang w:val="en-US" w:eastAsia="zh-CN"/>
        </w:rPr>
        <w:t>：</w:t>
      </w:r>
      <w:r>
        <w:rPr>
          <w:rFonts w:hint="eastAsia" w:ascii="Times New Roman" w:hAnsi="Times New Roman" w:eastAsia="宋体" w:cs="Times New Roman"/>
          <w:kern w:val="2"/>
          <w:sz w:val="21"/>
          <w:lang w:val="en-US" w:eastAsia="zh-CN" w:bidi="ar-SA"/>
        </w:rPr>
        <w:t>河北钢铁集团有限公司2010年度第一期中期票据(品种一)</w:t>
      </w:r>
    </w:p>
    <w:p>
      <w:pPr>
        <w:numPr>
          <w:ilvl w:val="0"/>
          <w:numId w:val="0"/>
        </w:numPr>
        <w:rPr>
          <w:rFonts w:hint="eastAsia"/>
          <w:lang w:val="en-US" w:eastAsia="zh-CN"/>
        </w:rPr>
      </w:pPr>
      <w:r>
        <w:rPr>
          <w:rFonts w:hint="eastAsia"/>
          <w:color w:val="FF0000"/>
          <w:lang w:val="en-US" w:eastAsia="zh-CN"/>
        </w:rPr>
        <w:t>公告日期</w:t>
      </w:r>
      <w:r>
        <w:rPr>
          <w:rFonts w:hint="eastAsia"/>
          <w:lang w:val="en-US" w:eastAsia="zh-CN"/>
        </w:rPr>
        <w:t>：20120907</w:t>
      </w:r>
    </w:p>
    <w:p>
      <w:pPr>
        <w:numPr>
          <w:ilvl w:val="0"/>
          <w:numId w:val="0"/>
        </w:numPr>
        <w:rPr>
          <w:rFonts w:hint="eastAsia"/>
          <w:lang w:val="en-US" w:eastAsia="zh-CN"/>
        </w:rPr>
      </w:pPr>
      <w:r>
        <w:rPr>
          <w:rFonts w:hint="eastAsia"/>
          <w:color w:val="FF0000"/>
          <w:lang w:val="en-US" w:eastAsia="zh-CN"/>
        </w:rPr>
        <w:t>利率变动类型</w:t>
      </w:r>
      <w:r>
        <w:rPr>
          <w:rFonts w:hint="eastAsia"/>
          <w:lang w:val="en-US" w:eastAsia="zh-CN"/>
        </w:rPr>
        <w:t>：浮动利率</w:t>
      </w:r>
    </w:p>
    <w:p>
      <w:pPr>
        <w:numPr>
          <w:ilvl w:val="0"/>
          <w:numId w:val="0"/>
        </w:numPr>
        <w:rPr>
          <w:rFonts w:hint="eastAsia"/>
          <w:lang w:val="en-US" w:eastAsia="zh-CN"/>
        </w:rPr>
      </w:pPr>
      <w:r>
        <w:rPr>
          <w:rFonts w:hint="eastAsia"/>
          <w:color w:val="FF0000"/>
          <w:lang w:val="en-US" w:eastAsia="zh-CN"/>
        </w:rPr>
        <w:t>债券利率起始日期</w:t>
      </w:r>
      <w:r>
        <w:rPr>
          <w:rFonts w:hint="eastAsia"/>
          <w:lang w:val="en-US" w:eastAsia="zh-CN"/>
        </w:rPr>
        <w:t>：20110914</w:t>
      </w:r>
    </w:p>
    <w:p>
      <w:pPr>
        <w:numPr>
          <w:ilvl w:val="0"/>
          <w:numId w:val="0"/>
        </w:numPr>
        <w:rPr>
          <w:rFonts w:hint="eastAsia"/>
          <w:lang w:val="en-US" w:eastAsia="zh-CN"/>
        </w:rPr>
      </w:pPr>
      <w:r>
        <w:rPr>
          <w:rFonts w:hint="eastAsia"/>
          <w:color w:val="FF0000"/>
          <w:lang w:val="en-US" w:eastAsia="zh-CN"/>
        </w:rPr>
        <w:t>债券利率终止日期</w:t>
      </w:r>
      <w:r>
        <w:rPr>
          <w:rFonts w:hint="eastAsia"/>
          <w:lang w:val="en-US" w:eastAsia="zh-CN"/>
        </w:rPr>
        <w:t>：20120913</w:t>
      </w:r>
    </w:p>
    <w:p>
      <w:pPr>
        <w:numPr>
          <w:ilvl w:val="0"/>
          <w:numId w:val="0"/>
        </w:numPr>
        <w:rPr>
          <w:rFonts w:hint="eastAsia"/>
          <w:lang w:val="en-US" w:eastAsia="zh-CN"/>
        </w:rPr>
      </w:pPr>
      <w:r>
        <w:rPr>
          <w:rFonts w:hint="eastAsia"/>
          <w:color w:val="FF0000"/>
          <w:lang w:val="en-US" w:eastAsia="zh-CN"/>
        </w:rPr>
        <w:t>计息周期起始日期</w:t>
      </w:r>
      <w:r>
        <w:rPr>
          <w:rFonts w:hint="eastAsia"/>
          <w:lang w:val="en-US" w:eastAsia="zh-CN"/>
        </w:rPr>
        <w:t>：20110914  业务规则：计息周期内（除第一计息周期）债券利率的变动情况根据债券的付息兑付公告中获得，此时的债券利率是有效的。</w:t>
      </w:r>
    </w:p>
    <w:p>
      <w:pPr>
        <w:numPr>
          <w:ilvl w:val="0"/>
          <w:numId w:val="0"/>
        </w:numPr>
        <w:rPr>
          <w:rFonts w:hint="eastAsia"/>
          <w:lang w:val="en-US" w:eastAsia="zh-CN"/>
        </w:rPr>
      </w:pPr>
      <w:r>
        <w:rPr>
          <w:rFonts w:hint="eastAsia"/>
          <w:color w:val="FF0000"/>
          <w:lang w:val="en-US" w:eastAsia="zh-CN"/>
        </w:rPr>
        <w:t>计息周期终止日期</w:t>
      </w:r>
      <w:r>
        <w:rPr>
          <w:rFonts w:hint="eastAsia"/>
          <w:lang w:val="en-US" w:eastAsia="zh-CN"/>
        </w:rPr>
        <w:t>：20120913</w:t>
      </w:r>
    </w:p>
    <w:p>
      <w:pPr>
        <w:numPr>
          <w:ilvl w:val="0"/>
          <w:numId w:val="0"/>
        </w:numPr>
        <w:rPr>
          <w:rFonts w:hint="eastAsia"/>
          <w:lang w:val="en-US" w:eastAsia="zh-CN"/>
        </w:rPr>
      </w:pPr>
      <w:r>
        <w:rPr>
          <w:rFonts w:hint="eastAsia"/>
          <w:color w:val="FF0000"/>
          <w:lang w:val="en-US" w:eastAsia="zh-CN"/>
        </w:rPr>
        <w:t>债券利率</w:t>
      </w:r>
      <w:r>
        <w:rPr>
          <w:rFonts w:hint="eastAsia"/>
          <w:lang w:val="en-US" w:eastAsia="zh-CN"/>
        </w:rPr>
        <w:t>：4.9%</w:t>
      </w:r>
    </w:p>
    <w:p>
      <w:pPr>
        <w:numPr>
          <w:ilvl w:val="0"/>
          <w:numId w:val="0"/>
        </w:numPr>
        <w:rPr>
          <w:rFonts w:hint="eastAsia"/>
          <w:lang w:val="en-US" w:eastAsia="zh-CN"/>
        </w:rPr>
      </w:pPr>
      <w:r>
        <w:rPr>
          <w:rFonts w:hint="eastAsia"/>
          <w:color w:val="FF0000"/>
          <w:lang w:val="en-US" w:eastAsia="zh-CN"/>
        </w:rPr>
        <w:t>是否有效</w:t>
      </w:r>
      <w:r>
        <w:rPr>
          <w:rFonts w:hint="eastAsia"/>
          <w:lang w:val="en-US" w:eastAsia="zh-CN"/>
        </w:rPr>
        <w:t>：是</w:t>
      </w:r>
    </w:p>
    <w:p>
      <w:pPr>
        <w:numPr>
          <w:ilvl w:val="0"/>
          <w:numId w:val="0"/>
        </w:numPr>
        <w:rPr>
          <w:rFonts w:hint="eastAsia"/>
          <w:lang w:val="en-US" w:eastAsia="zh-CN"/>
        </w:rPr>
      </w:pPr>
      <w:r>
        <w:rPr>
          <w:rFonts w:hint="eastAsia"/>
          <w:color w:val="FF0000"/>
          <w:lang w:val="en-US" w:eastAsia="zh-CN"/>
        </w:rPr>
        <w:t>备注</w:t>
      </w:r>
      <w:r>
        <w:rPr>
          <w:rFonts w:hint="eastAsia"/>
          <w:lang w:val="en-US" w:eastAsia="zh-CN"/>
        </w:rPr>
        <w:t>：空</w:t>
      </w:r>
    </w:p>
    <w:p>
      <w:pPr>
        <w:numPr>
          <w:ilvl w:val="0"/>
          <w:numId w:val="0"/>
        </w:numPr>
        <w:rPr>
          <w:rFonts w:hint="eastAsia"/>
          <w:b/>
          <w:bCs/>
          <w:lang w:val="en-US" w:eastAsia="zh-CN"/>
        </w:rPr>
      </w:pPr>
      <w:r>
        <w:rPr>
          <w:rFonts w:hint="eastAsia"/>
          <w:b/>
          <w:bCs/>
          <w:lang w:val="en-US" w:eastAsia="zh-CN"/>
        </w:rPr>
        <w:t>备注：针对浮动利率的情况，计息周期内（除第一个计息周期）的票面利率有效的数据主要从债券的付息兑付公告中寻找。</w:t>
      </w:r>
    </w:p>
    <w:p>
      <w:pPr>
        <w:numPr>
          <w:ilvl w:val="0"/>
          <w:numId w:val="0"/>
        </w:numPr>
        <w:rPr>
          <w:rFonts w:hint="eastAsia"/>
          <w:lang w:val="en-US" w:eastAsia="zh-CN"/>
        </w:rPr>
      </w:pPr>
    </w:p>
    <w:p>
      <w:pPr>
        <w:numPr>
          <w:ilvl w:val="0"/>
          <w:numId w:val="4"/>
        </w:numPr>
        <w:rPr>
          <w:rFonts w:hint="eastAsia"/>
          <w:b/>
          <w:bCs/>
          <w:lang w:val="en-US" w:eastAsia="zh-CN"/>
        </w:rPr>
      </w:pPr>
      <w:r>
        <w:rPr>
          <w:rFonts w:hint="eastAsia"/>
          <w:b/>
          <w:bCs/>
          <w:lang w:val="en-US" w:eastAsia="zh-CN"/>
        </w:rPr>
        <w:t>特殊条款调整利率处理规则</w:t>
      </w:r>
    </w:p>
    <w:p>
      <w:pPr>
        <w:numPr>
          <w:ilvl w:val="0"/>
          <w:numId w:val="0"/>
        </w:numPr>
        <w:rPr>
          <w:rFonts w:hint="eastAsia"/>
          <w:lang w:val="en-US" w:eastAsia="zh-CN"/>
        </w:rPr>
      </w:pPr>
      <w:r>
        <w:rPr>
          <w:rFonts w:hint="eastAsia"/>
          <w:lang w:val="en-US" w:eastAsia="zh-CN"/>
        </w:rPr>
        <w:t>调整票面利率选择权在行权时可以对票面利率进行上调或下调。对于特殊条款调整利率的处理规则：</w:t>
      </w:r>
    </w:p>
    <w:p>
      <w:pPr>
        <w:numPr>
          <w:ilvl w:val="0"/>
          <w:numId w:val="0"/>
        </w:numPr>
        <w:rPr>
          <w:rFonts w:hint="eastAsia"/>
          <w:lang w:val="en-US" w:eastAsia="zh-CN"/>
        </w:rPr>
      </w:pPr>
      <w:r>
        <w:rPr>
          <w:rFonts w:hint="eastAsia"/>
          <w:lang w:val="en-US" w:eastAsia="zh-CN"/>
        </w:rPr>
        <w:t>（1）债券在发行阶段的票面利率主要以上市流通要素公告（上市公告）上面的票面利率为准，按照债券的计息方式，来判断债券的每个计息周期，付息一次，债券利率变动表就有多少条记录，募集说明书中公布的调整票面利率选择权的行权日期之前的计息周期内，债券的利率并没有发生改变，债券利率变动类型为固定利率，是否有效填是。对于在募集说明中公布的调整票面利率选择权行权日期后面的计息周期，发行时的票面利率是无效的，是否有效填否。</w:t>
      </w:r>
    </w:p>
    <w:p>
      <w:pPr>
        <w:numPr>
          <w:ilvl w:val="0"/>
          <w:numId w:val="0"/>
        </w:numPr>
        <w:rPr>
          <w:rFonts w:hint="eastAsia"/>
          <w:lang w:val="en-US" w:eastAsia="zh-CN"/>
        </w:rPr>
      </w:pPr>
      <w:r>
        <w:rPr>
          <w:rFonts w:hint="eastAsia"/>
          <w:lang w:val="en-US" w:eastAsia="zh-CN"/>
        </w:rPr>
        <w:t>（2）在调整票面利率选择权行权之后，债券的利率变动类型为特殊条款调整利率。债券利率变动表中的信息根据特殊条款的行权结果来进行填写，是否有效字段填是。若是特殊条款未行权，债券利率变动表中的信息根据债券付息兑付公告进行填写，是否有效填是。</w:t>
      </w:r>
    </w:p>
    <w:p>
      <w:pPr>
        <w:numPr>
          <w:ilvl w:val="0"/>
          <w:numId w:val="0"/>
        </w:numPr>
        <w:rPr>
          <w:rFonts w:hint="eastAsia"/>
          <w:lang w:val="en-US" w:eastAsia="zh-CN"/>
        </w:rPr>
      </w:pPr>
      <w:r>
        <w:rPr>
          <w:rFonts w:hint="eastAsia"/>
          <w:lang w:val="en-US" w:eastAsia="zh-CN"/>
        </w:rPr>
        <w:t>样例数据：新疆广汇实业股份有限公司公开发行2011年公司债券</w:t>
      </w:r>
    </w:p>
    <w:p>
      <w:pPr>
        <w:numPr>
          <w:ilvl w:val="0"/>
          <w:numId w:val="0"/>
        </w:numPr>
        <w:rPr>
          <w:rFonts w:hint="eastAsia"/>
          <w:lang w:val="en-US" w:eastAsia="zh-CN"/>
        </w:rPr>
      </w:pPr>
      <w:r>
        <w:rPr>
          <w:rFonts w:hint="eastAsia"/>
          <w:lang w:val="en-US" w:eastAsia="zh-CN"/>
        </w:rPr>
        <w:t>新疆广汇实业股份有限公司公开发行2011年公司债券募集说明书</w:t>
      </w:r>
    </w:p>
    <w:p>
      <w:pPr>
        <w:numPr>
          <w:ilvl w:val="0"/>
          <w:numId w:val="0"/>
        </w:numPr>
        <w:rPr>
          <w:rFonts w:hint="eastAsia"/>
          <w:lang w:val="en-US" w:eastAsia="zh-CN"/>
        </w:rPr>
      </w:pPr>
      <w:r>
        <w:rPr>
          <w:rFonts w:hint="eastAsia"/>
          <w:lang w:val="en-US" w:eastAsia="zh-CN"/>
        </w:rPr>
        <w:t>数据源：</w:t>
      </w:r>
      <w:r>
        <w:rPr>
          <w:rFonts w:hint="eastAsia"/>
          <w:lang w:val="en-US" w:eastAsia="zh-CN"/>
        </w:rPr>
        <w:fldChar w:fldCharType="begin"/>
      </w:r>
      <w:r>
        <w:rPr>
          <w:rFonts w:hint="eastAsia"/>
          <w:lang w:val="en-US" w:eastAsia="zh-CN"/>
        </w:rPr>
        <w:instrText xml:space="preserve"> HYPERLINK "http://www.sse.com.cn/disclosure/bond/c/2011-11-01/122102_20111101_3.pdf" </w:instrText>
      </w:r>
      <w:r>
        <w:rPr>
          <w:rFonts w:hint="eastAsia"/>
          <w:lang w:val="en-US" w:eastAsia="zh-CN"/>
        </w:rPr>
        <w:fldChar w:fldCharType="separate"/>
      </w:r>
      <w:r>
        <w:rPr>
          <w:rStyle w:val="30"/>
          <w:rFonts w:hint="eastAsia"/>
          <w:lang w:val="en-US" w:eastAsia="zh-CN"/>
        </w:rPr>
        <w:t>http://www.sse.com.cn/disclosure/bond/c/2011-11-01/122102_20111101_3.pdf</w:t>
      </w:r>
      <w:r>
        <w:rPr>
          <w:rFonts w:hint="eastAsia"/>
          <w:lang w:val="en-US" w:eastAsia="zh-CN"/>
        </w:rPr>
        <w:fldChar w:fldCharType="end"/>
      </w:r>
    </w:p>
    <w:p>
      <w:pPr>
        <w:numPr>
          <w:ilvl w:val="0"/>
          <w:numId w:val="0"/>
        </w:numPr>
        <w:rPr>
          <w:rFonts w:hint="eastAsia"/>
          <w:lang w:val="en-US" w:eastAsia="zh-CN"/>
        </w:rPr>
      </w:pPr>
    </w:p>
    <w:p>
      <w:pPr>
        <w:numPr>
          <w:ilvl w:val="0"/>
          <w:numId w:val="0"/>
        </w:numPr>
        <w:rPr>
          <w:rFonts w:hint="eastAsia"/>
          <w:lang w:val="en-US" w:eastAsia="zh-CN"/>
        </w:rPr>
      </w:pPr>
      <w:r>
        <w:rPr>
          <w:bdr w:val="single" w:sz="4" w:space="0"/>
        </w:rPr>
        <w:drawing>
          <wp:inline distT="0" distB="0" distL="114300" distR="114300">
            <wp:extent cx="5268595" cy="1457960"/>
            <wp:effectExtent l="0" t="0" r="8255" b="889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68595" cy="1457960"/>
                    </a:xfrm>
                    <a:prstGeom prst="rect">
                      <a:avLst/>
                    </a:prstGeom>
                    <a:noFill/>
                    <a:ln w="9525">
                      <a:noFill/>
                    </a:ln>
                  </pic:spPr>
                </pic:pic>
              </a:graphicData>
            </a:graphic>
          </wp:inline>
        </w:drawing>
      </w:r>
    </w:p>
    <w:p>
      <w:pPr>
        <w:numPr>
          <w:ilvl w:val="0"/>
          <w:numId w:val="0"/>
        </w:numPr>
        <w:rPr>
          <w:rFonts w:hint="eastAsia"/>
          <w:lang w:val="en-US" w:eastAsia="zh-CN"/>
        </w:rPr>
      </w:pPr>
      <w:r>
        <w:rPr>
          <w:bdr w:val="single" w:sz="4" w:space="0"/>
        </w:rPr>
        <w:drawing>
          <wp:inline distT="0" distB="0" distL="114300" distR="114300">
            <wp:extent cx="5270500" cy="2717165"/>
            <wp:effectExtent l="0" t="0" r="635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5270500" cy="27171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新疆广汇实业股份有限公司公开发行2011年公司债券上市公告书：</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"http://www.sse.com.cn/disclosure/bond/c/2011-11-25/122102_20111125_1.pdf" </w:instrText>
      </w:r>
      <w:r>
        <w:rPr>
          <w:rFonts w:hint="eastAsia"/>
          <w:lang w:val="en-US" w:eastAsia="zh-CN"/>
        </w:rPr>
        <w:fldChar w:fldCharType="separate"/>
      </w:r>
      <w:r>
        <w:rPr>
          <w:rStyle w:val="30"/>
          <w:rFonts w:hint="eastAsia"/>
          <w:lang w:val="en-US" w:eastAsia="zh-CN"/>
        </w:rPr>
        <w:t>http://www.sse.com.cn/disclosure/bond/c/2011-11-25/122102_20111125_1.pdf</w:t>
      </w:r>
      <w:r>
        <w:rPr>
          <w:rFonts w:hint="eastAsia"/>
          <w:lang w:val="en-US" w:eastAsia="zh-CN"/>
        </w:rPr>
        <w:fldChar w:fldCharType="end"/>
      </w:r>
    </w:p>
    <w:p>
      <w:pPr>
        <w:numPr>
          <w:ilvl w:val="0"/>
          <w:numId w:val="0"/>
        </w:numPr>
        <w:rPr>
          <w:rFonts w:hint="eastAsia"/>
          <w:lang w:val="en-US" w:eastAsia="zh-CN"/>
        </w:rPr>
      </w:pPr>
      <w:r>
        <w:rPr>
          <w:bdr w:val="single" w:sz="4" w:space="0"/>
        </w:rPr>
        <w:drawing>
          <wp:inline distT="0" distB="0" distL="114300" distR="114300">
            <wp:extent cx="5271770" cy="428625"/>
            <wp:effectExtent l="0" t="0" r="5080" b="952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3"/>
                    <a:stretch>
                      <a:fillRect/>
                    </a:stretch>
                  </pic:blipFill>
                  <pic:spPr>
                    <a:xfrm>
                      <a:off x="0" y="0"/>
                      <a:ext cx="5271770" cy="428625"/>
                    </a:xfrm>
                    <a:prstGeom prst="rect">
                      <a:avLst/>
                    </a:prstGeom>
                    <a:noFill/>
                    <a:ln w="9525">
                      <a:noFill/>
                    </a:ln>
                  </pic:spPr>
                </pic:pic>
              </a:graphicData>
            </a:graphic>
          </wp:inline>
        </w:drawing>
      </w:r>
    </w:p>
    <w:p>
      <w:pPr>
        <w:numPr>
          <w:ilvl w:val="0"/>
          <w:numId w:val="0"/>
        </w:numPr>
        <w:rPr>
          <w:rFonts w:hint="eastAsia"/>
          <w:lang w:val="en-US" w:eastAsia="zh-CN"/>
        </w:rPr>
      </w:pPr>
      <w:r>
        <w:rPr>
          <w:bdr w:val="single" w:sz="4" w:space="0"/>
        </w:rPr>
        <w:drawing>
          <wp:inline distT="0" distB="0" distL="114300" distR="114300">
            <wp:extent cx="5269230" cy="2858135"/>
            <wp:effectExtent l="0" t="0" r="7620" b="184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4"/>
                    <a:stretch>
                      <a:fillRect/>
                    </a:stretch>
                  </pic:blipFill>
                  <pic:spPr>
                    <a:xfrm>
                      <a:off x="0" y="0"/>
                      <a:ext cx="5269230" cy="28581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从债券的上市公告书中可以得到债券利率变动表中的数据：</w:t>
      </w:r>
    </w:p>
    <w:p>
      <w:pPr>
        <w:numPr>
          <w:ilvl w:val="0"/>
          <w:numId w:val="0"/>
        </w:numPr>
        <w:rPr>
          <w:rFonts w:hint="eastAsia"/>
          <w:lang w:val="en-US" w:eastAsia="zh-CN"/>
        </w:rPr>
      </w:pPr>
      <w:r>
        <w:rPr>
          <w:rFonts w:hint="eastAsia"/>
          <w:color w:val="FF0000"/>
          <w:lang w:val="en-US" w:eastAsia="zh-CN"/>
        </w:rPr>
        <w:t>主内部编码</w:t>
      </w:r>
      <w:r>
        <w:rPr>
          <w:rFonts w:hint="eastAsia"/>
          <w:lang w:val="en-US" w:eastAsia="zh-CN"/>
        </w:rPr>
        <w:t>：自动生成</w:t>
      </w:r>
    </w:p>
    <w:p>
      <w:pPr>
        <w:numPr>
          <w:ilvl w:val="0"/>
          <w:numId w:val="0"/>
        </w:numPr>
        <w:rPr>
          <w:rFonts w:hint="eastAsia"/>
          <w:lang w:val="en-US" w:eastAsia="zh-CN"/>
        </w:rPr>
      </w:pPr>
      <w:r>
        <w:rPr>
          <w:rFonts w:hint="eastAsia"/>
          <w:color w:val="FF0000"/>
          <w:lang w:val="en-US" w:eastAsia="zh-CN"/>
        </w:rPr>
        <w:t>债券名称</w:t>
      </w:r>
      <w:r>
        <w:rPr>
          <w:rFonts w:hint="eastAsia"/>
          <w:lang w:val="en-US" w:eastAsia="zh-CN"/>
        </w:rPr>
        <w:t>：新疆广汇实业股份有限公司公开发行2011年公司债券</w:t>
      </w:r>
    </w:p>
    <w:p>
      <w:pPr>
        <w:numPr>
          <w:ilvl w:val="0"/>
          <w:numId w:val="0"/>
        </w:numPr>
        <w:rPr>
          <w:rFonts w:hint="eastAsia"/>
          <w:lang w:val="en-US" w:eastAsia="zh-CN"/>
        </w:rPr>
      </w:pPr>
      <w:r>
        <w:rPr>
          <w:rFonts w:hint="eastAsia"/>
          <w:color w:val="FF0000"/>
          <w:lang w:val="en-US" w:eastAsia="zh-CN"/>
        </w:rPr>
        <w:t>公告日期</w:t>
      </w:r>
      <w:r>
        <w:rPr>
          <w:rFonts w:hint="eastAsia"/>
          <w:lang w:val="en-US" w:eastAsia="zh-CN"/>
        </w:rPr>
        <w:t>：20111125</w:t>
      </w:r>
    </w:p>
    <w:p>
      <w:pPr>
        <w:numPr>
          <w:ilvl w:val="0"/>
          <w:numId w:val="0"/>
        </w:numPr>
        <w:rPr>
          <w:rFonts w:hint="eastAsia"/>
          <w:lang w:val="en-US" w:eastAsia="zh-CN"/>
        </w:rPr>
      </w:pPr>
      <w:r>
        <w:rPr>
          <w:rFonts w:hint="eastAsia"/>
          <w:color w:val="FF0000"/>
          <w:lang w:val="en-US" w:eastAsia="zh-CN"/>
        </w:rPr>
        <w:t>利率变动类型</w:t>
      </w:r>
      <w:r>
        <w:rPr>
          <w:rFonts w:hint="eastAsia"/>
          <w:lang w:val="en-US" w:eastAsia="zh-CN"/>
        </w:rPr>
        <w:t>：固定利率</w:t>
      </w:r>
    </w:p>
    <w:p>
      <w:pPr>
        <w:numPr>
          <w:ilvl w:val="0"/>
          <w:numId w:val="0"/>
        </w:numPr>
        <w:rPr>
          <w:rFonts w:hint="eastAsia"/>
          <w:lang w:val="en-US" w:eastAsia="zh-CN"/>
        </w:rPr>
      </w:pPr>
      <w:r>
        <w:rPr>
          <w:rFonts w:hint="eastAsia"/>
          <w:color w:val="FF0000"/>
          <w:lang w:val="en-US" w:eastAsia="zh-CN"/>
        </w:rPr>
        <w:t>债券利率起始日期</w:t>
      </w:r>
      <w:r>
        <w:rPr>
          <w:rFonts w:hint="eastAsia"/>
          <w:lang w:val="en-US" w:eastAsia="zh-CN"/>
        </w:rPr>
        <w:t>：20111103</w:t>
      </w:r>
    </w:p>
    <w:p>
      <w:pPr>
        <w:numPr>
          <w:ilvl w:val="0"/>
          <w:numId w:val="0"/>
        </w:numPr>
        <w:rPr>
          <w:rFonts w:hint="eastAsia"/>
          <w:lang w:val="en-US" w:eastAsia="zh-CN"/>
        </w:rPr>
      </w:pPr>
      <w:r>
        <w:rPr>
          <w:rFonts w:hint="eastAsia"/>
          <w:color w:val="FF0000"/>
          <w:lang w:val="en-US" w:eastAsia="zh-CN"/>
        </w:rPr>
        <w:t>债券利率终止日期</w:t>
      </w:r>
      <w:r>
        <w:rPr>
          <w:rFonts w:hint="eastAsia"/>
          <w:lang w:val="en-US" w:eastAsia="zh-CN"/>
        </w:rPr>
        <w:t>：20121102</w:t>
      </w:r>
    </w:p>
    <w:p>
      <w:pPr>
        <w:numPr>
          <w:ilvl w:val="0"/>
          <w:numId w:val="0"/>
        </w:numPr>
        <w:rPr>
          <w:rFonts w:hint="eastAsia"/>
          <w:lang w:val="en-US" w:eastAsia="zh-CN"/>
        </w:rPr>
      </w:pPr>
      <w:r>
        <w:rPr>
          <w:rFonts w:hint="eastAsia"/>
          <w:color w:val="FF0000"/>
          <w:lang w:val="en-US" w:eastAsia="zh-CN"/>
        </w:rPr>
        <w:t>计息周期起始日期</w:t>
      </w:r>
      <w:r>
        <w:rPr>
          <w:rFonts w:hint="eastAsia"/>
          <w:lang w:val="en-US" w:eastAsia="zh-CN"/>
        </w:rPr>
        <w:t>：20111103</w:t>
      </w:r>
    </w:p>
    <w:p>
      <w:pPr>
        <w:numPr>
          <w:ilvl w:val="0"/>
          <w:numId w:val="0"/>
        </w:numPr>
        <w:rPr>
          <w:rFonts w:hint="eastAsia"/>
          <w:lang w:val="en-US" w:eastAsia="zh-CN"/>
        </w:rPr>
      </w:pPr>
      <w:r>
        <w:rPr>
          <w:rFonts w:hint="eastAsia"/>
          <w:color w:val="FF0000"/>
          <w:lang w:val="en-US" w:eastAsia="zh-CN"/>
        </w:rPr>
        <w:t>计息周期终止日期</w:t>
      </w:r>
      <w:r>
        <w:rPr>
          <w:rFonts w:hint="eastAsia"/>
          <w:lang w:val="en-US" w:eastAsia="zh-CN"/>
        </w:rPr>
        <w:t>：20121102</w:t>
      </w:r>
    </w:p>
    <w:p>
      <w:pPr>
        <w:numPr>
          <w:ilvl w:val="0"/>
          <w:numId w:val="0"/>
        </w:numPr>
        <w:rPr>
          <w:rFonts w:hint="eastAsia"/>
          <w:lang w:val="en-US" w:eastAsia="zh-CN"/>
        </w:rPr>
      </w:pPr>
      <w:r>
        <w:rPr>
          <w:rFonts w:hint="eastAsia"/>
          <w:color w:val="FF0000"/>
          <w:lang w:val="en-US" w:eastAsia="zh-CN"/>
        </w:rPr>
        <w:t>债券利率</w:t>
      </w:r>
      <w:r>
        <w:rPr>
          <w:rFonts w:hint="eastAsia"/>
          <w:lang w:val="en-US" w:eastAsia="zh-CN"/>
        </w:rPr>
        <w:t>：6.9%</w:t>
      </w:r>
    </w:p>
    <w:p>
      <w:pPr>
        <w:numPr>
          <w:ilvl w:val="0"/>
          <w:numId w:val="0"/>
        </w:numPr>
        <w:rPr>
          <w:rFonts w:hint="eastAsia"/>
          <w:lang w:val="en-US" w:eastAsia="zh-CN"/>
        </w:rPr>
      </w:pPr>
      <w:r>
        <w:rPr>
          <w:rFonts w:hint="eastAsia"/>
          <w:color w:val="FF0000"/>
          <w:lang w:val="en-US" w:eastAsia="zh-CN"/>
        </w:rPr>
        <w:t>是否有效</w:t>
      </w:r>
      <w:r>
        <w:rPr>
          <w:rFonts w:hint="eastAsia"/>
          <w:lang w:val="en-US" w:eastAsia="zh-CN"/>
        </w:rPr>
        <w:t>：是</w:t>
      </w:r>
    </w:p>
    <w:p>
      <w:pPr>
        <w:numPr>
          <w:ilvl w:val="0"/>
          <w:numId w:val="0"/>
        </w:numPr>
        <w:rPr>
          <w:rFonts w:hint="eastAsia"/>
          <w:lang w:val="en-US" w:eastAsia="zh-CN"/>
        </w:rPr>
      </w:pPr>
      <w:r>
        <w:rPr>
          <w:rFonts w:hint="eastAsia"/>
          <w:color w:val="FF0000"/>
          <w:lang w:val="en-US" w:eastAsia="zh-CN"/>
        </w:rPr>
        <w:t>备注</w:t>
      </w:r>
      <w:r>
        <w:rPr>
          <w:rFonts w:hint="eastAsia"/>
          <w:lang w:val="en-US" w:eastAsia="zh-CN"/>
        </w:rPr>
        <w:t>：空</w:t>
      </w:r>
    </w:p>
    <w:p>
      <w:pPr>
        <w:numPr>
          <w:ilvl w:val="0"/>
          <w:numId w:val="0"/>
        </w:numPr>
        <w:rPr>
          <w:rFonts w:hint="eastAsia"/>
          <w:lang w:val="en-US" w:eastAsia="zh-CN"/>
        </w:rPr>
      </w:pPr>
      <w:r>
        <w:rPr>
          <w:rFonts w:hint="eastAsia"/>
          <w:b/>
          <w:bCs/>
          <w:lang w:val="en-US" w:eastAsia="zh-CN"/>
        </w:rPr>
        <w:t>备注</w:t>
      </w:r>
      <w:r>
        <w:rPr>
          <w:rFonts w:hint="eastAsia"/>
          <w:lang w:val="en-US" w:eastAsia="zh-CN"/>
        </w:rPr>
        <w:t>：在不考虑特殊条款行权的情况下，新疆广汇实业股份有限公司公开发行2011年公司债券的付息方式为2012年到2017年每年付息一次，因此债券利率变动表应该有6条记录，这六条记录的票面利率是一样的，债券利率的起始时间和计息周期时间都不一样。债券类型均为固定利率，是否有效均填否。</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新疆广汇实业股份有限公司关于“11广汇01”票面利率调整的公告</w:t>
      </w:r>
    </w:p>
    <w:p>
      <w:pPr>
        <w:numPr>
          <w:ilvl w:val="0"/>
          <w:numId w:val="0"/>
        </w:numPr>
        <w:rPr>
          <w:rFonts w:hint="eastAsia"/>
          <w:lang w:val="en-US" w:eastAsia="zh-CN"/>
        </w:rPr>
      </w:pPr>
      <w:r>
        <w:rPr>
          <w:bdr w:val="single" w:sz="4" w:space="0"/>
        </w:rPr>
        <w:drawing>
          <wp:inline distT="0" distB="0" distL="114300" distR="114300">
            <wp:extent cx="5273675" cy="441960"/>
            <wp:effectExtent l="0" t="0" r="3175" b="152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5273675" cy="441960"/>
                    </a:xfrm>
                    <a:prstGeom prst="rect">
                      <a:avLst/>
                    </a:prstGeom>
                    <a:noFill/>
                    <a:ln w="9525">
                      <a:noFill/>
                    </a:ln>
                  </pic:spPr>
                </pic:pic>
              </a:graphicData>
            </a:graphic>
          </wp:inline>
        </w:drawing>
      </w:r>
    </w:p>
    <w:p>
      <w:pPr>
        <w:numPr>
          <w:ilvl w:val="0"/>
          <w:numId w:val="0"/>
        </w:numPr>
        <w:rPr>
          <w:rFonts w:hint="eastAsia"/>
          <w:lang w:val="en-US" w:eastAsia="zh-CN"/>
        </w:rPr>
      </w:pPr>
      <w:r>
        <w:rPr>
          <w:bdr w:val="single" w:sz="4" w:space="0"/>
        </w:rPr>
        <w:drawing>
          <wp:inline distT="0" distB="0" distL="114300" distR="114300">
            <wp:extent cx="5272405" cy="3178810"/>
            <wp:effectExtent l="0" t="0" r="4445" b="254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6"/>
                    <a:stretch>
                      <a:fillRect/>
                    </a:stretch>
                  </pic:blipFill>
                  <pic:spPr>
                    <a:xfrm>
                      <a:off x="0" y="0"/>
                      <a:ext cx="5272405" cy="31788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根据票面利率调整公告可以得到债券利率变动表数据：</w:t>
      </w:r>
    </w:p>
    <w:p>
      <w:pPr>
        <w:numPr>
          <w:ilvl w:val="0"/>
          <w:numId w:val="0"/>
        </w:numPr>
        <w:rPr>
          <w:rFonts w:hint="eastAsia"/>
          <w:lang w:val="en-US" w:eastAsia="zh-CN"/>
        </w:rPr>
      </w:pPr>
      <w:r>
        <w:rPr>
          <w:rFonts w:hint="eastAsia"/>
          <w:color w:val="FF0000"/>
          <w:lang w:val="en-US" w:eastAsia="zh-CN"/>
        </w:rPr>
        <w:t>主内部编码</w:t>
      </w:r>
      <w:r>
        <w:rPr>
          <w:rFonts w:hint="eastAsia"/>
          <w:lang w:val="en-US" w:eastAsia="zh-CN"/>
        </w:rPr>
        <w:t>：自动生成</w:t>
      </w:r>
    </w:p>
    <w:p>
      <w:pPr>
        <w:numPr>
          <w:ilvl w:val="0"/>
          <w:numId w:val="0"/>
        </w:numPr>
        <w:rPr>
          <w:rFonts w:hint="eastAsia"/>
          <w:lang w:val="en-US" w:eastAsia="zh-CN"/>
        </w:rPr>
      </w:pPr>
      <w:r>
        <w:rPr>
          <w:rFonts w:hint="eastAsia"/>
          <w:color w:val="FF0000"/>
          <w:lang w:val="en-US" w:eastAsia="zh-CN"/>
        </w:rPr>
        <w:t>债券名称</w:t>
      </w:r>
      <w:r>
        <w:rPr>
          <w:rFonts w:hint="eastAsia"/>
          <w:lang w:val="en-US" w:eastAsia="zh-CN"/>
        </w:rPr>
        <w:t>：新疆广汇实业股份有限公司公开发行2011年公司债券</w:t>
      </w:r>
    </w:p>
    <w:p>
      <w:pPr>
        <w:numPr>
          <w:ilvl w:val="0"/>
          <w:numId w:val="0"/>
        </w:numPr>
        <w:rPr>
          <w:rFonts w:hint="eastAsia"/>
          <w:lang w:val="en-US" w:eastAsia="zh-CN"/>
        </w:rPr>
      </w:pPr>
      <w:r>
        <w:rPr>
          <w:rFonts w:hint="eastAsia"/>
          <w:color w:val="FF0000"/>
          <w:lang w:val="en-US" w:eastAsia="zh-CN"/>
        </w:rPr>
        <w:t>公告日期</w:t>
      </w:r>
      <w:r>
        <w:rPr>
          <w:rFonts w:hint="eastAsia"/>
          <w:lang w:val="en-US" w:eastAsia="zh-CN"/>
        </w:rPr>
        <w:t>：20140927</w:t>
      </w:r>
    </w:p>
    <w:p>
      <w:pPr>
        <w:numPr>
          <w:ilvl w:val="0"/>
          <w:numId w:val="0"/>
        </w:numPr>
        <w:rPr>
          <w:rFonts w:hint="eastAsia"/>
          <w:lang w:val="en-US" w:eastAsia="zh-CN"/>
        </w:rPr>
      </w:pPr>
      <w:r>
        <w:rPr>
          <w:rFonts w:hint="eastAsia"/>
          <w:color w:val="FF0000"/>
          <w:lang w:val="en-US" w:eastAsia="zh-CN"/>
        </w:rPr>
        <w:t>利率变动类型</w:t>
      </w:r>
      <w:r>
        <w:rPr>
          <w:rFonts w:hint="eastAsia"/>
          <w:lang w:val="en-US" w:eastAsia="zh-CN"/>
        </w:rPr>
        <w:t>：特殊条款调整利率</w:t>
      </w:r>
    </w:p>
    <w:p>
      <w:pPr>
        <w:numPr>
          <w:ilvl w:val="0"/>
          <w:numId w:val="0"/>
        </w:numPr>
        <w:rPr>
          <w:rFonts w:hint="eastAsia"/>
          <w:lang w:val="en-US" w:eastAsia="zh-CN"/>
        </w:rPr>
      </w:pPr>
      <w:r>
        <w:rPr>
          <w:rFonts w:hint="eastAsia"/>
          <w:color w:val="FF0000"/>
          <w:lang w:val="en-US" w:eastAsia="zh-CN"/>
        </w:rPr>
        <w:t>债券利率起始日期</w:t>
      </w:r>
      <w:r>
        <w:rPr>
          <w:rFonts w:hint="eastAsia"/>
          <w:lang w:val="en-US" w:eastAsia="zh-CN"/>
        </w:rPr>
        <w:t>：20141103</w:t>
      </w:r>
    </w:p>
    <w:p>
      <w:pPr>
        <w:numPr>
          <w:ilvl w:val="0"/>
          <w:numId w:val="0"/>
        </w:numPr>
        <w:rPr>
          <w:rFonts w:hint="eastAsia"/>
          <w:lang w:val="en-US" w:eastAsia="zh-CN"/>
        </w:rPr>
      </w:pPr>
      <w:r>
        <w:rPr>
          <w:rFonts w:hint="eastAsia"/>
          <w:color w:val="FF0000"/>
          <w:lang w:val="en-US" w:eastAsia="zh-CN"/>
        </w:rPr>
        <w:t>债券利率终止日期</w:t>
      </w:r>
      <w:r>
        <w:rPr>
          <w:rFonts w:hint="eastAsia"/>
          <w:lang w:val="en-US" w:eastAsia="zh-CN"/>
        </w:rPr>
        <w:t>：20151102</w:t>
      </w:r>
    </w:p>
    <w:p>
      <w:pPr>
        <w:numPr>
          <w:ilvl w:val="0"/>
          <w:numId w:val="0"/>
        </w:numPr>
        <w:rPr>
          <w:rFonts w:hint="eastAsia"/>
          <w:lang w:val="en-US" w:eastAsia="zh-CN"/>
        </w:rPr>
      </w:pPr>
      <w:r>
        <w:rPr>
          <w:rFonts w:hint="eastAsia"/>
          <w:color w:val="FF0000"/>
          <w:lang w:val="en-US" w:eastAsia="zh-CN"/>
        </w:rPr>
        <w:t>计息周期起始日期</w:t>
      </w:r>
      <w:r>
        <w:rPr>
          <w:rFonts w:hint="eastAsia"/>
          <w:lang w:val="en-US" w:eastAsia="zh-CN"/>
        </w:rPr>
        <w:t>：20141103</w:t>
      </w:r>
    </w:p>
    <w:p>
      <w:pPr>
        <w:numPr>
          <w:ilvl w:val="0"/>
          <w:numId w:val="0"/>
        </w:numPr>
        <w:rPr>
          <w:rFonts w:hint="eastAsia"/>
          <w:lang w:val="en-US" w:eastAsia="zh-CN"/>
        </w:rPr>
      </w:pPr>
      <w:r>
        <w:rPr>
          <w:rFonts w:hint="eastAsia"/>
          <w:color w:val="FF0000"/>
          <w:lang w:val="en-US" w:eastAsia="zh-CN"/>
        </w:rPr>
        <w:t>计息周期终止日期</w:t>
      </w:r>
      <w:r>
        <w:rPr>
          <w:rFonts w:hint="eastAsia"/>
          <w:lang w:val="en-US" w:eastAsia="zh-CN"/>
        </w:rPr>
        <w:t>：20151102</w:t>
      </w:r>
    </w:p>
    <w:p>
      <w:pPr>
        <w:numPr>
          <w:ilvl w:val="0"/>
          <w:numId w:val="0"/>
        </w:numPr>
        <w:rPr>
          <w:rFonts w:hint="eastAsia"/>
          <w:lang w:val="en-US" w:eastAsia="zh-CN"/>
        </w:rPr>
      </w:pPr>
      <w:r>
        <w:rPr>
          <w:rFonts w:hint="eastAsia"/>
          <w:color w:val="FF0000"/>
          <w:lang w:val="en-US" w:eastAsia="zh-CN"/>
        </w:rPr>
        <w:t>债券利率</w:t>
      </w:r>
      <w:r>
        <w:rPr>
          <w:rFonts w:hint="eastAsia"/>
          <w:lang w:val="en-US" w:eastAsia="zh-CN"/>
        </w:rPr>
        <w:t>：7.7%</w:t>
      </w:r>
    </w:p>
    <w:p>
      <w:pPr>
        <w:numPr>
          <w:ilvl w:val="0"/>
          <w:numId w:val="0"/>
        </w:numPr>
        <w:rPr>
          <w:rFonts w:hint="eastAsia"/>
          <w:lang w:val="en-US" w:eastAsia="zh-CN"/>
        </w:rPr>
      </w:pPr>
      <w:r>
        <w:rPr>
          <w:rFonts w:hint="eastAsia"/>
          <w:color w:val="FF0000"/>
          <w:lang w:val="en-US" w:eastAsia="zh-CN"/>
        </w:rPr>
        <w:t>是否有效</w:t>
      </w:r>
      <w:r>
        <w:rPr>
          <w:rFonts w:hint="eastAsia"/>
          <w:lang w:val="en-US" w:eastAsia="zh-CN"/>
        </w:rPr>
        <w:t>：是</w:t>
      </w:r>
    </w:p>
    <w:p>
      <w:pPr>
        <w:numPr>
          <w:ilvl w:val="0"/>
          <w:numId w:val="0"/>
        </w:numPr>
        <w:rPr>
          <w:rFonts w:hint="eastAsia"/>
          <w:lang w:val="en-US" w:eastAsia="zh-CN"/>
        </w:rPr>
      </w:pPr>
      <w:r>
        <w:rPr>
          <w:rFonts w:hint="eastAsia"/>
          <w:color w:val="FF0000"/>
          <w:lang w:val="en-US" w:eastAsia="zh-CN"/>
        </w:rPr>
        <w:t>备注</w:t>
      </w:r>
      <w:r>
        <w:rPr>
          <w:rFonts w:hint="eastAsia"/>
          <w:lang w:val="en-US" w:eastAsia="zh-CN"/>
        </w:rPr>
        <w:t>：空</w:t>
      </w:r>
    </w:p>
    <w:p>
      <w:pPr>
        <w:numPr>
          <w:ilvl w:val="0"/>
          <w:numId w:val="0"/>
        </w:numPr>
        <w:rPr>
          <w:rFonts w:hint="eastAsia"/>
          <w:lang w:val="en-US" w:eastAsia="zh-CN"/>
        </w:rPr>
      </w:pPr>
      <w:r>
        <w:rPr>
          <w:rFonts w:hint="eastAsia"/>
          <w:lang w:val="en-US" w:eastAsia="zh-CN"/>
        </w:rPr>
        <w:t>备注：在调整票面利率选择权行权后，债券还有三年的存续期，债券的计息方式为按年付息，故债券利率变动表应该有3条记录，这3条记录的票面利率是一样的，债券利率变动类型均为特殊条款调整利率。债券利率起始日期和终止日期，债券的计息周期均不相同。是否有效填是。</w:t>
      </w:r>
    </w:p>
    <w:p>
      <w:pPr>
        <w:pStyle w:val="5"/>
        <w:spacing w:before="468" w:after="312"/>
      </w:pPr>
      <w:bookmarkStart w:id="39" w:name="_Toc27125"/>
      <w:bookmarkStart w:id="40" w:name="_Toc3901"/>
      <w:r>
        <w:rPr>
          <w:rFonts w:hint="eastAsia"/>
        </w:rPr>
        <w:t>核查规则</w:t>
      </w:r>
      <w:bookmarkEnd w:id="39"/>
      <w:bookmarkEnd w:id="40"/>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1614941989"/>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cs="Times New Roman" w:asciiTheme="minorEastAsia" w:hAnsiTheme="minorEastAsia" w:eastAsiaTheme="minorEastAsia"/>
                    <w:b/>
                    <w:kern w:val="2"/>
                    <w:sz w:val="18"/>
                    <w:szCs w:val="18"/>
                    <w:lang w:val="en-US" w:eastAsia="zh-CN" w:bidi="ar-SA"/>
                  </w:rPr>
                  <w:t>√ 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1004633486"/>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ind w:firstLine="420"/>
      </w:pPr>
      <w:r>
        <w:rPr>
          <w:rFonts w:hint="eastAsia"/>
        </w:rPr>
        <w:t>数据</w:t>
      </w:r>
      <w:r>
        <w:t>稽核的规则，</w:t>
      </w:r>
      <w:r>
        <w:rPr>
          <w:rFonts w:hint="eastAsia"/>
        </w:rPr>
        <w:t>包括</w:t>
      </w:r>
      <w:r>
        <w:t>但不限于核查时间、频率</w:t>
      </w:r>
      <w:r>
        <w:rPr>
          <w:rFonts w:hint="eastAsia"/>
        </w:rPr>
        <w:t>，处理人员总结</w:t>
      </w:r>
      <w:r>
        <w:t>的核查经验、sql语句整理等等。</w:t>
      </w:r>
    </w:p>
    <w:p>
      <w:pPr>
        <w:ind w:firstLine="420"/>
        <w:rPr>
          <w:rFonts w:hint="eastAsia"/>
          <w:lang w:val="en-US" w:eastAsia="zh-CN"/>
        </w:rPr>
      </w:pPr>
      <w:r>
        <w:rPr>
          <w:rFonts w:hint="eastAsia"/>
          <w:lang w:eastAsia="zh-CN"/>
        </w:rPr>
        <w:t>根据</w:t>
      </w:r>
      <w:r>
        <w:rPr>
          <w:rFonts w:hint="eastAsia"/>
          <w:lang w:val="en-US" w:eastAsia="zh-CN"/>
        </w:rPr>
        <w:t>sql语句，查询出的结果均是存在问题的语句，需要进一步核查。</w:t>
      </w:r>
    </w:p>
    <w:p>
      <w:pPr>
        <w:ind w:firstLine="420"/>
        <w:rPr>
          <w:rFonts w:hint="eastAsia"/>
        </w:rPr>
      </w:pPr>
      <w:r>
        <w:rPr>
          <w:rFonts w:hint="eastAsia"/>
        </w:rPr>
        <w:t>SELECT F1 '主内部编码',F2 '债券名称',F4 '利率变动类型',F5 '债券利率起始日期',F7 '计息周期起始日期',F9 '票面利率' from P12014 where F5&lt;F7 ORDER by FU DESC;</w:t>
      </w:r>
    </w:p>
    <w:p>
      <w:pPr>
        <w:ind w:firstLine="420"/>
      </w:pPr>
      <w:r>
        <w:rPr>
          <w:rFonts w:hint="eastAsia"/>
        </w:rPr>
        <w:t>SELECT F1 '主内部编码',F2 '债券名称',F4 '利率变动类型',F5 '债券利率起始日期',F6 '债券利率终止日期',F9 '票面利率' from P12014 where F5&gt;F6 ORDER by FU DESC;</w:t>
      </w:r>
    </w:p>
    <w:p>
      <w:pPr>
        <w:ind w:firstLine="420"/>
        <w:rPr>
          <w:rFonts w:hint="eastAsia"/>
        </w:rPr>
      </w:pPr>
      <w:r>
        <w:rPr>
          <w:rFonts w:hint="eastAsia"/>
        </w:rPr>
        <w:t>SELECT F1 '主内部编码',F2 '债券名称',F4 '利率变动类型',F7 '计息周期起始日期',F8 '计息周期终止日期',F9 '票面利率' from P12014 where F7&gt;F8 ORDER by FU DESC;</w:t>
      </w:r>
    </w:p>
    <w:p>
      <w:pPr>
        <w:ind w:firstLine="420"/>
        <w:rPr>
          <w:rFonts w:hint="eastAsia"/>
        </w:rPr>
      </w:pPr>
      <w:r>
        <w:rPr>
          <w:rFonts w:hint="eastAsia"/>
        </w:rPr>
        <w:t>SELECT F1 '主内部编码',F2 '债券名称',F4 '利率变动类型',F6 '债券利率终止日期',F8 '计息周期终止日期',F9 '票面利率' from P12014 where F6&gt;F8 ORDER by FU DESC;</w:t>
      </w:r>
    </w:p>
    <w:p>
      <w:pPr>
        <w:ind w:firstLine="420"/>
        <w:rPr>
          <w:rFonts w:hint="eastAsia"/>
        </w:rPr>
      </w:pPr>
    </w:p>
    <w:p>
      <w:pPr>
        <w:ind w:firstLine="420"/>
        <w:rPr>
          <w:rFonts w:hint="eastAsia"/>
        </w:rPr>
      </w:pPr>
    </w:p>
    <w:p>
      <w:pPr>
        <w:pStyle w:val="5"/>
        <w:spacing w:before="468" w:after="312"/>
      </w:pPr>
      <w:bookmarkStart w:id="41" w:name="_Toc8397"/>
      <w:bookmarkStart w:id="42" w:name="_Toc7158"/>
      <w:r>
        <w:rPr>
          <w:rFonts w:hint="eastAsia"/>
        </w:rPr>
        <w:t>数据处理流程</w:t>
      </w:r>
      <w:bookmarkEnd w:id="41"/>
      <w:bookmarkEnd w:id="42"/>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514505867"/>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asciiTheme="minorEastAsia" w:hAnsiTheme="minorEastAsia" w:eastAsiaTheme="minorEastAsia"/>
                    <w:b/>
                    <w:sz w:val="18"/>
                    <w:szCs w:val="18"/>
                  </w:rPr>
                  <w:t>请选择</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2070107060"/>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rPr>
          <w:rFonts w:hint="eastAsia"/>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289560</wp:posOffset>
                </wp:positionH>
                <wp:positionV relativeFrom="paragraph">
                  <wp:posOffset>1071245</wp:posOffset>
                </wp:positionV>
                <wp:extent cx="914400" cy="75565"/>
                <wp:effectExtent l="6350" t="15240" r="12700" b="23495"/>
                <wp:wrapNone/>
                <wp:docPr id="37" name="右箭头 37"/>
                <wp:cNvGraphicFramePr/>
                <a:graphic xmlns:a="http://schemas.openxmlformats.org/drawingml/2006/main">
                  <a:graphicData uri="http://schemas.microsoft.com/office/word/2010/wordprocessingShape">
                    <wps:wsp>
                      <wps:cNvSpPr/>
                      <wps:spPr>
                        <a:xfrm>
                          <a:off x="1432560" y="8376285"/>
                          <a:ext cx="91440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2.8pt;margin-top:84.35pt;height:5.95pt;width:72pt;z-index:251666432;v-text-anchor:middle;mso-width-relative:page;mso-height-relative:page;" fillcolor="#5B9BD5 [3204]" filled="t" stroked="t" coordsize="21600,21600" o:gfxdata="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AWvlXXAAAACgEAAA8AAAAAAAAAAQAgAAAAIgAA&#10;AGRycy9kb3ducmV2LnhtbFBLAQIUABQAAAAIAIdO4kBJuSbqewIAANwEAAAOAAAAAAAAAAEAIAAA&#10;ACYBAABkcnMvZTJvRG9jLnhtbFBLBQYAAAAABgAGAFkBAAATBgAAAAA=&#10;" adj="20708,5400">
                <v:fill on="t" focussize="0,0"/>
                <v:stroke weight="1pt" color="#41719C [3204]" miterlimit="8" joinstyle="miter"/>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3575685</wp:posOffset>
                </wp:positionH>
                <wp:positionV relativeFrom="paragraph">
                  <wp:posOffset>232410</wp:posOffset>
                </wp:positionV>
                <wp:extent cx="1302385" cy="334010"/>
                <wp:effectExtent l="6350" t="6350" r="24765" b="21590"/>
                <wp:wrapNone/>
                <wp:docPr id="36" name="流程图: 可选过程 36"/>
                <wp:cNvGraphicFramePr/>
                <a:graphic xmlns:a="http://schemas.openxmlformats.org/drawingml/2006/main">
                  <a:graphicData uri="http://schemas.microsoft.com/office/word/2010/wordprocessingShape">
                    <wps:wsp>
                      <wps:cNvSpPr/>
                      <wps:spPr>
                        <a:xfrm>
                          <a:off x="0" y="0"/>
                          <a:ext cx="1302385" cy="3340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特殊条款行权公告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81.55pt;margin-top:18.3pt;height:26.3pt;width:102.55pt;z-index:251665408;v-text-anchor:middle;mso-width-relative:page;mso-height-relative:page;" fillcolor="#5B9BD5 [3204]" filled="t" stroked="t" coordsize="21600,21600" o:gfxdata="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VR7yt2QAAAAkBAAAPAAAAAAAAAAEAIAAAACIAAABkcnMvZG93bnJldi54bWxQSwECFAAUAAAA&#10;CACHTuJAbucIrpgCAAD6BAAADgAAAAAAAAABACAAAAAoAQAAZHJzL2Uyb0RvYy54bWxQSwUGAAAA&#10;AAYABgBZAQAAMgY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特殊条款行权公告</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-520065</wp:posOffset>
                </wp:positionH>
                <wp:positionV relativeFrom="paragraph">
                  <wp:posOffset>927735</wp:posOffset>
                </wp:positionV>
                <wp:extent cx="808355" cy="334010"/>
                <wp:effectExtent l="6350" t="6350" r="23495" b="21590"/>
                <wp:wrapNone/>
                <wp:docPr id="33" name="流程图: 可选过程 33"/>
                <wp:cNvGraphicFramePr/>
                <a:graphic xmlns:a="http://schemas.openxmlformats.org/drawingml/2006/main">
                  <a:graphicData uri="http://schemas.microsoft.com/office/word/2010/wordprocessingShape">
                    <wps:wsp>
                      <wps:cNvSpPr/>
                      <wps:spPr>
                        <a:xfrm>
                          <a:off x="1127760" y="7566660"/>
                          <a:ext cx="808355" cy="3340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债券发行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40.95pt;margin-top:73.05pt;height:26.3pt;width:63.65pt;z-index:251659264;v-text-anchor:middle;mso-width-relative:page;mso-height-relative:page;" fillcolor="#5B9BD5 [3204]" filled="t" stroked="t" coordsize="21600,21600" o:gfxdata="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14iWV2AAAAAoBAAAPAAAAAAAAAAEAIAAAACIAAABkcnMvZG93bnJldi54bWxQSwEC&#10;FAAUAAAACACHTuJA4O1SEp8CAAAFBQAADgAAAAAAAAABACAAAAAnAQAAZHJzL2Uyb0RvYy54bWxQ&#10;SwUGAAAAAAYABgBZAQAAOAY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债券发行</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1203960</wp:posOffset>
                </wp:positionH>
                <wp:positionV relativeFrom="paragraph">
                  <wp:posOffset>765810</wp:posOffset>
                </wp:positionV>
                <wp:extent cx="1083945" cy="685165"/>
                <wp:effectExtent l="6350" t="6350" r="14605" b="13335"/>
                <wp:wrapNone/>
                <wp:docPr id="34" name="流程图: 可选过程 34"/>
                <wp:cNvGraphicFramePr/>
                <a:graphic xmlns:a="http://schemas.openxmlformats.org/drawingml/2006/main">
                  <a:graphicData uri="http://schemas.microsoft.com/office/word/2010/wordprocessingShape">
                    <wps:wsp>
                      <wps:cNvSpPr/>
                      <wps:spPr>
                        <a:xfrm>
                          <a:off x="0" y="0"/>
                          <a:ext cx="1083945" cy="68516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流通要素公告或上市公告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94.8pt;margin-top:60.3pt;height:53.95pt;width:85.35pt;z-index:251661312;v-text-anchor:middle;mso-width-relative:page;mso-height-relative:page;" fillcolor="#5B9BD5 [3204]" filled="t" stroked="t" coordsize="21600,21600" o:gfxdata="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JFOELrYAAAACwEAAA8AAAAAAAAAAQAgAAAAIgAAAGRycy9kb3ducmV2LnhtbFBLAQIUABQAAAAI&#10;AIdO4kBE3bcemAIAAPoEAAAOAAAAAAAAAAEAIAAAACcBAABkcnMvZTJvRG9jLnhtbFBLBQYAAAAA&#10;BgAGAFkBAAAxBg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流通要素公告或上市公告</w:t>
                      </w:r>
                    </w:p>
                  </w:txbxContent>
                </v:textbox>
              </v:shape>
            </w:pict>
          </mc:Fallback>
        </mc:AlternateContent>
      </w:r>
      <w:r>
        <w:rPr>
          <w:rFonts w:hint="eastAsia"/>
          <w:lang w:val="en-US" w:eastAsia="zh-CN"/>
        </w:rPr>
        <w:t xml:space="preserve">                  </w:t>
      </w:r>
    </w:p>
    <w:p>
      <w:pPr>
        <w:rPr>
          <w:rFonts w:hint="eastAsia"/>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1861185</wp:posOffset>
                </wp:positionH>
                <wp:positionV relativeFrom="paragraph">
                  <wp:posOffset>111125</wp:posOffset>
                </wp:positionV>
                <wp:extent cx="1695450" cy="428625"/>
                <wp:effectExtent l="6350" t="15240" r="12700" b="13335"/>
                <wp:wrapNone/>
                <wp:docPr id="44" name="圆角右箭头 44"/>
                <wp:cNvGraphicFramePr/>
                <a:graphic xmlns:a="http://schemas.openxmlformats.org/drawingml/2006/main">
                  <a:graphicData uri="http://schemas.microsoft.com/office/word/2010/wordprocessingShape">
                    <wps:wsp>
                      <wps:cNvSpPr/>
                      <wps:spPr>
                        <a:xfrm>
                          <a:off x="3004185" y="7614285"/>
                          <a:ext cx="1695450" cy="4286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6.55pt;margin-top:8.75pt;height:33.75pt;width:133.5pt;z-index:251670528;v-text-anchor:middle;mso-width-relative:page;mso-height-relative:page;" fillcolor="#5B9BD5 [3204]" filled="t" stroked="t" coordsize="1695450,428625" o:gfxdata="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L5n+/HXAAAACQEAAA8AAAAA&#10;AAAAAQAgAAAAIgAAAGRycy9kb3ducmV2LnhtbFBLAQIUABQAAAAIAIdO4kBe9GbihwIAAOMEAAAO&#10;AAAAAAAAAAEAIAAAACYBAABkcnMvZTJvRG9jLnhtbFBLBQYAAAAABgAGAFkBAAAfBgAAAAA=&#10;" path="m0,428625l0,241101c0,137535,83957,53578,187523,53578l1588293,53578,1588293,0,1695450,107156,1588293,214312,1588293,160734,187523,160734c143138,160734,107156,196716,107156,241101l107156,428625xe">
                <v:path o:connectlocs="1588293,0;1588293,214312;53578,428625;1695450,107156" o:connectangles="16200000,5400000,5400000,0"/>
                <v:fill on="t" focussize="0,0"/>
                <v:stroke weight="1pt" color="#41719C [3204]" miterlimit="8" joinstyle="miter"/>
                <v:imagedata o:title=""/>
                <o:lock v:ext="edit" aspectratio="f"/>
              </v:shape>
            </w:pict>
          </mc:Fallback>
        </mc:AlternateContent>
      </w:r>
      <w:r>
        <w:rPr>
          <w:rFonts w:hint="eastAsia"/>
          <w:lang w:val="en-US" w:eastAsia="zh-CN"/>
        </w:rPr>
        <w:t xml:space="preserve">                                      存在特殊条款</w:t>
      </w:r>
    </w:p>
    <w:p>
      <w:pPr>
        <w:rPr>
          <w:rFonts w:hint="eastAsia"/>
          <w:lang w:val="en-US" w:eastAsia="zh-CN"/>
        </w:rPr>
      </w:pPr>
      <w:r>
        <w:rPr>
          <w:rFonts w:hint="eastAsia"/>
          <w:lang w:val="en-US" w:eastAsia="zh-CN"/>
        </w:rPr>
        <w:t xml:space="preserve">                                                </w:t>
      </w:r>
    </w:p>
    <w:p>
      <w:pPr>
        <w:rPr>
          <w:rFonts w:hint="eastAsia"/>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4061460</wp:posOffset>
                </wp:positionH>
                <wp:positionV relativeFrom="paragraph">
                  <wp:posOffset>635</wp:posOffset>
                </wp:positionV>
                <wp:extent cx="75565" cy="561975"/>
                <wp:effectExtent l="15240" t="6350" r="23495" b="22225"/>
                <wp:wrapNone/>
                <wp:docPr id="43" name="下箭头 43"/>
                <wp:cNvGraphicFramePr/>
                <a:graphic xmlns:a="http://schemas.openxmlformats.org/drawingml/2006/main">
                  <a:graphicData uri="http://schemas.microsoft.com/office/word/2010/wordprocessingShape">
                    <wps:wsp>
                      <wps:cNvSpPr/>
                      <wps:spPr>
                        <a:xfrm>
                          <a:off x="5204460" y="7900035"/>
                          <a:ext cx="7556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19.8pt;margin-top:0.05pt;height:44.25pt;width:5.95pt;z-index:251669504;v-text-anchor:middle;mso-width-relative:page;mso-height-relative:page;" fillcolor="#5B9BD5 [3204]" filled="t" stroked="t" coordsize="21600,21600" o:gfxdata="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XOoRe1AAAAAcBAAAPAAAAAAAAAAEAIAAAACIA&#10;AABkcnMvZG93bnJldi54bWxQSwECFAAUAAAACACHTuJAE3TfKn8CAADbBAAADgAAAAAAAAABACAA&#10;AAAjAQAAZHJzL2Uyb0RvYy54bWxQSwUGAAAAAAYABgBZAQAAFAYAAAAA&#10;" adj="20148,5400">
                <v:fill on="t" focussize="0,0"/>
                <v:stroke weight="1pt" color="#41719C [3204]" miterlimit="8" joinstyle="miter"/>
                <v:imagedata o:title=""/>
                <o:lock v:ext="edit" aspectratio="f"/>
              </v:shape>
            </w:pict>
          </mc:Fallback>
        </mc:AlternateContent>
      </w:r>
    </w:p>
    <w:p>
      <w:pPr>
        <w:rPr>
          <w:rFonts w:hint="eastAsia"/>
          <w:lang w:val="en-US" w:eastAsia="zh-CN"/>
        </w:rPr>
      </w:pPr>
      <w:r>
        <w:rPr>
          <w:rFonts w:hint="eastAsia"/>
          <w:lang w:val="en-US" w:eastAsia="zh-CN"/>
        </w:rPr>
        <w:t xml:space="preserve">       发行结果</w:t>
      </w:r>
    </w:p>
    <w:p>
      <w:pPr>
        <w:rPr>
          <w:rFonts w:hint="eastAsia"/>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4661535</wp:posOffset>
                </wp:positionH>
                <wp:positionV relativeFrom="paragraph">
                  <wp:posOffset>156210</wp:posOffset>
                </wp:positionV>
                <wp:extent cx="1331595" cy="334010"/>
                <wp:effectExtent l="6350" t="6350" r="14605" b="21590"/>
                <wp:wrapNone/>
                <wp:docPr id="45" name="流程图: 可选过程 45"/>
                <wp:cNvGraphicFramePr/>
                <a:graphic xmlns:a="http://schemas.openxmlformats.org/drawingml/2006/main">
                  <a:graphicData uri="http://schemas.microsoft.com/office/word/2010/wordprocessingShape">
                    <wps:wsp>
                      <wps:cNvSpPr/>
                      <wps:spPr>
                        <a:xfrm>
                          <a:off x="0" y="0"/>
                          <a:ext cx="1331595" cy="3340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债券利率变动表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67.05pt;margin-top:12.3pt;height:26.3pt;width:104.85pt;z-index:251676672;v-text-anchor:middle;mso-width-relative:page;mso-height-relative:page;" fillcolor="#5B9BD5 [3204]" filled="t" stroked="t" coordsize="21600,21600" o:gfxdata="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N&#10;j/Sd1wAAAAkBAAAPAAAAAAAAAAEAIAAAACIAAABkcnMvZG93bnJldi54bWxQSwECFAAUAAAACACH&#10;TuJAFM9ztJcCAAD6BAAADgAAAAAAAAABACAAAAAmAQAAZHJzL2Uyb0RvYy54bWxQSwUGAAAAAAYA&#10;BgBZAQAALwY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债券利率变动表</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2947035</wp:posOffset>
                </wp:positionH>
                <wp:positionV relativeFrom="paragraph">
                  <wp:posOffset>165735</wp:posOffset>
                </wp:positionV>
                <wp:extent cx="1331595" cy="334010"/>
                <wp:effectExtent l="6350" t="6350" r="14605" b="21590"/>
                <wp:wrapNone/>
                <wp:docPr id="35" name="流程图: 可选过程 35"/>
                <wp:cNvGraphicFramePr/>
                <a:graphic xmlns:a="http://schemas.openxmlformats.org/drawingml/2006/main">
                  <a:graphicData uri="http://schemas.microsoft.com/office/word/2010/wordprocessingShape">
                    <wps:wsp>
                      <wps:cNvSpPr/>
                      <wps:spPr>
                        <a:xfrm>
                          <a:off x="0" y="0"/>
                          <a:ext cx="1331595" cy="3340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付息兑付公告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32.05pt;margin-top:13.05pt;height:26.3pt;width:104.85pt;z-index:251663360;v-text-anchor:middle;mso-width-relative:page;mso-height-relative:page;" fillcolor="#5B9BD5 [3204]" filled="t" stroked="t" coordsize="21600,21600" o:gfxdata="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ZEuJkdgAAAAJAQAADwAAAAAAAAABACAAAAAiAAAAZHJzL2Rvd25yZXYueG1sUEsBAhQAFAAAAAgA&#10;h07iQJfLaoeXAgAA+gQAAA4AAAAAAAAAAQAgAAAAJwEAAGRycy9lMm9Eb2MueG1sUEsFBgAAAAAG&#10;AAYAWQEAADAGA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付息兑付公告</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1975485</wp:posOffset>
                </wp:positionH>
                <wp:positionV relativeFrom="paragraph">
                  <wp:posOffset>499745</wp:posOffset>
                </wp:positionV>
                <wp:extent cx="1619250" cy="476250"/>
                <wp:effectExtent l="6350" t="8890" r="0" b="10160"/>
                <wp:wrapNone/>
                <wp:docPr id="42" name="下弧形箭头 42"/>
                <wp:cNvGraphicFramePr/>
                <a:graphic xmlns:a="http://schemas.openxmlformats.org/drawingml/2006/main">
                  <a:graphicData uri="http://schemas.microsoft.com/office/word/2010/wordprocessingShape">
                    <wps:wsp>
                      <wps:cNvSpPr/>
                      <wps:spPr>
                        <a:xfrm>
                          <a:off x="3118485" y="8795385"/>
                          <a:ext cx="1619250" cy="4762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4" type="#_x0000_t104" style="position:absolute;left:0pt;margin-left:155.55pt;margin-top:39.35pt;height:37.5pt;width:127.5pt;z-index:251668480;v-text-anchor:middle;mso-width-relative:page;mso-height-relative:page;" fillcolor="#5B9BD5 [3204]" filled="t" stroked="t" coordsize="21600,21600" o:gfxdata="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D/AlbLXAAAACgEAAA8A&#10;AAAAAAAAAQAgAAAAIgAAAGRycy9kb3ducmV2LnhtbFBLAQIUABQAAAAIAIdO4kBLzUsgigIAAOcE&#10;AAAOAAAAAAAAAAEAIAAAACYBAABkcnMvZTJvRG9jLnhtbFBLBQYAAAAABgAGAFkBAAAiBgAAAAA=&#10;" adj="18424,20806,5400">
                <v:fill on="t" focussize="0,0"/>
                <v:stroke weight="1pt" color="#41719C [3204]" miterlimit="8" joinstyle="miter"/>
                <v:imagedata o:title=""/>
                <o:lock v:ext="edit" aspectratio="f"/>
              </v:shape>
            </w:pict>
          </mc:Fallback>
        </mc:AlternateContent>
      </w:r>
      <w:r>
        <w:rPr>
          <w:rFonts w:hint="eastAsia"/>
          <w:lang w:val="en-US" w:eastAsia="zh-CN"/>
        </w:rPr>
        <w:t xml:space="preserve">                                                    </w:t>
      </w:r>
    </w:p>
    <w:p>
      <w:pPr>
        <w:rPr>
          <w:rFonts w:hint="eastAsia"/>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4290060</wp:posOffset>
                </wp:positionH>
                <wp:positionV relativeFrom="paragraph">
                  <wp:posOffset>130175</wp:posOffset>
                </wp:positionV>
                <wp:extent cx="352425" cy="75565"/>
                <wp:effectExtent l="6350" t="15240" r="22225" b="23495"/>
                <wp:wrapNone/>
                <wp:docPr id="46" name="右箭头 46"/>
                <wp:cNvGraphicFramePr/>
                <a:graphic xmlns:a="http://schemas.openxmlformats.org/drawingml/2006/main">
                  <a:graphicData uri="http://schemas.microsoft.com/office/word/2010/wordprocessingShape">
                    <wps:wsp>
                      <wps:cNvSpPr/>
                      <wps:spPr>
                        <a:xfrm>
                          <a:off x="5433060" y="8623935"/>
                          <a:ext cx="352425"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37.8pt;margin-top:10.25pt;height:5.95pt;width:27.75pt;z-index:251677696;v-text-anchor:middle;mso-width-relative:page;mso-height-relative:page;" fillcolor="#5B9BD5 [3204]" filled="t" stroked="t" coordsize="21600,21600" o:gfxdata="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EekXQ2QAAAAkBAAAPAAAAAAAAAAEA&#10;IAAAACIAAABkcnMvZG93bnJldi54bWxQSwECFAAUAAAACACHTuJALFlDPIACAADcBAAADgAAAAAA&#10;AAABACAAAAAoAQAAZHJzL2Uyb0RvYy54bWxQSwUGAAAAAAYABgBZAQAAGgYAAAAA&#10;" adj="19285,5400">
                <v:fill on="t" focussize="0,0"/>
                <v:stroke weight="1pt" color="#41719C [3204]" miterlimit="8" joinstyle="miter"/>
                <v:imagedata o:title=""/>
                <o:lock v:ext="edit" aspectratio="f"/>
              </v:shape>
            </w:pict>
          </mc:Fallback>
        </mc:AlternateConten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没有特殊条款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A00002EF" w:usb1="4000004B"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A00002EF" w:usb1="4000004B"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A00002EF" w:usb1="4000004B"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仿宋体">
    <w:altName w:val="宋体"/>
    <w:panose1 w:val="00000000000000000000"/>
    <w:charset w:val="86"/>
    <w:family w:val="roma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Unicode MS">
    <w:altName w:val="宋体"/>
    <w:panose1 w:val="020B0604020202020204"/>
    <w:charset w:val="86"/>
    <w:family w:val="swiss"/>
    <w:pitch w:val="default"/>
    <w:sig w:usb0="00000000" w:usb1="00000000" w:usb2="0000003F" w:usb3="00000000" w:csb0="603F01FF" w:csb1="FFFF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decorative"/>
    <w:pitch w:val="default"/>
    <w:sig w:usb0="E0002A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仿宋体">
    <w:altName w:val="宋体"/>
    <w:panose1 w:val="00000000000000000000"/>
    <w:charset w:val="86"/>
    <w:family w:val="modern"/>
    <w:pitch w:val="default"/>
    <w:sig w:usb0="00000000" w:usb1="00000000" w:usb2="00000010" w:usb3="00000000" w:csb0="00040000" w:csb1="00000000"/>
  </w:font>
  <w:font w:name="微软雅黑">
    <w:panose1 w:val="020B0503020204020204"/>
    <w:charset w:val="86"/>
    <w:family w:val="decorative"/>
    <w:pitch w:val="default"/>
    <w:sig w:usb0="80000287" w:usb1="280F3C52" w:usb2="00000016" w:usb3="00000000" w:csb0="0004001F" w:csb1="00000000"/>
  </w:font>
  <w:font w:name="楷体_GB2312">
    <w:altName w:val="楷体"/>
    <w:panose1 w:val="00000000000000000000"/>
    <w:charset w:val="86"/>
    <w:family w:val="swiss"/>
    <w:pitch w:val="default"/>
    <w:sig w:usb0="00000000" w:usb1="00000000" w:usb2="00000010" w:usb3="00000000" w:csb0="00040000" w:csb1="00000000"/>
  </w:font>
  <w:font w:name="Tahoma">
    <w:panose1 w:val="020B0604030504040204"/>
    <w:charset w:val="00"/>
    <w:family w:val="decorative"/>
    <w:pitch w:val="default"/>
    <w:sig w:usb0="E1002EFF" w:usb1="C000605B" w:usb2="00000029" w:usb3="00000000" w:csb0="200101FF" w:csb1="20280000"/>
  </w:font>
  <w:font w:name="Arial Unicode MS">
    <w:altName w:val="宋体"/>
    <w:panose1 w:val="020B0604020202020204"/>
    <w:charset w:val="86"/>
    <w:family w:val="decorative"/>
    <w:pitch w:val="default"/>
    <w:sig w:usb0="00000000" w:usb1="00000000" w:usb2="0000003F" w:usb3="00000000" w:csb0="603F01FF" w:csb1="FFFF0000"/>
  </w:font>
  <w:font w:name="楷体">
    <w:panose1 w:val="02010609060101010101"/>
    <w:charset w:val="86"/>
    <w:family w:val="swiss"/>
    <w:pitch w:val="default"/>
    <w:sig w:usb0="800002BF" w:usb1="38CF7CFA" w:usb2="00000016" w:usb3="00000000" w:csb0="00040001" w:csb1="00000000"/>
  </w:font>
  <w:font w:name="Arial">
    <w:panose1 w:val="020B0604020202020204"/>
    <w:charset w:val="00"/>
    <w:family w:val="roman"/>
    <w:pitch w:val="default"/>
    <w:sig w:usb0="E0002A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仿宋体">
    <w:altName w:val="宋体"/>
    <w:panose1 w:val="00000000000000000000"/>
    <w:charset w:val="86"/>
    <w:family w:val="swiss"/>
    <w:pitch w:val="default"/>
    <w:sig w:usb0="00000000" w:usb1="00000000" w:usb2="00000010" w:usb3="00000000" w:csb0="00040000" w:csb1="00000000"/>
  </w:font>
  <w:font w:name="微软雅黑">
    <w:panose1 w:val="020B0503020204020204"/>
    <w:charset w:val="86"/>
    <w:family w:val="roman"/>
    <w:pitch w:val="default"/>
    <w:sig w:usb0="80000287" w:usb1="280F3C52" w:usb2="00000016" w:usb3="00000000" w:csb0="0004001F" w:csb1="00000000"/>
  </w:font>
  <w:font w:name="楷体_GB2312">
    <w:altName w:val="楷体"/>
    <w:panose1 w:val="00000000000000000000"/>
    <w:charset w:val="86"/>
    <w:family w:val="decorative"/>
    <w:pitch w:val="default"/>
    <w:sig w:usb0="00000000" w:usb1="00000000" w:usb2="00000010" w:usb3="00000000" w:csb0="00040000" w:csb1="00000000"/>
  </w:font>
  <w:font w:name="Tahoma">
    <w:panose1 w:val="020B0604030504040204"/>
    <w:charset w:val="00"/>
    <w:family w:val="roman"/>
    <w:pitch w:val="default"/>
    <w:sig w:usb0="E1002EFF" w:usb1="C000605B" w:usb2="00000029" w:usb3="00000000" w:csb0="200101FF" w:csb1="20280000"/>
  </w:font>
  <w:font w:name="Arial Unicode MS">
    <w:altName w:val="宋体"/>
    <w:panose1 w:val="020B0604020202020204"/>
    <w:charset w:val="86"/>
    <w:family w:val="roman"/>
    <w:pitch w:val="default"/>
    <w:sig w:usb0="00000000" w:usb1="00000000" w:usb2="0000003F" w:usb3="00000000" w:csb0="603F01FF" w:csb1="FFFF0000"/>
  </w:font>
  <w:font w:name="楷体">
    <w:panose1 w:val="02010609060101010101"/>
    <w:charset w:val="86"/>
    <w:family w:val="decorative"/>
    <w:pitch w:val="default"/>
    <w:sig w:usb0="800002BF" w:usb1="38CF7CFA" w:usb2="00000016" w:usb3="00000000" w:csb0="00040001" w:csb1="00000000"/>
  </w:font>
  <w:font w:name="Arial">
    <w:panose1 w:val="020B0604020202020204"/>
    <w:charset w:val="00"/>
    <w:family w:val="modern"/>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仿宋体">
    <w:altName w:val="宋体"/>
    <w:panose1 w:val="00000000000000000000"/>
    <w:charset w:val="86"/>
    <w:family w:val="decorative"/>
    <w:pitch w:val="default"/>
    <w:sig w:usb0="00000000" w:usb1="00000000" w:usb2="00000010" w:usb3="00000000" w:csb0="00040000" w:csb1="00000000"/>
  </w:font>
  <w:font w:name="微软雅黑">
    <w:panose1 w:val="020B0503020204020204"/>
    <w:charset w:val="86"/>
    <w:family w:val="modern"/>
    <w:pitch w:val="default"/>
    <w:sig w:usb0="80000287" w:usb1="280F3C52" w:usb2="00000016" w:usb3="00000000" w:csb0="0004001F" w:csb1="00000000"/>
  </w:font>
  <w:font w:name="楷体_GB2312">
    <w:altName w:val="楷体"/>
    <w:panose1 w:val="00000000000000000000"/>
    <w:charset w:val="86"/>
    <w:family w:val="roman"/>
    <w:pitch w:val="default"/>
    <w:sig w:usb0="00000000" w:usb1="00000000" w:usb2="00000010" w:usb3="00000000" w:csb0="00040000" w:csb1="00000000"/>
  </w:font>
  <w:font w:name="Tahoma">
    <w:panose1 w:val="020B0604030504040204"/>
    <w:charset w:val="00"/>
    <w:family w:val="modern"/>
    <w:pitch w:val="default"/>
    <w:sig w:usb0="E1002EFF" w:usb1="C000605B" w:usb2="00000029" w:usb3="00000000" w:csb0="200101FF" w:csb1="20280000"/>
  </w:font>
  <w:font w:name="Arial Unicode MS">
    <w:altName w:val="宋体"/>
    <w:panose1 w:val="020B0604020202020204"/>
    <w:charset w:val="86"/>
    <w:family w:val="modern"/>
    <w:pitch w:val="default"/>
    <w:sig w:usb0="00000000" w:usb1="00000000" w:usb2="0000003F" w:usb3="00000000" w:csb0="603F01FF" w:csb1="FFFF0000"/>
  </w:font>
  <w:font w:name="楷体">
    <w:panose1 w:val="02010609060101010101"/>
    <w:charset w:val="86"/>
    <w:family w:val="roman"/>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Hiragino Sans GB W3">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瀹嬩綋">
    <w:altName w:val="宋体"/>
    <w:panose1 w:val="00000000000000000000"/>
    <w:charset w:val="86"/>
    <w:family w:val="auto"/>
    <w:pitch w:val="default"/>
    <w:sig w:usb0="00000000" w:usb1="00000000" w:usb2="00000000" w:usb3="00000000" w:csb0="00040000" w:csb1="00000000"/>
  </w:font>
  <w:font w:name="å®‹ä½“">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swiss"/>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Georgia">
    <w:panose1 w:val="02040502050405020303"/>
    <w:charset w:val="00"/>
    <w:family w:val="auto"/>
    <w:pitch w:val="default"/>
    <w:sig w:usb0="00000287" w:usb1="00000000" w:usb2="00000000" w:usb3="00000000" w:csb0="2000009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ascii="微软雅黑" w:hAnsi="微软雅黑" w:eastAsia="微软雅黑" w:cs="Calibri"/>
        <w:b/>
        <w:bCs/>
        <w:color w:val="ED6C00"/>
        <w:kern w:val="0"/>
        <w:sz w:val="24"/>
        <w:szCs w:val="24"/>
        <w:lang w:val="en-US" w:eastAsia="zh-CN" w:bidi="ar-SA"/>
      </w:rPr>
    </w:pPr>
    <w:r>
      <w:rPr>
        <w:rFonts w:hint="eastAsia" w:ascii="微软雅黑" w:hAnsi="微软雅黑" w:eastAsia="微软雅黑" w:cs="Calibri"/>
        <w:b/>
        <w:bCs/>
        <w:color w:val="ED6C00"/>
        <w:kern w:val="0"/>
        <w:sz w:val="24"/>
        <w:szCs w:val="24"/>
        <w:lang w:val="en-US" w:eastAsia="zh-CN" w:bidi="ar-SA"/>
      </w:rPr>
      <w:t>上海浦东新区张东路1388号科技领袖之都8号楼</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4"/>
        <w:szCs w:val="24"/>
      </w:rPr>
    </w:pPr>
    <w:r>
      <w:rPr>
        <w:rFonts w:hint="eastAsia" w:ascii="微软雅黑" w:hAnsi="微软雅黑" w:eastAsia="微软雅黑" w:cs="Calibri"/>
        <w:b/>
        <w:bCs/>
        <w:color w:val="ED6C00"/>
        <w:kern w:val="0"/>
        <w:sz w:val="24"/>
        <w:szCs w:val="24"/>
      </w:rPr>
      <w:t>上海</w:t>
    </w:r>
    <w:r>
      <w:rPr>
        <w:rFonts w:ascii="微软雅黑" w:hAnsi="微软雅黑" w:eastAsia="微软雅黑" w:cs="Calibri"/>
        <w:b/>
        <w:bCs/>
        <w:color w:val="ED6C00"/>
        <w:kern w:val="0"/>
        <w:sz w:val="24"/>
        <w:szCs w:val="24"/>
      </w:rPr>
      <w:t>普兰金融</w:t>
    </w:r>
    <w:r>
      <w:rPr>
        <w:rFonts w:hint="eastAsia" w:ascii="微软雅黑" w:hAnsi="微软雅黑" w:eastAsia="微软雅黑" w:cs="Calibri"/>
        <w:b/>
        <w:bCs/>
        <w:color w:val="ED6C00"/>
        <w:kern w:val="0"/>
        <w:sz w:val="24"/>
        <w:szCs w:val="24"/>
      </w:rPr>
      <w:t>服务有限公司</w:t>
    </w:r>
    <w:r>
      <w:rPr>
        <w:rFonts w:hint="eastAsia" w:ascii="微软雅黑" w:hAnsi="微软雅黑" w:eastAsia="微软雅黑" w:cs="Calibri"/>
        <w:b/>
        <w:bCs/>
        <w:color w:val="ED6C00"/>
        <w:kern w:val="0"/>
        <w:sz w:val="24"/>
        <w:szCs w:val="24"/>
        <w:lang w:val="en-US" w:eastAsia="zh-CN"/>
      </w:rPr>
      <w:t xml:space="preserve">                           </w:t>
    </w:r>
    <w:r>
      <w:rPr>
        <w:rFonts w:hint="eastAsia" w:ascii="楷体_GB2312" w:hAnsi="Tahoma" w:eastAsia="楷体_GB2312" w:cs="Tahoma"/>
        <w:bCs/>
        <w:kern w:val="0"/>
        <w:sz w:val="20"/>
      </w:rPr>
      <w:t>数据中心_数据业务规划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F4F58"/>
    <w:multiLevelType w:val="multilevel"/>
    <w:tmpl w:val="56EF4F58"/>
    <w:lvl w:ilvl="0" w:tentative="0">
      <w:start w:val="1"/>
      <w:numFmt w:val="decimal"/>
      <w:pStyle w:val="2"/>
      <w:lvlText w:val="%1."/>
      <w:lvlJc w:val="left"/>
      <w:pPr>
        <w:tabs>
          <w:tab w:val="left" w:pos="432"/>
        </w:tabs>
        <w:ind w:left="432" w:leftChars="0" w:hanging="432" w:firstLineChars="0"/>
      </w:pPr>
      <w:rPr>
        <w:rFonts w:hint="default"/>
      </w:rPr>
    </w:lvl>
    <w:lvl w:ilvl="1" w:tentative="0">
      <w:start w:val="1"/>
      <w:numFmt w:val="decimal"/>
      <w:pStyle w:val="3"/>
      <w:lvlText w:val="%1.%2."/>
      <w:lvlJc w:val="left"/>
      <w:pPr>
        <w:tabs>
          <w:tab w:val="left" w:pos="575"/>
        </w:tabs>
        <w:ind w:left="575" w:leftChars="0" w:hanging="575" w:firstLineChars="0"/>
      </w:pPr>
      <w:rPr>
        <w:rFonts w:hint="default" w:ascii="宋体" w:hAnsi="宋体" w:eastAsia="宋体" w:cs="宋体"/>
      </w:rPr>
    </w:lvl>
    <w:lvl w:ilvl="2" w:tentative="0">
      <w:start w:val="1"/>
      <w:numFmt w:val="decimal"/>
      <w:pStyle w:val="5"/>
      <w:lvlText w:val="%1.%2.%3."/>
      <w:lvlJc w:val="left"/>
      <w:pPr>
        <w:tabs>
          <w:tab w:val="left" w:pos="720"/>
        </w:tabs>
        <w:ind w:left="720" w:leftChars="0" w:hanging="720" w:firstLineChars="0"/>
      </w:pPr>
      <w:rPr>
        <w:rFonts w:hint="default" w:ascii="宋体" w:hAnsi="宋体" w:eastAsia="宋体" w:cs="宋体"/>
      </w:rPr>
    </w:lvl>
    <w:lvl w:ilvl="3" w:tentative="0">
      <w:start w:val="1"/>
      <w:numFmt w:val="decimal"/>
      <w:pStyle w:val="6"/>
      <w:lvlText w:val="%1.%2.%3.%4."/>
      <w:lvlJc w:val="left"/>
      <w:pPr>
        <w:tabs>
          <w:tab w:val="left" w:pos="864"/>
        </w:tabs>
        <w:ind w:left="864" w:leftChars="0" w:hanging="864" w:firstLineChars="0"/>
      </w:pPr>
      <w:rPr>
        <w:rFonts w:hint="default" w:ascii="宋体" w:hAnsi="宋体" w:eastAsia="宋体" w:cs="宋体"/>
      </w:rPr>
    </w:lvl>
    <w:lvl w:ilvl="4" w:tentative="0">
      <w:start w:val="1"/>
      <w:numFmt w:val="decimal"/>
      <w:pStyle w:val="7"/>
      <w:lvlText w:val="%1.%2.%3.%4.%5."/>
      <w:lvlJc w:val="left"/>
      <w:pPr>
        <w:tabs>
          <w:tab w:val="left" w:pos="1008"/>
        </w:tabs>
        <w:ind w:left="1008" w:leftChars="0" w:hanging="1008" w:firstLineChars="0"/>
      </w:pPr>
      <w:rPr>
        <w:rFonts w:hint="default" w:ascii="宋体" w:hAnsi="宋体" w:eastAsia="宋体" w:cs="宋体"/>
      </w:rPr>
    </w:lvl>
    <w:lvl w:ilvl="5" w:tentative="0">
      <w:start w:val="1"/>
      <w:numFmt w:val="decimal"/>
      <w:pStyle w:val="8"/>
      <w:lvlText w:val="%1.%2.%3.%4.%5.%6."/>
      <w:lvlJc w:val="left"/>
      <w:pPr>
        <w:tabs>
          <w:tab w:val="left" w:pos="1151"/>
        </w:tabs>
        <w:ind w:left="1151" w:leftChars="0" w:hanging="1151" w:firstLineChars="0"/>
      </w:pPr>
      <w:rPr>
        <w:rFonts w:hint="default" w:ascii="宋体" w:hAnsi="宋体" w:eastAsia="宋体" w:cs="宋体"/>
      </w:rPr>
    </w:lvl>
    <w:lvl w:ilvl="6" w:tentative="0">
      <w:start w:val="1"/>
      <w:numFmt w:val="decimal"/>
      <w:pStyle w:val="9"/>
      <w:lvlText w:val="%1.%2.%3.%4.%5.%6.%7."/>
      <w:lvlJc w:val="left"/>
      <w:pPr>
        <w:tabs>
          <w:tab w:val="left" w:pos="1296"/>
        </w:tabs>
        <w:ind w:left="1296" w:leftChars="0" w:hanging="1296" w:firstLineChars="0"/>
      </w:pPr>
      <w:rPr>
        <w:rFonts w:hint="default" w:ascii="宋体" w:hAnsi="宋体" w:eastAsia="宋体" w:cs="宋体"/>
      </w:rPr>
    </w:lvl>
    <w:lvl w:ilvl="7" w:tentative="0">
      <w:start w:val="1"/>
      <w:numFmt w:val="decimal"/>
      <w:pStyle w:val="10"/>
      <w:lvlText w:val="%1.%2.%3.%4.%5.%6.%7.%8."/>
      <w:lvlJc w:val="left"/>
      <w:pPr>
        <w:tabs>
          <w:tab w:val="left" w:pos="1440"/>
        </w:tabs>
        <w:ind w:left="1440" w:leftChars="0" w:hanging="1440" w:firstLineChars="0"/>
      </w:pPr>
      <w:rPr>
        <w:rFonts w:hint="default" w:ascii="宋体" w:hAnsi="宋体" w:eastAsia="宋体" w:cs="宋体"/>
      </w:rPr>
    </w:lvl>
    <w:lvl w:ilvl="8" w:tentative="0">
      <w:start w:val="1"/>
      <w:numFmt w:val="decimal"/>
      <w:pStyle w:val="11"/>
      <w:lvlText w:val="%1.%2.%3.%4.%5.%6.%7.%8.%9."/>
      <w:lvlJc w:val="left"/>
      <w:pPr>
        <w:tabs>
          <w:tab w:val="left" w:pos="1583"/>
        </w:tabs>
        <w:ind w:left="1583" w:leftChars="0" w:hanging="1583" w:firstLineChars="0"/>
      </w:pPr>
      <w:rPr>
        <w:rFonts w:hint="default" w:ascii="宋体" w:hAnsi="宋体" w:eastAsia="宋体" w:cs="宋体"/>
      </w:rPr>
    </w:lvl>
  </w:abstractNum>
  <w:abstractNum w:abstractNumId="1">
    <w:nsid w:val="57635457"/>
    <w:multiLevelType w:val="singleLevel"/>
    <w:tmpl w:val="57635457"/>
    <w:lvl w:ilvl="0" w:tentative="0">
      <w:start w:val="4"/>
      <w:numFmt w:val="decimal"/>
      <w:suff w:val="nothing"/>
      <w:lvlText w:val="%1."/>
      <w:lvlJc w:val="left"/>
    </w:lvl>
  </w:abstractNum>
  <w:abstractNum w:abstractNumId="2">
    <w:nsid w:val="57B27A93"/>
    <w:multiLevelType w:val="singleLevel"/>
    <w:tmpl w:val="57B27A93"/>
    <w:lvl w:ilvl="0" w:tentative="0">
      <w:start w:val="1"/>
      <w:numFmt w:val="decimal"/>
      <w:suff w:val="nothing"/>
      <w:lvlText w:val="%1、"/>
      <w:lvlJc w:val="left"/>
    </w:lvl>
  </w:abstractNum>
  <w:abstractNum w:abstractNumId="3">
    <w:nsid w:val="57B2AE60"/>
    <w:multiLevelType w:val="singleLevel"/>
    <w:tmpl w:val="57B2AE60"/>
    <w:lvl w:ilvl="0" w:tentative="0">
      <w:start w:val="2"/>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B0E28"/>
    <w:rsid w:val="01241E4F"/>
    <w:rsid w:val="013137A7"/>
    <w:rsid w:val="015B3C74"/>
    <w:rsid w:val="01BB47E6"/>
    <w:rsid w:val="026A3D04"/>
    <w:rsid w:val="02912F40"/>
    <w:rsid w:val="054F7512"/>
    <w:rsid w:val="0579291E"/>
    <w:rsid w:val="06004EB2"/>
    <w:rsid w:val="061D4115"/>
    <w:rsid w:val="07123821"/>
    <w:rsid w:val="08502DB0"/>
    <w:rsid w:val="09226A11"/>
    <w:rsid w:val="09DE6FCD"/>
    <w:rsid w:val="0A452967"/>
    <w:rsid w:val="0B6F09E8"/>
    <w:rsid w:val="0B8D0737"/>
    <w:rsid w:val="0BA42155"/>
    <w:rsid w:val="0C0B50F2"/>
    <w:rsid w:val="0C336A31"/>
    <w:rsid w:val="0C6D0CF1"/>
    <w:rsid w:val="0CE831CB"/>
    <w:rsid w:val="0E98447E"/>
    <w:rsid w:val="0F44239A"/>
    <w:rsid w:val="0F98259F"/>
    <w:rsid w:val="0FE00DA4"/>
    <w:rsid w:val="11282778"/>
    <w:rsid w:val="11554036"/>
    <w:rsid w:val="12C96171"/>
    <w:rsid w:val="133C243E"/>
    <w:rsid w:val="14257818"/>
    <w:rsid w:val="14736A94"/>
    <w:rsid w:val="14AD3FAA"/>
    <w:rsid w:val="14B21420"/>
    <w:rsid w:val="15A06B8B"/>
    <w:rsid w:val="15A62093"/>
    <w:rsid w:val="15D53432"/>
    <w:rsid w:val="17AF2E68"/>
    <w:rsid w:val="180E5885"/>
    <w:rsid w:val="185006EB"/>
    <w:rsid w:val="18990CDA"/>
    <w:rsid w:val="18E11941"/>
    <w:rsid w:val="1968163F"/>
    <w:rsid w:val="19AF5A41"/>
    <w:rsid w:val="19D03439"/>
    <w:rsid w:val="19E53489"/>
    <w:rsid w:val="1B3A0FC0"/>
    <w:rsid w:val="1B4D7BB1"/>
    <w:rsid w:val="1BB4673C"/>
    <w:rsid w:val="1C5446D0"/>
    <w:rsid w:val="1D7D7306"/>
    <w:rsid w:val="1E297F8C"/>
    <w:rsid w:val="1E9315F2"/>
    <w:rsid w:val="1F8165C7"/>
    <w:rsid w:val="1FEA523A"/>
    <w:rsid w:val="208926CC"/>
    <w:rsid w:val="2204649D"/>
    <w:rsid w:val="22097894"/>
    <w:rsid w:val="225F34C2"/>
    <w:rsid w:val="22780EC5"/>
    <w:rsid w:val="229647A0"/>
    <w:rsid w:val="23080E19"/>
    <w:rsid w:val="2393674D"/>
    <w:rsid w:val="23BE1004"/>
    <w:rsid w:val="24235A63"/>
    <w:rsid w:val="24B876F7"/>
    <w:rsid w:val="253C770A"/>
    <w:rsid w:val="25B83F4C"/>
    <w:rsid w:val="25C74915"/>
    <w:rsid w:val="25FB4BA5"/>
    <w:rsid w:val="2675050D"/>
    <w:rsid w:val="27C82253"/>
    <w:rsid w:val="28712837"/>
    <w:rsid w:val="28963BA5"/>
    <w:rsid w:val="28EA3420"/>
    <w:rsid w:val="295F45C3"/>
    <w:rsid w:val="297E2752"/>
    <w:rsid w:val="2A1E4926"/>
    <w:rsid w:val="2A3D3E45"/>
    <w:rsid w:val="2AF4403C"/>
    <w:rsid w:val="2AFB648E"/>
    <w:rsid w:val="2C166788"/>
    <w:rsid w:val="2C8D5281"/>
    <w:rsid w:val="2D6A7600"/>
    <w:rsid w:val="2DF04215"/>
    <w:rsid w:val="2EA02F97"/>
    <w:rsid w:val="2EBE04CF"/>
    <w:rsid w:val="2F8842C0"/>
    <w:rsid w:val="2F8A7ED9"/>
    <w:rsid w:val="3015205E"/>
    <w:rsid w:val="32E74CF5"/>
    <w:rsid w:val="33E76915"/>
    <w:rsid w:val="34042AC8"/>
    <w:rsid w:val="342F69AB"/>
    <w:rsid w:val="3484779C"/>
    <w:rsid w:val="352E12F4"/>
    <w:rsid w:val="35C10D3F"/>
    <w:rsid w:val="380712FC"/>
    <w:rsid w:val="38175622"/>
    <w:rsid w:val="38441FC5"/>
    <w:rsid w:val="38987E42"/>
    <w:rsid w:val="38D435D1"/>
    <w:rsid w:val="3A2C02D0"/>
    <w:rsid w:val="3A3541BA"/>
    <w:rsid w:val="3AE865BB"/>
    <w:rsid w:val="3B4C0469"/>
    <w:rsid w:val="3B6C5848"/>
    <w:rsid w:val="3C702923"/>
    <w:rsid w:val="3CFA2B9D"/>
    <w:rsid w:val="3D1F6A14"/>
    <w:rsid w:val="3D5208BE"/>
    <w:rsid w:val="3D7424B3"/>
    <w:rsid w:val="3D842486"/>
    <w:rsid w:val="3DE56064"/>
    <w:rsid w:val="3E4A68E9"/>
    <w:rsid w:val="3E8A4B46"/>
    <w:rsid w:val="3EDE22CE"/>
    <w:rsid w:val="41320EC6"/>
    <w:rsid w:val="4185788C"/>
    <w:rsid w:val="41D804F6"/>
    <w:rsid w:val="41FE1D6C"/>
    <w:rsid w:val="424C4B89"/>
    <w:rsid w:val="42890911"/>
    <w:rsid w:val="43EC12FF"/>
    <w:rsid w:val="440001BF"/>
    <w:rsid w:val="44025E85"/>
    <w:rsid w:val="44EB3421"/>
    <w:rsid w:val="459578E7"/>
    <w:rsid w:val="45D92F9E"/>
    <w:rsid w:val="46DF6BDC"/>
    <w:rsid w:val="47524038"/>
    <w:rsid w:val="48D92D93"/>
    <w:rsid w:val="4A144698"/>
    <w:rsid w:val="4A254450"/>
    <w:rsid w:val="4A862FE2"/>
    <w:rsid w:val="4AB97371"/>
    <w:rsid w:val="4B903C66"/>
    <w:rsid w:val="4BDF292F"/>
    <w:rsid w:val="4C415DB7"/>
    <w:rsid w:val="4C66636A"/>
    <w:rsid w:val="4CF05029"/>
    <w:rsid w:val="4D304BC1"/>
    <w:rsid w:val="4EC0326A"/>
    <w:rsid w:val="4F43529A"/>
    <w:rsid w:val="50B33C86"/>
    <w:rsid w:val="510D40FF"/>
    <w:rsid w:val="51231DBB"/>
    <w:rsid w:val="51647ABC"/>
    <w:rsid w:val="51963ED2"/>
    <w:rsid w:val="5269768F"/>
    <w:rsid w:val="539903CC"/>
    <w:rsid w:val="542011EA"/>
    <w:rsid w:val="54660F98"/>
    <w:rsid w:val="54B5260E"/>
    <w:rsid w:val="54CA43EF"/>
    <w:rsid w:val="54E70960"/>
    <w:rsid w:val="54F31476"/>
    <w:rsid w:val="56663684"/>
    <w:rsid w:val="57856723"/>
    <w:rsid w:val="58A64B71"/>
    <w:rsid w:val="590144F3"/>
    <w:rsid w:val="59051504"/>
    <w:rsid w:val="59754CD5"/>
    <w:rsid w:val="59C8345A"/>
    <w:rsid w:val="5A13171E"/>
    <w:rsid w:val="5A687659"/>
    <w:rsid w:val="5BE2444C"/>
    <w:rsid w:val="5C1C7E08"/>
    <w:rsid w:val="5C5A7DAE"/>
    <w:rsid w:val="5CB851F0"/>
    <w:rsid w:val="5D7407C1"/>
    <w:rsid w:val="5E9B07C3"/>
    <w:rsid w:val="5ECC1F13"/>
    <w:rsid w:val="61E30B58"/>
    <w:rsid w:val="620F5A75"/>
    <w:rsid w:val="625A6C6C"/>
    <w:rsid w:val="62C60909"/>
    <w:rsid w:val="63070E75"/>
    <w:rsid w:val="634F2F8C"/>
    <w:rsid w:val="647D4D02"/>
    <w:rsid w:val="65266FE2"/>
    <w:rsid w:val="6580317C"/>
    <w:rsid w:val="659A7793"/>
    <w:rsid w:val="66023604"/>
    <w:rsid w:val="663A7014"/>
    <w:rsid w:val="672F0459"/>
    <w:rsid w:val="67C85215"/>
    <w:rsid w:val="67CF0554"/>
    <w:rsid w:val="6A2274E5"/>
    <w:rsid w:val="6A8755F4"/>
    <w:rsid w:val="6A9814C3"/>
    <w:rsid w:val="6B625535"/>
    <w:rsid w:val="6C0F5AF2"/>
    <w:rsid w:val="6C753A17"/>
    <w:rsid w:val="6C801CFB"/>
    <w:rsid w:val="6CC101E4"/>
    <w:rsid w:val="6D5C14FA"/>
    <w:rsid w:val="6E0D659C"/>
    <w:rsid w:val="6E384BFD"/>
    <w:rsid w:val="6EF54DDF"/>
    <w:rsid w:val="6F620BD1"/>
    <w:rsid w:val="703C0A86"/>
    <w:rsid w:val="70F033A7"/>
    <w:rsid w:val="715911C0"/>
    <w:rsid w:val="723E689E"/>
    <w:rsid w:val="72D30C6F"/>
    <w:rsid w:val="7336450E"/>
    <w:rsid w:val="74AD155A"/>
    <w:rsid w:val="75260C08"/>
    <w:rsid w:val="75C04470"/>
    <w:rsid w:val="76255CCE"/>
    <w:rsid w:val="764F03EA"/>
    <w:rsid w:val="767D7CEC"/>
    <w:rsid w:val="76E50503"/>
    <w:rsid w:val="78C72AA4"/>
    <w:rsid w:val="79A523E5"/>
    <w:rsid w:val="79AA1033"/>
    <w:rsid w:val="7B1E0809"/>
    <w:rsid w:val="7B8C5619"/>
    <w:rsid w:val="7D987DD7"/>
    <w:rsid w:val="7DE25114"/>
    <w:rsid w:val="7DFD6AAA"/>
    <w:rsid w:val="7E10143E"/>
    <w:rsid w:val="7E275E9A"/>
    <w:rsid w:val="7E4C302A"/>
    <w:rsid w:val="7E9649FE"/>
    <w:rsid w:val="7F2C38B2"/>
    <w:rsid w:val="7FB64F08"/>
    <w:rsid w:val="7FDE38E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4"/>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5">
    <w:name w:val="heading 3"/>
    <w:basedOn w:val="1"/>
    <w:next w:val="4"/>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6">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7">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8">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9">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10">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1">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semiHidden/>
    <w:qFormat/>
    <w:uiPriority w:val="0"/>
  </w:style>
  <w:style w:type="table" w:default="1" w:styleId="35">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12">
    <w:name w:val="toc 7"/>
    <w:basedOn w:val="1"/>
    <w:next w:val="1"/>
    <w:qFormat/>
    <w:uiPriority w:val="0"/>
    <w:pPr>
      <w:ind w:left="2520" w:leftChars="1200"/>
    </w:pPr>
  </w:style>
  <w:style w:type="paragraph" w:styleId="13">
    <w:name w:val="toc 5"/>
    <w:basedOn w:val="1"/>
    <w:next w:val="1"/>
    <w:qFormat/>
    <w:uiPriority w:val="0"/>
    <w:pPr>
      <w:ind w:left="1680" w:leftChars="800"/>
    </w:pPr>
  </w:style>
  <w:style w:type="paragraph" w:styleId="14">
    <w:name w:val="toc 3"/>
    <w:basedOn w:val="1"/>
    <w:next w:val="1"/>
    <w:qFormat/>
    <w:uiPriority w:val="0"/>
    <w:pPr>
      <w:ind w:left="840" w:leftChars="400"/>
    </w:pPr>
  </w:style>
  <w:style w:type="paragraph" w:styleId="15">
    <w:name w:val="toc 8"/>
    <w:basedOn w:val="1"/>
    <w:next w:val="1"/>
    <w:qFormat/>
    <w:uiPriority w:val="0"/>
    <w:pPr>
      <w:ind w:left="2940" w:leftChars="1400"/>
    </w:pPr>
  </w:style>
  <w:style w:type="paragraph" w:styleId="16">
    <w:name w:val="footer"/>
    <w:basedOn w:val="1"/>
    <w:qFormat/>
    <w:uiPriority w:val="0"/>
    <w:pPr>
      <w:tabs>
        <w:tab w:val="center" w:pos="4153"/>
        <w:tab w:val="right" w:pos="8306"/>
      </w:tabs>
      <w:snapToGrid w:val="0"/>
      <w:jc w:val="left"/>
    </w:pPr>
    <w:rPr>
      <w:sz w:val="18"/>
    </w:rPr>
  </w:style>
  <w:style w:type="paragraph" w:styleId="1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8">
    <w:name w:val="toc 1"/>
    <w:basedOn w:val="1"/>
    <w:next w:val="1"/>
    <w:qFormat/>
    <w:uiPriority w:val="0"/>
  </w:style>
  <w:style w:type="paragraph" w:styleId="19">
    <w:name w:val="toc 4"/>
    <w:basedOn w:val="1"/>
    <w:next w:val="1"/>
    <w:qFormat/>
    <w:uiPriority w:val="0"/>
    <w:pPr>
      <w:ind w:left="1260" w:leftChars="600"/>
    </w:pPr>
  </w:style>
  <w:style w:type="paragraph" w:styleId="20">
    <w:name w:val="toc 6"/>
    <w:basedOn w:val="1"/>
    <w:next w:val="1"/>
    <w:qFormat/>
    <w:uiPriority w:val="0"/>
    <w:pPr>
      <w:ind w:left="2100" w:leftChars="1000"/>
    </w:pPr>
  </w:style>
  <w:style w:type="paragraph" w:styleId="21">
    <w:name w:val="toc 2"/>
    <w:basedOn w:val="1"/>
    <w:next w:val="1"/>
    <w:qFormat/>
    <w:uiPriority w:val="0"/>
    <w:pPr>
      <w:ind w:left="420" w:leftChars="200"/>
    </w:pPr>
  </w:style>
  <w:style w:type="paragraph" w:styleId="22">
    <w:name w:val="toc 9"/>
    <w:basedOn w:val="1"/>
    <w:next w:val="1"/>
    <w:qFormat/>
    <w:uiPriority w:val="0"/>
    <w:pPr>
      <w:ind w:left="3360" w:leftChars="1600"/>
    </w:pPr>
  </w:style>
  <w:style w:type="paragraph" w:styleId="23">
    <w:name w:val="Normal (Web)"/>
    <w:basedOn w:val="1"/>
    <w:qFormat/>
    <w:uiPriority w:val="0"/>
    <w:rPr>
      <w:sz w:val="24"/>
    </w:rPr>
  </w:style>
  <w:style w:type="character" w:styleId="25">
    <w:name w:val="Strong"/>
    <w:basedOn w:val="24"/>
    <w:qFormat/>
    <w:uiPriority w:val="0"/>
    <w:rPr>
      <w:b/>
    </w:rPr>
  </w:style>
  <w:style w:type="character" w:styleId="26">
    <w:name w:val="FollowedHyperlink"/>
    <w:basedOn w:val="24"/>
    <w:qFormat/>
    <w:uiPriority w:val="0"/>
    <w:rPr>
      <w:color w:val="338DE6"/>
      <w:u w:val="none"/>
    </w:rPr>
  </w:style>
  <w:style w:type="character" w:styleId="27">
    <w:name w:val="Emphasis"/>
    <w:basedOn w:val="24"/>
    <w:qFormat/>
    <w:uiPriority w:val="0"/>
  </w:style>
  <w:style w:type="character" w:styleId="28">
    <w:name w:val="HTML Definition"/>
    <w:basedOn w:val="24"/>
    <w:qFormat/>
    <w:uiPriority w:val="0"/>
  </w:style>
  <w:style w:type="character" w:styleId="29">
    <w:name w:val="HTML Variable"/>
    <w:basedOn w:val="24"/>
    <w:qFormat/>
    <w:uiPriority w:val="0"/>
  </w:style>
  <w:style w:type="character" w:styleId="30">
    <w:name w:val="Hyperlink"/>
    <w:basedOn w:val="24"/>
    <w:qFormat/>
    <w:uiPriority w:val="0"/>
    <w:rPr>
      <w:color w:val="338DE6"/>
      <w:u w:val="none"/>
    </w:rPr>
  </w:style>
  <w:style w:type="character" w:styleId="31">
    <w:name w:val="HTML Code"/>
    <w:basedOn w:val="24"/>
    <w:qFormat/>
    <w:uiPriority w:val="0"/>
    <w:rPr>
      <w:rFonts w:hint="default" w:ascii="monospace" w:hAnsi="monospace" w:eastAsia="monospace" w:cs="monospace"/>
      <w:sz w:val="21"/>
      <w:szCs w:val="21"/>
    </w:rPr>
  </w:style>
  <w:style w:type="character" w:styleId="32">
    <w:name w:val="HTML Cite"/>
    <w:basedOn w:val="24"/>
    <w:qFormat/>
    <w:uiPriority w:val="0"/>
  </w:style>
  <w:style w:type="character" w:styleId="33">
    <w:name w:val="HTML Keyboard"/>
    <w:basedOn w:val="24"/>
    <w:qFormat/>
    <w:uiPriority w:val="0"/>
    <w:rPr>
      <w:rFonts w:hint="default" w:ascii="monospace" w:hAnsi="monospace" w:eastAsia="monospace" w:cs="monospace"/>
      <w:sz w:val="21"/>
      <w:szCs w:val="21"/>
    </w:rPr>
  </w:style>
  <w:style w:type="character" w:styleId="34">
    <w:name w:val="HTML Sample"/>
    <w:basedOn w:val="24"/>
    <w:qFormat/>
    <w:uiPriority w:val="0"/>
    <w:rPr>
      <w:rFonts w:ascii="monospace" w:hAnsi="monospace" w:eastAsia="monospace" w:cs="monospace"/>
      <w:sz w:val="21"/>
      <w:szCs w:val="21"/>
    </w:rPr>
  </w:style>
  <w:style w:type="table" w:styleId="36">
    <w:name w:val="Table Grid"/>
    <w:basedOn w:val="3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37">
    <w:name w:val="Placeholder Text"/>
    <w:semiHidden/>
    <w:qFormat/>
    <w:uiPriority w:val="99"/>
    <w:rPr>
      <w:color w:val="808080"/>
    </w:rPr>
  </w:style>
  <w:style w:type="character" w:customStyle="1" w:styleId="38">
    <w:name w:val="fontborder"/>
    <w:basedOn w:val="24"/>
    <w:qFormat/>
    <w:uiPriority w:val="0"/>
    <w:rPr>
      <w:bdr w:val="single" w:color="000000" w:sz="6" w:space="0"/>
    </w:rPr>
  </w:style>
  <w:style w:type="character" w:customStyle="1" w:styleId="39">
    <w:name w:val="fontstrikethrough"/>
    <w:basedOn w:val="24"/>
    <w:qFormat/>
    <w:uiPriority w:val="0"/>
    <w:rPr>
      <w:strike/>
    </w:rPr>
  </w:style>
  <w:style w:type="table" w:customStyle="1" w:styleId="40">
    <w:name w:val="常规1"/>
    <w:basedOn w:val="35"/>
    <w:qFormat/>
    <w:uiPriority w:val="0"/>
    <w:pPr>
      <w:textAlignment w:val="center"/>
    </w:pPr>
    <w:rPr>
      <w:rFonts w:hint="eastAsia" w:ascii="宋体" w:hAnsi="宋体" w:eastAsia="宋体" w:cs="宋体"/>
      <w:color w:val="auto"/>
      <w:sz w:val="24"/>
      <w:szCs w:val="24"/>
      <w:u w:val="none"/>
    </w:rPr>
    <w:tblPr>
      <w:tblLayout w:type="fixed"/>
    </w:tblPr>
    <w:tcPr>
      <w:tcBorders>
        <w:top w:val="nil"/>
        <w:left w:val="nil"/>
        <w:bottom w:val="nil"/>
        <w:right w:val="nil"/>
      </w:tcBorders>
      <w:vAlign w:val="center"/>
    </w:tcPr>
  </w:style>
  <w:style w:type="table" w:customStyle="1" w:styleId="41">
    <w:name w:val="常规_基金费率表1"/>
    <w:basedOn w:val="35"/>
    <w:qFormat/>
    <w:uiPriority w:val="0"/>
    <w:pPr>
      <w:textAlignment w:val="center"/>
    </w:pPr>
    <w:rPr>
      <w:rFonts w:hint="eastAsia" w:ascii="宋体" w:hAnsi="宋体" w:eastAsia="宋体" w:cs="宋体"/>
      <w:color w:val="auto"/>
      <w:sz w:val="18"/>
      <w:szCs w:val="18"/>
      <w:u w:val="none"/>
    </w:rPr>
    <w:tblPr>
      <w:tblLayout w:type="fixed"/>
    </w:tblPr>
    <w:tcPr>
      <w:tcBorders>
        <w:top w:val="nil"/>
        <w:left w:val="nil"/>
        <w:bottom w:val="nil"/>
        <w:right w:val="nil"/>
      </w:tcBorders>
      <w:vAlign w:val="center"/>
    </w:tcPr>
  </w:style>
  <w:style w:type="character" w:customStyle="1" w:styleId="42">
    <w:name w:val="green"/>
    <w:basedOn w:val="24"/>
    <w:uiPriority w:val="0"/>
    <w:rPr>
      <w:color w:val="33CC00"/>
    </w:rPr>
  </w:style>
  <w:style w:type="character" w:customStyle="1" w:styleId="43">
    <w:name w:val="hover19"/>
    <w:basedOn w:val="24"/>
    <w:qFormat/>
    <w:uiPriority w:val="0"/>
  </w:style>
  <w:style w:type="character" w:customStyle="1" w:styleId="44">
    <w:name w:val="hover20"/>
    <w:basedOn w:val="24"/>
    <w:qFormat/>
    <w:uiPriority w:val="0"/>
  </w:style>
  <w:style w:type="character" w:customStyle="1" w:styleId="45">
    <w:name w:val="lock"/>
    <w:basedOn w:val="24"/>
    <w:qFormat/>
    <w:uiPriority w:val="0"/>
  </w:style>
  <w:style w:type="character" w:customStyle="1" w:styleId="46">
    <w:name w:val="black"/>
    <w:basedOn w:val="24"/>
    <w:qFormat/>
    <w:uiPriority w:val="0"/>
    <w:rPr>
      <w:color w:val="000000"/>
    </w:rPr>
  </w:style>
  <w:style w:type="character" w:customStyle="1" w:styleId="47">
    <w:name w:val="red2"/>
    <w:basedOn w:val="24"/>
    <w:qFormat/>
    <w:uiPriority w:val="0"/>
    <w:rPr>
      <w:color w:val="FF0000"/>
    </w:rPr>
  </w:style>
  <w:style w:type="character" w:customStyle="1" w:styleId="48">
    <w:name w:val="x"/>
    <w:basedOn w:val="24"/>
    <w:qFormat/>
    <w:uiPriority w:val="0"/>
    <w:rPr>
      <w:color w:val="999999"/>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0" Type="http://schemas.openxmlformats.org/officeDocument/2006/relationships/glossaryDocument" Target="glossary/document.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uminjian\Desktop\&#31179;&#26085;&#22805;&#38451;&#35199;&#19979;.wpt"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8f81b7c-0713-4d08-a04e-07952af20619}"/>
        <w:style w:val=""/>
        <w:category>
          <w:name w:val="常规"/>
          <w:gallery w:val="placeholder"/>
        </w:category>
        <w:types>
          <w:type w:val="bbPlcHdr"/>
        </w:types>
        <w:behaviors>
          <w:behavior w:val="content"/>
        </w:behaviors>
        <w:description w:val=""/>
        <w:guid w:val="{d8f81b7c-0713-4d08-a04e-07952af20619}"/>
      </w:docPartPr>
      <w:docPartBody>
        <w:p>
          <w:pPr/>
          <w:r>
            <w:rPr>
              <w:color w:val="808080"/>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compatSetting w:name="compatibilityMode" w:uri="http://schemas.microsoft.com/office/word" w:val="14"/>
  </w:compat>
  <w:rsids>
    <w:rsidRoot w:val="0000000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自然型"/>
    </customSectPr>
    <customSectPr/>
  </customSectProps>
  <customShpExts>
    <customShpInfo spid="_x0000_s102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2016-03-21T01:17:00Z</dcterms:created>
  <dc:creator>zhuminjian</dc:creator>
  <cp:lastModifiedBy>xusong</cp:lastModifiedBy>
  <dcterms:modified xsi:type="dcterms:W3CDTF">2016-08-18T02:11:04Z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