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4"/>
        <w:tblpPr w:leftFromText="182" w:rightFromText="182" w:vertAnchor="page" w:horzAnchor="page" w:tblpXSpec="center" w:tblpY="11403"/>
        <w:tblOverlap w:val="never"/>
        <w:tblW w:w="907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  <w:jc w:val="center"/>
        </w:trPr>
        <w:tc>
          <w:tcPr>
            <w:tcW w:w="9077" w:type="dxa"/>
            <w:vAlign w:val="center"/>
          </w:tcPr>
          <w:sdt>
            <w:sdtPr>
              <w:rPr>
                <w:b/>
                <w:bCs/>
                <w:color w:val="44546A" w:themeColor="text2"/>
                <w:sz w:val="72"/>
                <w:szCs w:val="72"/>
                <w14:textFill>
                  <w14:solidFill>
                    <w14:schemeClr w14:val="tx2"/>
                  </w14:solidFill>
                </w14:textFill>
              </w:rPr>
              <w:alias w:val="标题"/>
              <w:id w:val="1867867681"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/>
                <w:bCs/>
                <w:color w:val="F2B600"/>
                <w:sz w:val="72"/>
                <w:szCs w:val="72"/>
              </w:rPr>
            </w:sdtEndPr>
            <w:sdtContent>
              <w:p>
                <w:pPr>
                  <w:jc w:val="center"/>
                  <w:rPr>
                    <w:b/>
                    <w:bCs/>
                    <w:color w:val="F2B600"/>
                    <w:sz w:val="72"/>
                    <w:szCs w:val="72"/>
                  </w:rPr>
                </w:pPr>
                <w:r>
                  <w:rPr>
                    <w:rFonts w:hint="eastAsia"/>
                    <w:b/>
                    <w:bCs/>
                    <w:color w:val="F2B600"/>
                    <w:sz w:val="72"/>
                    <w:szCs w:val="72"/>
                  </w:rPr>
                  <w:t>上海</w:t>
                </w:r>
                <w:r>
                  <w:rPr>
                    <w:b/>
                    <w:bCs/>
                    <w:color w:val="F2B600"/>
                    <w:sz w:val="72"/>
                    <w:szCs w:val="72"/>
                  </w:rPr>
                  <w:t>普兰金融</w:t>
                </w:r>
                <w:r>
                  <w:rPr>
                    <w:rFonts w:hint="eastAsia"/>
                    <w:b/>
                    <w:bCs/>
                    <w:color w:val="F2B600"/>
                    <w:sz w:val="72"/>
                    <w:szCs w:val="72"/>
                  </w:rPr>
                  <w:t>服务有限公司</w:t>
                </w:r>
              </w:p>
            </w:sdtContent>
          </w:sdt>
          <w:sdt>
            <w:sdtPr>
              <w:rPr>
                <w:b/>
                <w:bCs/>
                <w:color w:val="F2B600"/>
                <w:sz w:val="40"/>
                <w:szCs w:val="40"/>
              </w:rPr>
              <w:alias w:val="副标题"/>
              <w:id w:val="1360013413"/>
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/>
                <w:bCs/>
                <w:color w:val="F2B600"/>
                <w:sz w:val="40"/>
                <w:szCs w:val="40"/>
              </w:rPr>
            </w:sdtEndPr>
            <w:sdtContent>
              <w:p>
                <w:pPr>
                  <w:jc w:val="left"/>
                  <w:rPr>
                    <w:b/>
                    <w:bCs/>
                    <w:color w:val="F2B600"/>
                    <w:sz w:val="40"/>
                    <w:szCs w:val="40"/>
                  </w:rPr>
                </w:pPr>
                <w:r>
                  <w:rPr>
                    <w:rFonts w:hint="eastAsia"/>
                    <w:b/>
                    <w:bCs/>
                    <w:color w:val="F2B600"/>
                    <w:sz w:val="40"/>
                    <w:szCs w:val="40"/>
                  </w:rPr>
                  <w:t>数据中心</w:t>
                </w:r>
              </w:p>
            </w:sdtContent>
          </w:sdt>
          <w:p>
            <w:pPr>
              <w:jc w:val="left"/>
              <w:rPr>
                <w:rFonts w:hint="eastAsia"/>
                <w:b/>
                <w:bCs/>
                <w:color w:val="5B9BD5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2B600"/>
                <w:sz w:val="28"/>
                <w:szCs w:val="28"/>
              </w:rPr>
              <w:t>数据业务规划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zh-CN" w:eastAsia="zh-CN"/>
        </w:rPr>
        <w:pict>
          <v:shape id="_x0000_s1027" o:spid="_x0000_s1027" o:spt="75" type="#_x0000_t75" style="position:absolute;left:0pt;margin-left:-0.75pt;margin-top:-76.5pt;height:633.05pt;width:596.4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6" o:title="dcd8b760b3af74b7f6365404"/>
            <o:lock v:ext="edit" grouping="f" rotation="f" text="f" aspectratio="t"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tabs>
          <w:tab w:val="right" w:leader="dot" w:pos="8306"/>
        </w:tabs>
        <w:rPr>
          <w:rFonts w:hint="eastAsia"/>
          <w:lang w:eastAsia="zh-CN"/>
        </w:rPr>
      </w:pPr>
      <w:bookmarkStart w:id="0" w:name="_Toc9481"/>
      <w:r>
        <w:rPr>
          <w:rFonts w:hint="eastAsia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_Toc19739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项目总览与实施情况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_Toc19739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_Toc27293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概览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_Toc27293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_Toc15787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需求/项目执行概况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_Toc15787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_Toc23281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业务研究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分析（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规划人员）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_Toc23281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_Toc13369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规划目标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_Toc30663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业务研究与分析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_Toc30663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_Toc22237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业务新动态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_Toc13449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通现有业务阐述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_Toc13449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_Toc552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修改的必要性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_Toc7956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录入库方案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_Toc7956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_Toc18919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数据库产品方案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_Toc18919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_Toc19415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.2.6.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终端产品方案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_Toc19415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_Toc26942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方案的审定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_Toc26942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_Toc26642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开发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与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实施（针对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开发人员）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_Toc26642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_Toc25713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本次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修改内容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_Toc19183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基本信息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_Toc29200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字段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基本信息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_Toc25742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业务主键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_Toc11872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录入工具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界面设计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_Toc11872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_Toc8760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索引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_Toc29496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.1.6.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存储过程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_Toc22863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.1.7.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触发器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_Toc22863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_Toc16307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处理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工具与规则（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录入人员）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_Toc16307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_Toc5826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本次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修改内容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_Toc5826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_Toc13910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抓取规则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_Toc13910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_Toc24324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历史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清洗规则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_Toc24324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_Toc11690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处理规则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_Toc11690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_Toc2777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核查规则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_Toc28245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数据处理流程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_Toc28245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bookmarkEnd w:id="0"/>
    <w:p>
      <w:pPr>
        <w:pStyle w:val="2"/>
        <w:rPr>
          <w:rFonts w:hint="eastAsia"/>
        </w:rPr>
      </w:pPr>
      <w:bookmarkStart w:id="1" w:name="_Toc19739"/>
      <w:r>
        <w:rPr>
          <w:rFonts w:hint="eastAsia"/>
          <w:lang w:eastAsia="zh-CN"/>
        </w:rPr>
        <w:t>项目总览与实施情况</w:t>
      </w:r>
      <w:bookmarkEnd w:id="1"/>
    </w:p>
    <w:p>
      <w:pPr>
        <w:pStyle w:val="3"/>
      </w:pPr>
      <w:bookmarkStart w:id="2" w:name="_Toc27293"/>
      <w:bookmarkStart w:id="3" w:name="_Toc22920"/>
      <w:r>
        <w:rPr>
          <w:rFonts w:hint="eastAsia"/>
        </w:rPr>
        <w:t>概览</w:t>
      </w:r>
      <w:bookmarkEnd w:id="2"/>
      <w:bookmarkEnd w:id="3"/>
    </w:p>
    <w:tbl>
      <w:tblPr>
        <w:tblStyle w:val="3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项目名称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ascii="Times New Roman" w:hAnsi="Times New Roman" w:eastAsia="宋体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 w:bidi="ar-SA"/>
              </w:rPr>
              <w:t>P99002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项目总负责人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需求优先级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五级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需求提出人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孙海峰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需求提出日期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2016/5/31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需求接收人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承诺发放日期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需求编号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业务类型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需求部门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数据中心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需求类型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内部需求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交易日表，存放公历日期及农历日期，以及不同市场在对应日期内是否为交易日的布尔类型字段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关联的库表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关联的文档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关联组/部门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    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3"/>
      </w:pPr>
      <w:bookmarkStart w:id="4" w:name="_Toc15787"/>
      <w:r>
        <w:rPr>
          <w:rFonts w:hint="eastAsia"/>
        </w:rPr>
        <w:t>需求/项目执行概况</w:t>
      </w:r>
      <w:bookmarkEnd w:id="4"/>
    </w:p>
    <w:tbl>
      <w:tblPr>
        <w:tblStyle w:val="3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业务规划人员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开始规划日期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20160607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评审/参与人员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评审/参与结论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文档审核人员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审核通过日期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开发开始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开发阶段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开发结束日期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各项测试人员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实施评估结果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    注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2"/>
      </w:pPr>
      <w:bookmarkStart w:id="5" w:name="_Toc23281"/>
      <w:r>
        <w:rPr>
          <w:rFonts w:hint="eastAsia"/>
        </w:rPr>
        <w:t>业务研究</w:t>
      </w:r>
      <w:r>
        <w:t>分析（</w:t>
      </w:r>
      <w:r>
        <w:rPr>
          <w:rFonts w:hint="eastAsia"/>
        </w:rPr>
        <w:t>针对</w:t>
      </w:r>
      <w:r>
        <w:t>规划人员）</w:t>
      </w:r>
      <w:bookmarkEnd w:id="5"/>
    </w:p>
    <w:p>
      <w:pPr>
        <w:pStyle w:val="3"/>
        <w:rPr>
          <w:rFonts w:hint="eastAsia" w:eastAsia="宋体"/>
          <w:sz w:val="24"/>
          <w:szCs w:val="24"/>
          <w:lang w:val="en-US" w:eastAsia="zh-CN"/>
        </w:rPr>
      </w:pPr>
      <w:bookmarkStart w:id="6" w:name="_Toc13369"/>
      <w:r>
        <w:rPr>
          <w:rFonts w:hint="eastAsia"/>
          <w:lang w:eastAsia="zh-CN"/>
        </w:rPr>
        <w:t>规划目标</w:t>
      </w:r>
      <w:bookmarkEnd w:id="6"/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交易日表计划针对不同国家不同市场(目前包含境内证券交易所市场(沪深)、银行间市场、柜台市场、香港银行同业市场，后续可按照实际需求添加其他市场)于每个自然日是否为该市场交易日的布尔类型数据表。</w:t>
      </w:r>
    </w:p>
    <w:p>
      <w:pPr>
        <w:pStyle w:val="3"/>
        <w:rPr>
          <w:rFonts w:hint="eastAsia"/>
        </w:rPr>
      </w:pPr>
      <w:bookmarkStart w:id="7" w:name="_Toc30663"/>
      <w:bookmarkStart w:id="8" w:name="_Toc6104"/>
      <w:r>
        <w:rPr>
          <w:rFonts w:hint="eastAsia"/>
        </w:rPr>
        <w:t>业务研究与分析</w:t>
      </w:r>
      <w:bookmarkEnd w:id="7"/>
      <w:bookmarkEnd w:id="8"/>
      <w:r>
        <w:rPr>
          <w:rFonts w:hint="eastAsia"/>
          <w:lang w:val="en-US" w:eastAsia="zh-CN"/>
        </w:rPr>
        <w:t xml:space="preserve">   </w:t>
      </w:r>
    </w:p>
    <w:p>
      <w:pPr>
        <w:pStyle w:val="5"/>
        <w:rPr>
          <w:rFonts w:hint="eastAsia"/>
          <w:lang w:val="en-US" w:eastAsia="zh-CN"/>
        </w:rPr>
      </w:pPr>
      <w:bookmarkStart w:id="9" w:name="_Toc13449"/>
      <w:r>
        <w:rPr>
          <w:rFonts w:hint="eastAsia"/>
          <w:lang w:eastAsia="zh-CN"/>
        </w:rPr>
        <w:t>通现有业务阐述</w:t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表交易日表为基础库表，对后续对有价证券计算估值，损益等指标计算提供必要条件。设置业务字段为：公历日期，农历日期，交易市场，是否交易日，星期，是否周最后交易日，是否月最后交易日等可以通过数据库方法于应用层级展示。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市场数据源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(1)、</w:t>
      </w:r>
      <w:r>
        <w:rPr>
          <w:rFonts w:hint="eastAsia"/>
          <w:lang w:eastAsia="zh-CN"/>
        </w:rPr>
        <w:t>交易所市场数据源</w:t>
      </w:r>
    </w:p>
    <w:tbl>
      <w:tblPr>
        <w:tblStyle w:val="3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9"/>
        <w:gridCol w:w="3315"/>
        <w:gridCol w:w="3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证券交易所市场</w:t>
            </w: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"http://www.sse.com.cn/disclosure/announcement/general/"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9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http://www.sse.com.cn/disclosure/announcement/general/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3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上海证券交易所一般公告“休市”进行检索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"http://www.szse.cn/main/disclosure/bsgg_front/"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9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http://www.szse.cn/main/disclosure/bsgg_front/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3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深交所公告，用“休市”进行检索，最早可以找到2004年的数据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"http://www.cninfo.com.cn/cninfo-new/disclosure/regulator_sse"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9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http://www.cninfo.com.cn/cninfo-new/disclosure/regulator_sse#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3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巨潮资讯网，用“休市”进行检索，最早可以找到2003年的数据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(2)、银行间债券市场数据源</w:t>
      </w:r>
    </w:p>
    <w:tbl>
      <w:tblPr>
        <w:tblStyle w:val="3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9"/>
        <w:gridCol w:w="3330"/>
        <w:gridCol w:w="3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0" w:name="_Toc1891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银行间债券市场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"http://www.chinabond.com.cn/Channel/326962"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9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http://www.chinabond.com.cn/Channel/326962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中国债券信息网，重要通知</w:t>
            </w:r>
          </w:p>
        </w:tc>
      </w:tr>
      <w:bookmarkEnd w:id="10"/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(3)、柜台市场</w:t>
      </w:r>
      <w:r>
        <w:rPr>
          <w:rFonts w:hint="eastAsia"/>
          <w:lang w:eastAsia="zh-CN"/>
        </w:rPr>
        <w:t>数据源</w:t>
      </w:r>
    </w:p>
    <w:tbl>
      <w:tblPr>
        <w:tblStyle w:val="3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3953"/>
        <w:gridCol w:w="30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柜台市场</w:t>
            </w:r>
          </w:p>
        </w:tc>
        <w:tc>
          <w:tcPr>
            <w:tcW w:w="3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"http://www.chinabond.com.cn/Channel/307564"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5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http://www.chinabond.com.cn/Channel/307564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中国债券信息网-国内新闻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(4)、香港银行同业市场数据源</w:t>
      </w:r>
    </w:p>
    <w:tbl>
      <w:tblPr>
        <w:tblStyle w:val="3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9"/>
        <w:gridCol w:w="4005"/>
        <w:gridCol w:w="2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香港银行同业市场</w:t>
            </w:r>
          </w:p>
        </w:tc>
        <w:tc>
          <w:tcPr>
            <w:tcW w:w="4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"http://www.gov.hk/tc/about/abouthk/holiday/"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9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http://www.gov.hk/tc/about/abouthk/holiday/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香港政府一站通，在这里披露的公众假期基础上，需要把所有的周六周日设置为非交易日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" w:name="_Toc19415"/>
      <w:r>
        <w:rPr>
          <w:rFonts w:hint="eastAsia"/>
          <w:lang w:eastAsia="zh-CN"/>
        </w:rPr>
        <w:t>终端产品方案</w:t>
      </w:r>
      <w:bookmarkEnd w:id="1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暂无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2" w:name="_Toc26942"/>
      <w:bookmarkStart w:id="13" w:name="_Toc1803"/>
      <w:r>
        <w:rPr>
          <w:rFonts w:hint="eastAsia"/>
        </w:rPr>
        <w:t>方案的审定</w:t>
      </w:r>
      <w:bookmarkEnd w:id="12"/>
      <w:bookmarkEnd w:id="13"/>
    </w:p>
    <w:tbl>
      <w:tblPr>
        <w:tblStyle w:val="35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708"/>
        <w:gridCol w:w="854"/>
        <w:gridCol w:w="5240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部门</w:t>
            </w: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人员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论  点</w:t>
            </w: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2"/>
      </w:pPr>
      <w:bookmarkStart w:id="14" w:name="_Toc26642"/>
      <w:bookmarkStart w:id="15" w:name="_Toc19404"/>
      <w:r>
        <w:rPr>
          <w:rFonts w:hint="eastAsia"/>
        </w:rPr>
        <w:t>开发</w:t>
      </w:r>
      <w:r>
        <w:t>与</w:t>
      </w:r>
      <w:r>
        <w:rPr>
          <w:rFonts w:hint="eastAsia"/>
        </w:rPr>
        <w:t>实施（针对</w:t>
      </w:r>
      <w:r>
        <w:t>开发人员）</w:t>
      </w:r>
      <w:bookmarkEnd w:id="14"/>
      <w:bookmarkEnd w:id="15"/>
    </w:p>
    <w:p>
      <w:pPr>
        <w:pStyle w:val="3"/>
      </w:pPr>
      <w:bookmarkStart w:id="16" w:name="_Toc31276"/>
      <w:bookmarkStart w:id="17" w:name="_Toc25713"/>
      <w:r>
        <w:rPr>
          <w:rFonts w:hint="eastAsia"/>
        </w:rPr>
        <w:t>本次</w:t>
      </w:r>
      <w:r>
        <w:t>修改内容</w:t>
      </w:r>
      <w:bookmarkEnd w:id="16"/>
      <w:bookmarkEnd w:id="17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52877744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cs="Times New Roman" w:asciiTheme="minorEastAsia" w:hAnsiTheme="minorEastAsia" w:eastAsiaTheme="minorEastAsia"/>
                    <w:b/>
                    <w:kern w:val="2"/>
                    <w:sz w:val="18"/>
                    <w:szCs w:val="18"/>
                    <w:lang w:val="en-US" w:eastAsia="zh-CN" w:bidi="ar-SA"/>
                  </w:rPr>
                  <w:t>√ 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953518270"/>
              <w:lock w:val="sdtLocked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pStyle w:val="5"/>
      </w:pPr>
      <w:bookmarkStart w:id="18" w:name="_Toc19183"/>
      <w:bookmarkStart w:id="19" w:name="_Toc7695"/>
      <w:r>
        <w:rPr>
          <w:rFonts w:hint="eastAsia"/>
        </w:rPr>
        <w:t>表</w:t>
      </w:r>
      <w:r>
        <w:t>基本信息</w:t>
      </w:r>
      <w:bookmarkEnd w:id="18"/>
      <w:bookmarkEnd w:id="19"/>
    </w:p>
    <w:tbl>
      <w:tblPr>
        <w:tblStyle w:val="35"/>
        <w:tblW w:w="6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69"/>
        <w:gridCol w:w="3103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t>编号</w:t>
            </w:r>
          </w:p>
        </w:tc>
        <w:tc>
          <w:tcPr>
            <w:tcW w:w="969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3103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表描述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表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P9900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69" w:type="dxa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交易日期表</w:t>
            </w:r>
          </w:p>
        </w:tc>
        <w:tc>
          <w:tcPr>
            <w:tcW w:w="3103" w:type="dxa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存放各个市场每个公立日期是否为交易日的数据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公共类</w:t>
            </w:r>
          </w:p>
        </w:tc>
      </w:tr>
    </w:tbl>
    <w:p>
      <w:pPr>
        <w:pStyle w:val="5"/>
      </w:pPr>
      <w:bookmarkStart w:id="20" w:name="_Toc29200"/>
      <w:bookmarkStart w:id="21" w:name="_Toc30351"/>
      <w:r>
        <w:rPr>
          <w:rFonts w:hint="eastAsia"/>
        </w:rPr>
        <w:t>字段</w:t>
      </w:r>
      <w:r>
        <w:t>基本信息</w:t>
      </w:r>
      <w:bookmarkEnd w:id="20"/>
      <w:bookmarkEnd w:id="21"/>
    </w:p>
    <w:p>
      <w:pPr>
        <w:pStyle w:val="6"/>
      </w:pPr>
      <w:r>
        <w:rPr>
          <w:rFonts w:hint="eastAsia"/>
          <w:lang w:eastAsia="zh-CN"/>
        </w:rPr>
        <w:t>字段属性</w:t>
      </w:r>
    </w:p>
    <w:tbl>
      <w:tblPr>
        <w:tblStyle w:val="3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2085"/>
        <w:gridCol w:w="1472"/>
        <w:gridCol w:w="952"/>
        <w:gridCol w:w="3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COLID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COLUMNNAMECHN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COLTYPE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数据库实例唯一,更新后发生变动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数据库实例唯一，PK，自生成后不发生变动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精确到日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F2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农历日期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YYYY年MM月DD日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F3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市场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是否交易日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TINYINT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F5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星期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F6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FS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发布状态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TINYINT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0-未发布，1-待审核，2-已审核，3-已删除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修改人员账号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FN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修改人员姓名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记录首次入库时间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最后修改时间，首次发布时应等于发布时间</w:t>
            </w:r>
          </w:p>
        </w:tc>
      </w:tr>
    </w:tbl>
    <w:p>
      <w:pPr/>
    </w:p>
    <w:p>
      <w:pPr/>
    </w:p>
    <w:p>
      <w:pPr/>
    </w:p>
    <w:p>
      <w:pPr>
        <w:pStyle w:val="6"/>
      </w:pPr>
      <w:r>
        <w:rPr>
          <w:rFonts w:hint="eastAsia"/>
          <w:lang w:eastAsia="zh-CN"/>
        </w:rPr>
        <w:t>参数</w:t>
      </w:r>
      <w:r>
        <w:t>类型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不适用</w:t>
      </w:r>
    </w:p>
    <w:p>
      <w:pPr>
        <w:pStyle w:val="5"/>
      </w:pPr>
      <w:bookmarkStart w:id="22" w:name="_Toc8760"/>
      <w:bookmarkStart w:id="23" w:name="_Toc7626"/>
      <w:r>
        <w:rPr>
          <w:rFonts w:hint="eastAsia"/>
        </w:rPr>
        <w:t>索引</w:t>
      </w:r>
      <w:r>
        <w:t>设计</w:t>
      </w:r>
      <w:bookmarkEnd w:id="22"/>
      <w:bookmarkEnd w:id="23"/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PK：FT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</w:t>
      </w:r>
      <w:r>
        <w:rPr>
          <w:rFonts w:hint="eastAsia"/>
          <w:lang w:val="en-US" w:eastAsia="zh-CN"/>
        </w:rPr>
        <w:t>99002</w:t>
      </w:r>
      <w:r>
        <w:rPr>
          <w:rFonts w:hint="eastAsia"/>
        </w:rPr>
        <w:t>_IDX_1</w:t>
      </w:r>
      <w:r>
        <w:rPr>
          <w:rFonts w:hint="eastAsia"/>
          <w:lang w:eastAsia="zh-CN"/>
        </w:rPr>
        <w:t>：F1, F</w:t>
      </w:r>
      <w:r>
        <w:rPr>
          <w:rFonts w:hint="eastAsia"/>
          <w:lang w:val="en-US" w:eastAsia="zh-CN"/>
        </w:rPr>
        <w:t>3 UNIQUE BTREE；(日期，市场)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P99002_IDX_2：F2 NORMAL;(农历日期)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P99002_IDX_3：F5 NORMAL;(星期)</w:t>
      </w:r>
    </w:p>
    <w:p>
      <w:pPr>
        <w:pStyle w:val="5"/>
      </w:pPr>
      <w:bookmarkStart w:id="24" w:name="_Toc29496"/>
      <w:bookmarkStart w:id="25" w:name="_Toc17202"/>
      <w:r>
        <w:rPr>
          <w:rFonts w:hint="eastAsia"/>
        </w:rPr>
        <w:t>存储过程</w:t>
      </w:r>
      <w:bookmarkEnd w:id="24"/>
      <w:bookmarkEnd w:id="25"/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rPr>
          <w:rFonts w:hint="eastAsia"/>
        </w:rPr>
      </w:pPr>
      <w:bookmarkStart w:id="26" w:name="_Toc22863"/>
      <w:bookmarkStart w:id="27" w:name="_Toc3547"/>
      <w:r>
        <w:rPr>
          <w:rFonts w:hint="eastAsia"/>
        </w:rPr>
        <w:t>触发器</w:t>
      </w:r>
      <w:bookmarkEnd w:id="26"/>
      <w:bookmarkEnd w:id="27"/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8" w:name="_Toc12015"/>
      <w:bookmarkStart w:id="29" w:name="_Toc16307"/>
      <w:r>
        <w:rPr>
          <w:rFonts w:hint="eastAsia"/>
        </w:rPr>
        <w:t>处理</w:t>
      </w:r>
      <w:r>
        <w:t>工具与规则</w:t>
      </w:r>
      <w:bookmarkEnd w:id="28"/>
      <w:bookmarkEnd w:id="2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查询字段：日期,农历日期,市场,是否交易日,星期，更新时间（区间）、发布状态、修改人员名称；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排序字段：FU DESC</w:t>
      </w:r>
      <w:bookmarkStart w:id="42" w:name="_GoBack"/>
      <w:bookmarkEnd w:id="42"/>
    </w:p>
    <w:p>
      <w:pPr>
        <w:pStyle w:val="3"/>
        <w:rPr>
          <w:rFonts w:hint="eastAsia"/>
          <w:lang w:val="en-US" w:eastAsia="zh-CN"/>
        </w:rPr>
      </w:pPr>
      <w:bookmarkStart w:id="30" w:name="_Toc29561"/>
      <w:bookmarkStart w:id="31" w:name="_Toc5826"/>
      <w:r>
        <w:rPr>
          <w:rFonts w:hint="eastAsia"/>
        </w:rPr>
        <w:t>本次</w:t>
      </w:r>
      <w:r>
        <w:t>修改内容</w:t>
      </w:r>
      <w:bookmarkEnd w:id="30"/>
      <w:bookmarkEnd w:id="31"/>
    </w:p>
    <w:p>
      <w:pPr>
        <w:pStyle w:val="5"/>
        <w:spacing w:before="468" w:after="312"/>
      </w:pPr>
      <w:bookmarkStart w:id="32" w:name="_Toc13910"/>
      <w:bookmarkStart w:id="33" w:name="_Toc28091"/>
      <w:r>
        <w:rPr>
          <w:rFonts w:hint="eastAsia"/>
        </w:rPr>
        <w:t>抓取规则</w:t>
      </w:r>
      <w:bookmarkEnd w:id="32"/>
      <w:bookmarkEnd w:id="33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-234711204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数据运维组</w:t>
            </w: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292567528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</w:tbl>
    <w:p>
      <w:pPr>
        <w:ind w:left="420" w:leftChars="200"/>
        <w:rPr>
          <w:rFonts w:hint="eastAsia"/>
        </w:rPr>
      </w:pPr>
    </w:p>
    <w:p>
      <w:pPr>
        <w:pStyle w:val="5"/>
        <w:spacing w:before="468" w:after="312"/>
      </w:pPr>
      <w:bookmarkStart w:id="34" w:name="_Toc24324"/>
      <w:bookmarkStart w:id="35" w:name="_Toc10699"/>
      <w:r>
        <w:rPr>
          <w:rFonts w:hint="eastAsia"/>
        </w:rPr>
        <w:t>历史</w:t>
      </w:r>
      <w:r>
        <w:t>数据</w:t>
      </w:r>
      <w:r>
        <w:rPr>
          <w:rFonts w:hint="eastAsia"/>
        </w:rPr>
        <w:t>清洗规则</w:t>
      </w:r>
      <w:bookmarkEnd w:id="34"/>
      <w:bookmarkEnd w:id="35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545632825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cs="Times New Roman" w:asciiTheme="minorEastAsia" w:hAnsiTheme="minorEastAsia" w:eastAsiaTheme="minorEastAsia"/>
                    <w:b/>
                    <w:kern w:val="2"/>
                    <w:sz w:val="18"/>
                    <w:szCs w:val="18"/>
                    <w:lang w:val="en-US" w:eastAsia="zh-CN" w:bidi="ar-SA"/>
                  </w:rPr>
                  <w:t>√ 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数据运维组</w:t>
            </w: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213589838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36" w:name="_Toc11690"/>
      <w:bookmarkStart w:id="37" w:name="_Toc11719"/>
      <w:r>
        <w:rPr>
          <w:rFonts w:hint="eastAsia"/>
        </w:rPr>
        <w:t>处理规则</w:t>
      </w:r>
      <w:bookmarkEnd w:id="36"/>
      <w:bookmarkEnd w:id="37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-1341693289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1745331212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38" w:name="_Toc3901"/>
      <w:bookmarkStart w:id="39" w:name="_Toc2777"/>
      <w:r>
        <w:rPr>
          <w:rFonts w:hint="eastAsia"/>
        </w:rPr>
        <w:t>核查规则</w:t>
      </w:r>
      <w:bookmarkEnd w:id="38"/>
      <w:bookmarkEnd w:id="39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614941989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1004633486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40" w:name="_Toc8397"/>
      <w:bookmarkStart w:id="41" w:name="_Toc28245"/>
      <w:r>
        <w:rPr>
          <w:rFonts w:hint="eastAsia"/>
        </w:rPr>
        <w:t>数据处理流程</w:t>
      </w:r>
      <w:bookmarkEnd w:id="40"/>
      <w:bookmarkEnd w:id="41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514505867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请选择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2070107060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modern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 w:bidi="ar-SA"/>
      </w:rPr>
    </w:pP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 w:bidi="ar-SA"/>
      </w:rPr>
      <w:t>上海浦东新区张东路1388号科技领袖之都8号楼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4"/>
        <w:szCs w:val="24"/>
      </w:rPr>
    </w:pP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</w:rPr>
      <w:t>上海</w:t>
    </w:r>
    <w:r>
      <w:rPr>
        <w:rFonts w:ascii="微软雅黑" w:hAnsi="微软雅黑" w:eastAsia="微软雅黑" w:cs="Calibri"/>
        <w:b/>
        <w:bCs/>
        <w:color w:val="ED6C00"/>
        <w:kern w:val="0"/>
        <w:sz w:val="24"/>
        <w:szCs w:val="24"/>
      </w:rPr>
      <w:t>普兰金融</w:t>
    </w: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</w:rPr>
      <w:t>服务有限公司</w:t>
    </w: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/>
      </w:rPr>
      <w:t xml:space="preserve">                           </w:t>
    </w:r>
    <w:r>
      <w:rPr>
        <w:rFonts w:hint="eastAsia" w:ascii="楷体_GB2312" w:hAnsi="Tahoma" w:eastAsia="楷体_GB2312" w:cs="Tahoma"/>
        <w:bCs/>
        <w:kern w:val="0"/>
        <w:sz w:val="20"/>
      </w:rPr>
      <w:t>数据中心_数据业务规划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4F58"/>
    <w:multiLevelType w:val="multilevel"/>
    <w:tmpl w:val="56EF4F58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 w:ascii="宋体" w:hAnsi="宋体" w:eastAsia="宋体" w:cs="宋体"/>
      </w:rPr>
    </w:lvl>
  </w:abstractNum>
  <w:abstractNum w:abstractNumId="1">
    <w:nsid w:val="575E78E0"/>
    <w:multiLevelType w:val="singleLevel"/>
    <w:tmpl w:val="575E78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41E4F"/>
    <w:rsid w:val="015B3C74"/>
    <w:rsid w:val="01746C6F"/>
    <w:rsid w:val="02912F40"/>
    <w:rsid w:val="03016BA4"/>
    <w:rsid w:val="04C87735"/>
    <w:rsid w:val="08344B05"/>
    <w:rsid w:val="0A452967"/>
    <w:rsid w:val="0D750EA4"/>
    <w:rsid w:val="100214D2"/>
    <w:rsid w:val="12947FA9"/>
    <w:rsid w:val="12B20DBB"/>
    <w:rsid w:val="139B5723"/>
    <w:rsid w:val="14736A94"/>
    <w:rsid w:val="14AD3FAA"/>
    <w:rsid w:val="15A06B8B"/>
    <w:rsid w:val="1A0503BE"/>
    <w:rsid w:val="1FAE39BD"/>
    <w:rsid w:val="27ED6C10"/>
    <w:rsid w:val="2AAE6793"/>
    <w:rsid w:val="2B1F57CD"/>
    <w:rsid w:val="31052FB0"/>
    <w:rsid w:val="34DE4628"/>
    <w:rsid w:val="35841877"/>
    <w:rsid w:val="38D435D1"/>
    <w:rsid w:val="3AE865BB"/>
    <w:rsid w:val="3D3B0201"/>
    <w:rsid w:val="3EA24395"/>
    <w:rsid w:val="3EF37553"/>
    <w:rsid w:val="46DF6BDC"/>
    <w:rsid w:val="48D92D93"/>
    <w:rsid w:val="4DF56314"/>
    <w:rsid w:val="52C00A54"/>
    <w:rsid w:val="560D1954"/>
    <w:rsid w:val="590D2D27"/>
    <w:rsid w:val="5A687659"/>
    <w:rsid w:val="5E300736"/>
    <w:rsid w:val="5F8935CB"/>
    <w:rsid w:val="620F5A75"/>
    <w:rsid w:val="625922F5"/>
    <w:rsid w:val="63070E75"/>
    <w:rsid w:val="637A12C2"/>
    <w:rsid w:val="660B02F6"/>
    <w:rsid w:val="6CC101E4"/>
    <w:rsid w:val="6E2476C2"/>
    <w:rsid w:val="6F2A116E"/>
    <w:rsid w:val="702F1669"/>
    <w:rsid w:val="723F3FFF"/>
    <w:rsid w:val="72663EBE"/>
    <w:rsid w:val="742E4321"/>
    <w:rsid w:val="751637A7"/>
    <w:rsid w:val="75260C08"/>
    <w:rsid w:val="75C67C7A"/>
    <w:rsid w:val="7A3466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3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338DE6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TML Definition"/>
    <w:basedOn w:val="23"/>
    <w:qFormat/>
    <w:uiPriority w:val="0"/>
  </w:style>
  <w:style w:type="character" w:styleId="28">
    <w:name w:val="HTML Variable"/>
    <w:basedOn w:val="23"/>
    <w:qFormat/>
    <w:uiPriority w:val="0"/>
  </w:style>
  <w:style w:type="character" w:styleId="29">
    <w:name w:val="Hyperlink"/>
    <w:basedOn w:val="23"/>
    <w:qFormat/>
    <w:uiPriority w:val="0"/>
    <w:rPr>
      <w:color w:val="338DE6"/>
      <w:u w:val="none"/>
    </w:rPr>
  </w:style>
  <w:style w:type="character" w:styleId="30">
    <w:name w:val="HTML Code"/>
    <w:basedOn w:val="23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1">
    <w:name w:val="HTML Cite"/>
    <w:basedOn w:val="23"/>
    <w:qFormat/>
    <w:uiPriority w:val="0"/>
  </w:style>
  <w:style w:type="character" w:styleId="32">
    <w:name w:val="HTML Keyboard"/>
    <w:basedOn w:val="23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3">
    <w:name w:val="HTML Sample"/>
    <w:basedOn w:val="23"/>
    <w:qFormat/>
    <w:uiPriority w:val="0"/>
    <w:rPr>
      <w:rFonts w:ascii="monospace" w:hAnsi="monospace" w:eastAsia="monospace" w:cs="monospace"/>
      <w:sz w:val="21"/>
      <w:szCs w:val="21"/>
    </w:rPr>
  </w:style>
  <w:style w:type="table" w:styleId="35">
    <w:name w:val="Table Grid"/>
    <w:basedOn w:val="3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36">
    <w:name w:val="Placeholder Text"/>
    <w:semiHidden/>
    <w:qFormat/>
    <w:uiPriority w:val="99"/>
    <w:rPr>
      <w:color w:val="808080"/>
    </w:rPr>
  </w:style>
  <w:style w:type="character" w:customStyle="1" w:styleId="37">
    <w:name w:val="fontborder"/>
    <w:basedOn w:val="23"/>
    <w:qFormat/>
    <w:uiPriority w:val="0"/>
    <w:rPr>
      <w:bdr w:val="single" w:color="000000" w:sz="6" w:space="0"/>
    </w:rPr>
  </w:style>
  <w:style w:type="character" w:customStyle="1" w:styleId="38">
    <w:name w:val="fontstrikethrough"/>
    <w:basedOn w:val="23"/>
    <w:qFormat/>
    <w:uiPriority w:val="0"/>
    <w:rPr>
      <w:strike/>
    </w:rPr>
  </w:style>
  <w:style w:type="table" w:customStyle="1" w:styleId="39">
    <w:name w:val="常规1"/>
    <w:basedOn w:val="34"/>
    <w:qFormat/>
    <w:uiPriority w:val="0"/>
    <w:pPr>
      <w:textAlignment w:val="center"/>
    </w:pPr>
    <w:rPr>
      <w:rFonts w:hint="eastAsia" w:ascii="宋体" w:hAnsi="宋体" w:eastAsia="宋体" w:cs="宋体"/>
      <w:color w:val="auto"/>
      <w:sz w:val="24"/>
      <w:szCs w:val="24"/>
      <w:u w:val="none"/>
    </w:rPr>
    <w:tblPr>
      <w:tblLayout w:type="fixed"/>
    </w:tblPr>
    <w:tcPr>
      <w:tcBorders>
        <w:top w:val="nil"/>
        <w:left w:val="nil"/>
        <w:bottom w:val="nil"/>
        <w:right w:val="nil"/>
      </w:tcBorders>
      <w:vAlign w:val="center"/>
    </w:tcPr>
  </w:style>
  <w:style w:type="table" w:customStyle="1" w:styleId="40">
    <w:name w:val="常规_基金费率表1"/>
    <w:basedOn w:val="34"/>
    <w:qFormat/>
    <w:uiPriority w:val="0"/>
    <w:pPr>
      <w:textAlignment w:val="center"/>
    </w:pPr>
    <w:rPr>
      <w:rFonts w:hint="eastAsia" w:ascii="宋体" w:hAnsi="宋体" w:eastAsia="宋体" w:cs="宋体"/>
      <w:color w:val="auto"/>
      <w:sz w:val="18"/>
      <w:szCs w:val="18"/>
      <w:u w:val="none"/>
    </w:rPr>
    <w:tblPr>
      <w:tblLayout w:type="fixed"/>
    </w:tblPr>
    <w:tcPr>
      <w:tcBorders>
        <w:top w:val="nil"/>
        <w:left w:val="nil"/>
        <w:bottom w:val="nil"/>
        <w:right w:val="nil"/>
      </w:tcBorders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自然型"/>
    </customSectPr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2016-03-21T01:17:00Z</dcterms:created>
  <dc:creator>zhuminjian</dc:creator>
  <cp:lastModifiedBy>zhengyu</cp:lastModifiedBy>
  <dcterms:modified xsi:type="dcterms:W3CDTF">2016-06-13T09:06:58Z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