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6AC8" w14:textId="4CF27034" w:rsidR="00B16ECB" w:rsidRPr="00727116" w:rsidRDefault="00B16ECB" w:rsidP="00727116">
      <w:pPr>
        <w:jc w:val="center"/>
        <w:rPr>
          <w:rFonts w:ascii="Cambria" w:hAnsi="Cambria"/>
          <w:b/>
          <w:bCs/>
          <w:u w:val="single"/>
        </w:rPr>
      </w:pPr>
      <w:r w:rsidRPr="00727116">
        <w:rPr>
          <w:rFonts w:ascii="Cambria" w:hAnsi="Cambria"/>
          <w:b/>
          <w:bCs/>
          <w:u w:val="single"/>
        </w:rPr>
        <w:t>SMARTCLAUSE HEAD OF TERMS</w:t>
      </w:r>
    </w:p>
    <w:p w14:paraId="5F0B303A" w14:textId="77777777" w:rsidR="00B16ECB" w:rsidRPr="006A3869" w:rsidRDefault="00B16ECB" w:rsidP="00B16ECB">
      <w:pPr>
        <w:rPr>
          <w:rFonts w:ascii="Cambria" w:hAnsi="Cambria"/>
          <w:b/>
          <w:bCs/>
        </w:rPr>
      </w:pPr>
      <w:r w:rsidRPr="006A3869">
        <w:rPr>
          <w:rFonts w:ascii="Cambria" w:hAnsi="Cambria"/>
          <w:b/>
          <w:bCs/>
        </w:rPr>
        <w:t>PARTIES</w:t>
      </w:r>
    </w:p>
    <w:p w14:paraId="4B461C67" w14:textId="77777777" w:rsidR="00B16ECB" w:rsidRPr="00B16ECB" w:rsidRDefault="00B16ECB" w:rsidP="00B16ECB">
      <w:pPr>
        <w:numPr>
          <w:ilvl w:val="0"/>
          <w:numId w:val="2"/>
        </w:num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b/>
          <w:bCs/>
          <w:kern w:val="0"/>
          <w14:ligatures w14:val="none"/>
        </w:rPr>
        <w:t>Njenga &amp; Co. Associates</w:t>
      </w:r>
      <w:r w:rsidRPr="00B16ECB">
        <w:rPr>
          <w:rFonts w:ascii="Cambria" w:eastAsia="Times New Roman" w:hAnsi="Cambria" w:cs="Times New Roman"/>
          <w:kern w:val="0"/>
          <w14:ligatures w14:val="none"/>
        </w:rPr>
        <w:t xml:space="preserve"> (the "Firm"), a law firm duly registered and operating under the Laws of Kenya, with its principal place of business at [], represented herein by its Managing Partner, Marion Njenga (the "Investor Partner"); and</w:t>
      </w:r>
    </w:p>
    <w:p w14:paraId="5BBC7482" w14:textId="77777777" w:rsidR="00B16ECB" w:rsidRPr="00B16ECB" w:rsidRDefault="00B16ECB" w:rsidP="00B16ECB">
      <w:pPr>
        <w:numPr>
          <w:ilvl w:val="0"/>
          <w:numId w:val="2"/>
        </w:num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b/>
          <w:bCs/>
          <w:kern w:val="0"/>
          <w14:ligatures w14:val="none"/>
        </w:rPr>
        <w:t>Eugene Masaka</w:t>
      </w:r>
      <w:r w:rsidRPr="00B16ECB">
        <w:rPr>
          <w:rFonts w:ascii="Cambria" w:eastAsia="Times New Roman" w:hAnsi="Cambria" w:cs="Times New Roman"/>
          <w:kern w:val="0"/>
          <w14:ligatures w14:val="none"/>
        </w:rPr>
        <w:t xml:space="preserve"> (the "Developer"), of National ID No. 33969902, of P.O. Box 15-00521, being the original creator and technical architect of the SmartClause platform;</w:t>
      </w:r>
    </w:p>
    <w:p w14:paraId="67CE77F1"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(each a "Party" and collectively the "Parties").</w:t>
      </w:r>
    </w:p>
    <w:p w14:paraId="76DC34C9" w14:textId="6EDA586C" w:rsidR="00B16ECB" w:rsidRPr="00B16ECB" w:rsidRDefault="00B16ECB" w:rsidP="00B16ECB">
      <w:pPr>
        <w:spacing w:after="0" w:line="240" w:lineRule="auto"/>
        <w:jc w:val="both"/>
        <w:rPr>
          <w:rFonts w:ascii="Cambria" w:eastAsia="Times New Roman" w:hAnsi="Cambria" w:cs="Times New Roman"/>
          <w:kern w:val="0"/>
          <w14:ligatures w14:val="none"/>
        </w:rPr>
      </w:pPr>
    </w:p>
    <w:p w14:paraId="78E1F3DC" w14:textId="77777777" w:rsidR="00B16ECB" w:rsidRPr="006A3869" w:rsidRDefault="00B16ECB" w:rsidP="00B16ECB">
      <w:pPr>
        <w:rPr>
          <w:rFonts w:ascii="Cambria" w:hAnsi="Cambria"/>
          <w:b/>
          <w:bCs/>
        </w:rPr>
      </w:pPr>
      <w:r w:rsidRPr="006A3869">
        <w:rPr>
          <w:rFonts w:ascii="Cambria" w:hAnsi="Cambria"/>
          <w:b/>
          <w:bCs/>
        </w:rPr>
        <w:t>RECITALS</w:t>
      </w:r>
    </w:p>
    <w:p w14:paraId="0F552E0B"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A. The Developer has conceived, designed, and developed SmartClause, an AI-powered legal drafting engine capable of generating contracts, affidavits, wills, and other legal instruments (the "Platform").</w:t>
      </w:r>
      <w:r w:rsidRPr="00B16ECB">
        <w:rPr>
          <w:rFonts w:ascii="Cambria" w:eastAsia="Times New Roman" w:hAnsi="Cambria" w:cs="Times New Roman"/>
          <w:kern w:val="0"/>
          <w14:ligatures w14:val="none"/>
        </w:rPr>
        <w:br/>
        <w:t>B. The Firm holds a registered trademark for the name "SmartClause" and associated brand assets, which it has agreed to transfer to the new entity contemplated herein.</w:t>
      </w:r>
      <w:r w:rsidRPr="00B16ECB">
        <w:rPr>
          <w:rFonts w:ascii="Cambria" w:eastAsia="Times New Roman" w:hAnsi="Cambria" w:cs="Times New Roman"/>
          <w:kern w:val="0"/>
          <w14:ligatures w14:val="none"/>
        </w:rPr>
        <w:br/>
        <w:t>C. The Investor Partner is willing to fund the commercial deployment of the Platform in exchange for an equity stake in a new private limited company to be incorporated for that purpose.</w:t>
      </w:r>
      <w:r w:rsidRPr="00B16ECB">
        <w:rPr>
          <w:rFonts w:ascii="Cambria" w:eastAsia="Times New Roman" w:hAnsi="Cambria" w:cs="Times New Roman"/>
          <w:kern w:val="0"/>
          <w14:ligatures w14:val="none"/>
        </w:rPr>
        <w:br/>
        <w:t>D. The Parties now wish to record the principal terms upon which they intend to proceed, pending execution of definitive legal documentation.</w:t>
      </w:r>
    </w:p>
    <w:p w14:paraId="51D41DDB" w14:textId="497F11C8" w:rsidR="00B16ECB" w:rsidRPr="00B16ECB" w:rsidRDefault="00B16ECB" w:rsidP="00B16ECB">
      <w:pPr>
        <w:spacing w:after="0" w:line="240" w:lineRule="auto"/>
        <w:jc w:val="both"/>
        <w:rPr>
          <w:rFonts w:ascii="Cambria" w:eastAsia="Times New Roman" w:hAnsi="Cambria" w:cs="Times New Roman"/>
          <w:kern w:val="0"/>
          <w14:ligatures w14:val="none"/>
        </w:rPr>
      </w:pPr>
    </w:p>
    <w:p w14:paraId="518A4DCC" w14:textId="77777777" w:rsidR="00B16ECB" w:rsidRPr="006A3869" w:rsidRDefault="00B16ECB" w:rsidP="00B16ECB">
      <w:pPr>
        <w:rPr>
          <w:rFonts w:ascii="Cambria" w:hAnsi="Cambria"/>
          <w:b/>
          <w:bCs/>
        </w:rPr>
      </w:pPr>
      <w:r w:rsidRPr="006A3869">
        <w:rPr>
          <w:rFonts w:ascii="Cambria" w:hAnsi="Cambria"/>
          <w:b/>
          <w:bCs/>
        </w:rPr>
        <w:t>PRELIMINARY MATTERS</w:t>
      </w:r>
    </w:p>
    <w:p w14:paraId="41D772E3" w14:textId="215A4A8D" w:rsidR="00B16ECB" w:rsidRPr="00727116" w:rsidRDefault="00B16ECB" w:rsidP="00727116">
      <w:pPr>
        <w:pStyle w:val="ListParagraph"/>
        <w:numPr>
          <w:ilvl w:val="0"/>
          <w:numId w:val="5"/>
        </w:numPr>
        <w:ind w:left="0"/>
        <w:rPr>
          <w:rFonts w:ascii="Cambria" w:hAnsi="Cambria"/>
          <w:b/>
          <w:bCs/>
        </w:rPr>
      </w:pPr>
      <w:r w:rsidRPr="00727116">
        <w:rPr>
          <w:rFonts w:ascii="Cambria" w:hAnsi="Cambria"/>
          <w:b/>
          <w:bCs/>
        </w:rPr>
        <w:t>Status of this Document</w:t>
      </w:r>
    </w:p>
    <w:p w14:paraId="015F37E6"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1.1 This Heads of Terms ("HoT") is, save as expressly stated in Clauses 15 (Confidentiality), 16 (Exclusivity), 20 (Governing Law and Dispute Resolution), and 22 (Costs), non-binding in nature and is intended to record the commercial understanding of the Parties as a basis for the preparation of definitive transaction documents.</w:t>
      </w:r>
    </w:p>
    <w:p w14:paraId="3CF02655"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1.2 No binding obligations with respect to the proposed transaction shall arise between the Parties (save for those clauses identified as binding) until the Definitive Agreements are executed.</w:t>
      </w:r>
    </w:p>
    <w:p w14:paraId="63FB520F"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1.3 The Parties commit to negotiating and executing the Definitive Agreements in good faith and with reasonable expedition.</w:t>
      </w:r>
    </w:p>
    <w:p w14:paraId="3B88042F" w14:textId="2ADA0AE3" w:rsidR="00B16ECB" w:rsidRDefault="00B16ECB" w:rsidP="00B16ECB">
      <w:pPr>
        <w:spacing w:after="0" w:line="240" w:lineRule="auto"/>
        <w:jc w:val="both"/>
        <w:rPr>
          <w:rFonts w:ascii="Cambria" w:eastAsia="Times New Roman" w:hAnsi="Cambria" w:cs="Times New Roman"/>
          <w:kern w:val="0"/>
          <w14:ligatures w14:val="none"/>
        </w:rPr>
      </w:pPr>
    </w:p>
    <w:p w14:paraId="5BC689CC" w14:textId="77777777" w:rsidR="006A3869" w:rsidRDefault="006A3869" w:rsidP="00B16ECB">
      <w:pPr>
        <w:spacing w:after="0" w:line="240" w:lineRule="auto"/>
        <w:jc w:val="both"/>
        <w:rPr>
          <w:rFonts w:ascii="Cambria" w:eastAsia="Times New Roman" w:hAnsi="Cambria" w:cs="Times New Roman"/>
          <w:kern w:val="0"/>
          <w14:ligatures w14:val="none"/>
        </w:rPr>
      </w:pPr>
    </w:p>
    <w:p w14:paraId="488BA1A9" w14:textId="77777777" w:rsidR="006A3869" w:rsidRPr="00B16ECB" w:rsidRDefault="006A3869" w:rsidP="00B16ECB">
      <w:pPr>
        <w:spacing w:after="0" w:line="240" w:lineRule="auto"/>
        <w:jc w:val="both"/>
        <w:rPr>
          <w:rFonts w:ascii="Cambria" w:eastAsia="Times New Roman" w:hAnsi="Cambria" w:cs="Times New Roman"/>
          <w:kern w:val="0"/>
          <w14:ligatures w14:val="none"/>
        </w:rPr>
      </w:pPr>
    </w:p>
    <w:p w14:paraId="6C1546C7" w14:textId="77777777" w:rsidR="00B16ECB" w:rsidRPr="006A3869" w:rsidRDefault="00B16ECB" w:rsidP="00B16ECB">
      <w:pPr>
        <w:rPr>
          <w:rFonts w:ascii="Cambria" w:hAnsi="Cambria"/>
          <w:b/>
          <w:bCs/>
        </w:rPr>
      </w:pPr>
      <w:r w:rsidRPr="006A3869">
        <w:rPr>
          <w:rFonts w:ascii="Cambria" w:hAnsi="Cambria"/>
          <w:b/>
          <w:bCs/>
        </w:rPr>
        <w:lastRenderedPageBreak/>
        <w:t>SECTION A — THE NEW COMPANY</w:t>
      </w:r>
    </w:p>
    <w:p w14:paraId="074939FB" w14:textId="515BB8EB" w:rsidR="00B16ECB" w:rsidRPr="00727116" w:rsidRDefault="00B16ECB" w:rsidP="00727116">
      <w:pPr>
        <w:pStyle w:val="ListParagraph"/>
        <w:numPr>
          <w:ilvl w:val="0"/>
          <w:numId w:val="5"/>
        </w:numPr>
        <w:tabs>
          <w:tab w:val="left" w:pos="360"/>
        </w:tabs>
        <w:ind w:left="0"/>
        <w:rPr>
          <w:rFonts w:ascii="Cambria" w:hAnsi="Cambria"/>
          <w:b/>
          <w:bCs/>
        </w:rPr>
      </w:pPr>
      <w:r w:rsidRPr="00727116">
        <w:rPr>
          <w:rFonts w:ascii="Cambria" w:hAnsi="Cambria"/>
          <w:b/>
          <w:bCs/>
        </w:rPr>
        <w:t>Incorporation of NewCo</w:t>
      </w:r>
    </w:p>
    <w:p w14:paraId="1F420510"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2.1 The Parties shall procure the incorporation of a new private limited company in Kenya under the Companies Act, 2015 (hereinafter "NewCo").</w:t>
      </w:r>
    </w:p>
    <w:p w14:paraId="42C8F71A"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2.2 NewCo shall be incorporated with an authorised share capital of KES 1,000,000, divided into 1,000 ordinary shares of KES 1,000 each, with the flexibility to create additional share classes by shareholder resolution.</w:t>
      </w:r>
    </w:p>
    <w:p w14:paraId="32BC7471"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2.3 NewCo shall maintain its own dedicated bank account and M-PESA Business Till Number as its primary transactional instruments, entirely separate from the Firm's financial accounts. No Firm funds shall be commingled with NewCo funds.</w:t>
      </w:r>
    </w:p>
    <w:p w14:paraId="02CBDE48"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2.4 The Parties shall procure that NewCo is incorporated within sixty (60) days of the signing of this HoT, unless otherwise agreed.</w:t>
      </w:r>
    </w:p>
    <w:p w14:paraId="621B31B7"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2.5 NewCo shall, from incorporation, operate as an independent commercial entity. The Firm shall have no authority to direct or control NewCo's operations save through its rights as a shareholder and through its board nominee as provided herein.</w:t>
      </w:r>
    </w:p>
    <w:p w14:paraId="484F3736" w14:textId="09E06928" w:rsidR="00B16ECB" w:rsidRPr="00B16ECB" w:rsidRDefault="00B16ECB" w:rsidP="00B16ECB">
      <w:pPr>
        <w:spacing w:after="0" w:line="240" w:lineRule="auto"/>
        <w:jc w:val="both"/>
        <w:rPr>
          <w:rFonts w:ascii="Cambria" w:eastAsia="Times New Roman" w:hAnsi="Cambria" w:cs="Times New Roman"/>
          <w:kern w:val="0"/>
          <w14:ligatures w14:val="none"/>
        </w:rPr>
      </w:pPr>
    </w:p>
    <w:p w14:paraId="2205FB85" w14:textId="77777777" w:rsidR="00B16ECB" w:rsidRPr="006A3869" w:rsidRDefault="00B16ECB" w:rsidP="00B16ECB">
      <w:pPr>
        <w:rPr>
          <w:rFonts w:ascii="Cambria" w:hAnsi="Cambria"/>
          <w:b/>
          <w:bCs/>
        </w:rPr>
      </w:pPr>
      <w:r w:rsidRPr="006A3869">
        <w:rPr>
          <w:rFonts w:ascii="Cambria" w:hAnsi="Cambria"/>
          <w:b/>
          <w:bCs/>
        </w:rPr>
        <w:t>SECTION B — EQUITY &amp; SHAREHOLDING</w:t>
      </w:r>
    </w:p>
    <w:p w14:paraId="5A8EDC2E" w14:textId="5EE39B96" w:rsidR="00B16ECB" w:rsidRPr="00727116" w:rsidRDefault="00B16ECB" w:rsidP="00727116">
      <w:pPr>
        <w:pStyle w:val="ListParagraph"/>
        <w:numPr>
          <w:ilvl w:val="0"/>
          <w:numId w:val="5"/>
        </w:numPr>
        <w:rPr>
          <w:rFonts w:ascii="Cambria" w:hAnsi="Cambria"/>
          <w:b/>
          <w:bCs/>
        </w:rPr>
      </w:pPr>
      <w:r w:rsidRPr="00727116">
        <w:rPr>
          <w:rFonts w:ascii="Cambria" w:hAnsi="Cambria"/>
          <w:b/>
          <w:bCs/>
        </w:rPr>
        <w:t>Initial Shareholding Structure</w:t>
      </w:r>
    </w:p>
    <w:p w14:paraId="35A1B9C3"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3.1 Upon incorporation, the issued share capital of NewCo shall be held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749"/>
        <w:gridCol w:w="1334"/>
      </w:tblGrid>
      <w:tr w:rsidR="00B16ECB" w:rsidRPr="00B16ECB" w14:paraId="069A0EB9" w14:textId="77777777" w:rsidTr="006A3869">
        <w:trPr>
          <w:tblHeader/>
          <w:tblCellSpacing w:w="15" w:type="dxa"/>
        </w:trPr>
        <w:tc>
          <w:tcPr>
            <w:tcW w:w="0" w:type="auto"/>
            <w:tcBorders>
              <w:top w:val="single" w:sz="4" w:space="0" w:color="auto"/>
              <w:left w:val="single" w:sz="4" w:space="0" w:color="auto"/>
              <w:bottom w:val="single" w:sz="4" w:space="0" w:color="auto"/>
            </w:tcBorders>
            <w:vAlign w:val="center"/>
            <w:hideMark/>
          </w:tcPr>
          <w:p w14:paraId="18603AA5" w14:textId="77777777" w:rsidR="00B16ECB" w:rsidRPr="00B16ECB" w:rsidRDefault="00B16ECB" w:rsidP="00B16ECB">
            <w:pPr>
              <w:spacing w:after="0" w:line="240" w:lineRule="auto"/>
              <w:jc w:val="both"/>
              <w:rPr>
                <w:rFonts w:ascii="Cambria" w:eastAsia="Times New Roman" w:hAnsi="Cambria" w:cs="Times New Roman"/>
                <w:b/>
                <w:bCs/>
                <w:kern w:val="0"/>
                <w14:ligatures w14:val="none"/>
              </w:rPr>
            </w:pPr>
            <w:r w:rsidRPr="00B16ECB">
              <w:rPr>
                <w:rFonts w:ascii="Cambria" w:eastAsia="Times New Roman" w:hAnsi="Cambria" w:cs="Times New Roman"/>
                <w:b/>
                <w:bCs/>
                <w:kern w:val="0"/>
                <w14:ligatures w14:val="none"/>
              </w:rPr>
              <w:t>Shareholder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68663" w14:textId="77777777" w:rsidR="00B16ECB" w:rsidRPr="00B16ECB" w:rsidRDefault="00B16ECB" w:rsidP="00B16ECB">
            <w:pPr>
              <w:spacing w:after="0" w:line="240" w:lineRule="auto"/>
              <w:jc w:val="both"/>
              <w:rPr>
                <w:rFonts w:ascii="Cambria" w:eastAsia="Times New Roman" w:hAnsi="Cambria" w:cs="Times New Roman"/>
                <w:b/>
                <w:bCs/>
                <w:kern w:val="0"/>
                <w14:ligatures w14:val="none"/>
              </w:rPr>
            </w:pPr>
            <w:r w:rsidRPr="00B16ECB">
              <w:rPr>
                <w:rFonts w:ascii="Cambria" w:eastAsia="Times New Roman" w:hAnsi="Cambria" w:cs="Times New Roman"/>
                <w:b/>
                <w:bCs/>
                <w:kern w:val="0"/>
                <w14:ligatures w14:val="none"/>
              </w:rPr>
              <w:t>Share Class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4E5183" w14:textId="77777777" w:rsidR="00B16ECB" w:rsidRPr="00B16ECB" w:rsidRDefault="00B16ECB" w:rsidP="00B16ECB">
            <w:pPr>
              <w:spacing w:after="0" w:line="240" w:lineRule="auto"/>
              <w:jc w:val="both"/>
              <w:rPr>
                <w:rFonts w:ascii="Cambria" w:eastAsia="Times New Roman" w:hAnsi="Cambria" w:cs="Times New Roman"/>
                <w:b/>
                <w:bCs/>
                <w:kern w:val="0"/>
                <w14:ligatures w14:val="none"/>
              </w:rPr>
            </w:pPr>
            <w:r w:rsidRPr="00B16ECB">
              <w:rPr>
                <w:rFonts w:ascii="Cambria" w:eastAsia="Times New Roman" w:hAnsi="Cambria" w:cs="Times New Roman"/>
                <w:b/>
                <w:bCs/>
                <w:kern w:val="0"/>
                <w14:ligatures w14:val="none"/>
              </w:rPr>
              <w:t>Percentage</w:t>
            </w:r>
          </w:p>
        </w:tc>
      </w:tr>
      <w:tr w:rsidR="00B16ECB" w:rsidRPr="00B16ECB" w14:paraId="46E5D877" w14:textId="77777777" w:rsidTr="006A3869">
        <w:trPr>
          <w:tblCellSpacing w:w="15" w:type="dxa"/>
        </w:trPr>
        <w:tc>
          <w:tcPr>
            <w:tcW w:w="0" w:type="auto"/>
            <w:tcBorders>
              <w:left w:val="single" w:sz="4" w:space="0" w:color="auto"/>
              <w:bottom w:val="single" w:sz="4" w:space="0" w:color="auto"/>
            </w:tcBorders>
            <w:vAlign w:val="center"/>
            <w:hideMark/>
          </w:tcPr>
          <w:p w14:paraId="5F3373B2" w14:textId="77777777" w:rsidR="00B16ECB" w:rsidRPr="00B16ECB" w:rsidRDefault="00B16ECB" w:rsidP="00B16ECB">
            <w:pPr>
              <w:spacing w:after="0"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The Developer</w:t>
            </w:r>
          </w:p>
        </w:tc>
        <w:tc>
          <w:tcPr>
            <w:tcW w:w="0" w:type="auto"/>
            <w:tcBorders>
              <w:left w:val="single" w:sz="4" w:space="0" w:color="auto"/>
              <w:bottom w:val="single" w:sz="4" w:space="0" w:color="auto"/>
              <w:right w:val="single" w:sz="4" w:space="0" w:color="auto"/>
            </w:tcBorders>
            <w:vAlign w:val="center"/>
            <w:hideMark/>
          </w:tcPr>
          <w:p w14:paraId="53EA5F1C" w14:textId="77777777" w:rsidR="00B16ECB" w:rsidRPr="00B16ECB" w:rsidRDefault="00B16ECB" w:rsidP="00B16ECB">
            <w:pPr>
              <w:spacing w:after="0"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Ordinary Shares</w:t>
            </w:r>
          </w:p>
        </w:tc>
        <w:tc>
          <w:tcPr>
            <w:tcW w:w="0" w:type="auto"/>
            <w:tcBorders>
              <w:left w:val="single" w:sz="4" w:space="0" w:color="auto"/>
              <w:bottom w:val="single" w:sz="4" w:space="0" w:color="auto"/>
              <w:right w:val="single" w:sz="4" w:space="0" w:color="auto"/>
            </w:tcBorders>
            <w:vAlign w:val="center"/>
            <w:hideMark/>
          </w:tcPr>
          <w:p w14:paraId="614FA124" w14:textId="174E1A5E" w:rsidR="00B16ECB" w:rsidRPr="00B16ECB" w:rsidRDefault="006A3869" w:rsidP="00B16ECB">
            <w:pPr>
              <w:spacing w:after="0" w:line="240" w:lineRule="auto"/>
              <w:jc w:val="both"/>
              <w:rPr>
                <w:rFonts w:ascii="Cambria" w:eastAsia="Times New Roman" w:hAnsi="Cambria" w:cs="Times New Roman"/>
                <w:kern w:val="0"/>
                <w14:ligatures w14:val="none"/>
              </w:rPr>
            </w:pPr>
            <w:r w:rsidRPr="006A3869">
              <w:rPr>
                <w:rFonts w:ascii="Cambria" w:eastAsia="Times New Roman" w:hAnsi="Cambria" w:cs="Times New Roman"/>
                <w:kern w:val="0"/>
                <w14:ligatures w14:val="none"/>
              </w:rPr>
              <w:t xml:space="preserve">    </w:t>
            </w:r>
            <w:r w:rsidR="00B16ECB" w:rsidRPr="00B16ECB">
              <w:rPr>
                <w:rFonts w:ascii="Cambria" w:eastAsia="Times New Roman" w:hAnsi="Cambria" w:cs="Times New Roman"/>
                <w:kern w:val="0"/>
                <w14:ligatures w14:val="none"/>
              </w:rPr>
              <w:t>50%</w:t>
            </w:r>
          </w:p>
        </w:tc>
      </w:tr>
      <w:tr w:rsidR="00B16ECB" w:rsidRPr="00B16ECB" w14:paraId="48C48DE2" w14:textId="77777777" w:rsidTr="006A3869">
        <w:trPr>
          <w:tblCellSpacing w:w="15" w:type="dxa"/>
        </w:trPr>
        <w:tc>
          <w:tcPr>
            <w:tcW w:w="0" w:type="auto"/>
            <w:tcBorders>
              <w:left w:val="single" w:sz="4" w:space="0" w:color="auto"/>
            </w:tcBorders>
            <w:vAlign w:val="center"/>
            <w:hideMark/>
          </w:tcPr>
          <w:p w14:paraId="7AAE26C4" w14:textId="77777777" w:rsidR="00B16ECB" w:rsidRPr="00B16ECB" w:rsidRDefault="00B16ECB" w:rsidP="00B16ECB">
            <w:pPr>
              <w:spacing w:after="0"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The Firm</w:t>
            </w:r>
          </w:p>
        </w:tc>
        <w:tc>
          <w:tcPr>
            <w:tcW w:w="0" w:type="auto"/>
            <w:tcBorders>
              <w:left w:val="single" w:sz="4" w:space="0" w:color="auto"/>
              <w:right w:val="single" w:sz="4" w:space="0" w:color="auto"/>
            </w:tcBorders>
            <w:vAlign w:val="center"/>
            <w:hideMark/>
          </w:tcPr>
          <w:p w14:paraId="06122FBB" w14:textId="77777777" w:rsidR="00B16ECB" w:rsidRPr="00B16ECB" w:rsidRDefault="00B16ECB" w:rsidP="00B16ECB">
            <w:pPr>
              <w:spacing w:after="0"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Ordinary Shares</w:t>
            </w:r>
          </w:p>
        </w:tc>
        <w:tc>
          <w:tcPr>
            <w:tcW w:w="0" w:type="auto"/>
            <w:tcBorders>
              <w:left w:val="single" w:sz="4" w:space="0" w:color="auto"/>
              <w:right w:val="single" w:sz="4" w:space="0" w:color="auto"/>
            </w:tcBorders>
            <w:vAlign w:val="center"/>
            <w:hideMark/>
          </w:tcPr>
          <w:p w14:paraId="02BDDC99" w14:textId="17506B76" w:rsidR="00B16ECB" w:rsidRPr="00B16ECB" w:rsidRDefault="006A3869" w:rsidP="00B16ECB">
            <w:pPr>
              <w:spacing w:after="0" w:line="240" w:lineRule="auto"/>
              <w:jc w:val="both"/>
              <w:rPr>
                <w:rFonts w:ascii="Cambria" w:eastAsia="Times New Roman" w:hAnsi="Cambria" w:cs="Times New Roman"/>
                <w:kern w:val="0"/>
                <w14:ligatures w14:val="none"/>
              </w:rPr>
            </w:pPr>
            <w:r w:rsidRPr="006A3869">
              <w:rPr>
                <w:rFonts w:ascii="Cambria" w:eastAsia="Times New Roman" w:hAnsi="Cambria" w:cs="Times New Roman"/>
                <w:kern w:val="0"/>
                <w14:ligatures w14:val="none"/>
              </w:rPr>
              <w:t xml:space="preserve">    </w:t>
            </w:r>
            <w:r w:rsidR="00B16ECB" w:rsidRPr="00B16ECB">
              <w:rPr>
                <w:rFonts w:ascii="Cambria" w:eastAsia="Times New Roman" w:hAnsi="Cambria" w:cs="Times New Roman"/>
                <w:kern w:val="0"/>
                <w14:ligatures w14:val="none"/>
              </w:rPr>
              <w:t>50%</w:t>
            </w:r>
          </w:p>
        </w:tc>
      </w:tr>
      <w:tr w:rsidR="00B16ECB" w:rsidRPr="00B16ECB" w14:paraId="3646BE70" w14:textId="77777777" w:rsidTr="006A3869">
        <w:trPr>
          <w:tblCellSpacing w:w="15" w:type="dxa"/>
        </w:trPr>
        <w:tc>
          <w:tcPr>
            <w:tcW w:w="0" w:type="auto"/>
            <w:tcBorders>
              <w:top w:val="single" w:sz="4" w:space="0" w:color="auto"/>
              <w:left w:val="single" w:sz="4" w:space="0" w:color="auto"/>
              <w:bottom w:val="single" w:sz="4" w:space="0" w:color="auto"/>
            </w:tcBorders>
            <w:vAlign w:val="center"/>
            <w:hideMark/>
          </w:tcPr>
          <w:p w14:paraId="3783E8B4" w14:textId="77777777" w:rsidR="00B16ECB" w:rsidRPr="00B16ECB" w:rsidRDefault="00B16ECB" w:rsidP="00B16ECB">
            <w:pPr>
              <w:spacing w:after="0" w:line="240" w:lineRule="auto"/>
              <w:jc w:val="both"/>
              <w:rPr>
                <w:rFonts w:ascii="Cambria" w:eastAsia="Times New Roman" w:hAnsi="Cambria" w:cs="Times New Roman"/>
                <w:kern w:val="0"/>
                <w14:ligatures w14:val="none"/>
              </w:rPr>
            </w:pPr>
            <w:r w:rsidRPr="00B16ECB">
              <w:rPr>
                <w:rFonts w:ascii="Cambria" w:eastAsia="Times New Roman" w:hAnsi="Cambria" w:cs="Times New Roman"/>
                <w:b/>
                <w:bCs/>
                <w:kern w:val="0"/>
                <w14:ligatures w14:val="none"/>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30473" w14:textId="77777777" w:rsidR="00B16ECB" w:rsidRPr="00B16ECB" w:rsidRDefault="00B16ECB" w:rsidP="00B16ECB">
            <w:pPr>
              <w:spacing w:after="0" w:line="240" w:lineRule="auto"/>
              <w:jc w:val="both"/>
              <w:rPr>
                <w:rFonts w:ascii="Cambria" w:eastAsia="Times New Roman" w:hAnsi="Cambria" w:cs="Times New Roman"/>
                <w:kern w:val="0"/>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F4E9F6B" w14:textId="31DC077D" w:rsidR="00B16ECB" w:rsidRPr="00B16ECB" w:rsidRDefault="006A3869" w:rsidP="00B16ECB">
            <w:pPr>
              <w:spacing w:after="0" w:line="240" w:lineRule="auto"/>
              <w:jc w:val="both"/>
              <w:rPr>
                <w:rFonts w:ascii="Cambria" w:eastAsia="Times New Roman" w:hAnsi="Cambria" w:cs="Times New Roman"/>
                <w:kern w:val="0"/>
                <w14:ligatures w14:val="none"/>
              </w:rPr>
            </w:pPr>
            <w:r w:rsidRPr="006A3869">
              <w:rPr>
                <w:rFonts w:ascii="Cambria" w:eastAsia="Times New Roman" w:hAnsi="Cambria" w:cs="Times New Roman"/>
                <w:kern w:val="0"/>
                <w14:ligatures w14:val="none"/>
              </w:rPr>
              <w:t xml:space="preserve">    </w:t>
            </w:r>
            <w:r w:rsidR="00B16ECB" w:rsidRPr="00B16ECB">
              <w:rPr>
                <w:rFonts w:ascii="Cambria" w:eastAsia="Times New Roman" w:hAnsi="Cambria" w:cs="Times New Roman"/>
                <w:kern w:val="0"/>
                <w14:ligatures w14:val="none"/>
              </w:rPr>
              <w:t>100%</w:t>
            </w:r>
          </w:p>
        </w:tc>
      </w:tr>
    </w:tbl>
    <w:p w14:paraId="53049E30" w14:textId="03A9F3AB" w:rsidR="00B16ECB" w:rsidRPr="00B16ECB" w:rsidRDefault="00B16ECB" w:rsidP="006A3869">
      <w:pPr>
        <w:spacing w:before="100" w:beforeAutospacing="1" w:after="100" w:afterAutospacing="1" w:line="240" w:lineRule="auto"/>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3.2 The above split reflects:</w:t>
      </w:r>
      <w:r w:rsidRPr="00B16ECB">
        <w:rPr>
          <w:rFonts w:ascii="Cambria" w:eastAsia="Times New Roman" w:hAnsi="Cambria" w:cs="Times New Roman"/>
          <w:kern w:val="0"/>
          <w14:ligatures w14:val="none"/>
        </w:rPr>
        <w:br/>
        <w:t>(a) the Developer's contribution of the Platform, all underlying intellectual property, and ongoing technical leadership; and</w:t>
      </w:r>
      <w:r w:rsidRPr="00B16ECB">
        <w:rPr>
          <w:rFonts w:ascii="Cambria" w:eastAsia="Times New Roman" w:hAnsi="Cambria" w:cs="Times New Roman"/>
          <w:kern w:val="0"/>
          <w14:ligatures w14:val="none"/>
        </w:rPr>
        <w:br/>
        <w:t>(b) the Firm's contribution of the trademark, seed capital, in-kind resources, and client access as detailed herein.</w:t>
      </w:r>
    </w:p>
    <w:p w14:paraId="7335668F"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3.3 The Parties acknowledge that the Developer's equity shall be subject to a vesting schedule as set out in Clause 6 below.</w:t>
      </w:r>
    </w:p>
    <w:p w14:paraId="62AC74F5" w14:textId="012EC9F9" w:rsidR="00B16ECB" w:rsidRPr="00B16ECB" w:rsidRDefault="00B16ECB" w:rsidP="00B16ECB">
      <w:pPr>
        <w:spacing w:after="0" w:line="240" w:lineRule="auto"/>
        <w:jc w:val="both"/>
        <w:rPr>
          <w:rFonts w:ascii="Cambria" w:eastAsia="Times New Roman" w:hAnsi="Cambria" w:cs="Times New Roman"/>
          <w:b/>
          <w:bCs/>
          <w:kern w:val="0"/>
          <w14:ligatures w14:val="none"/>
        </w:rPr>
      </w:pPr>
    </w:p>
    <w:p w14:paraId="4C547AA7" w14:textId="77777777" w:rsidR="006A3869" w:rsidRDefault="006A3869" w:rsidP="00B16ECB">
      <w:pPr>
        <w:rPr>
          <w:rFonts w:ascii="Cambria" w:hAnsi="Cambria"/>
          <w:b/>
          <w:bCs/>
        </w:rPr>
      </w:pPr>
    </w:p>
    <w:p w14:paraId="0D0FC255" w14:textId="2FC5A4EA" w:rsidR="00B16ECB" w:rsidRPr="006A3869" w:rsidRDefault="00B16ECB" w:rsidP="00B16ECB">
      <w:pPr>
        <w:rPr>
          <w:rFonts w:ascii="Cambria" w:hAnsi="Cambria"/>
          <w:b/>
          <w:bCs/>
        </w:rPr>
      </w:pPr>
      <w:r w:rsidRPr="006A3869">
        <w:rPr>
          <w:rFonts w:ascii="Cambria" w:hAnsi="Cambria"/>
          <w:b/>
          <w:bCs/>
        </w:rPr>
        <w:lastRenderedPageBreak/>
        <w:t>SECTION C — INTELLECTUAL PROPERTY</w:t>
      </w:r>
    </w:p>
    <w:p w14:paraId="309EFCDD" w14:textId="44184660" w:rsidR="00B16ECB" w:rsidRPr="006A3869" w:rsidRDefault="00727116" w:rsidP="00B16ECB">
      <w:pPr>
        <w:rPr>
          <w:rFonts w:ascii="Cambria" w:hAnsi="Cambria"/>
          <w:b/>
          <w:bCs/>
        </w:rPr>
      </w:pPr>
      <w:r>
        <w:rPr>
          <w:rFonts w:ascii="Cambria" w:hAnsi="Cambria"/>
          <w:b/>
          <w:bCs/>
        </w:rPr>
        <w:t>4</w:t>
      </w:r>
      <w:r w:rsidR="00B16ECB" w:rsidRPr="006A3869">
        <w:rPr>
          <w:rFonts w:ascii="Cambria" w:hAnsi="Cambria"/>
          <w:b/>
          <w:bCs/>
        </w:rPr>
        <w:t>. IP Assignment and Ownership</w:t>
      </w:r>
    </w:p>
    <w:p w14:paraId="5E5776C9" w14:textId="19959878"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b/>
          <w:bCs/>
          <w:kern w:val="0"/>
          <w14:ligatures w14:val="none"/>
        </w:rPr>
        <w:t>4</w:t>
      </w:r>
      <w:r w:rsidR="00B16ECB" w:rsidRPr="00B16ECB">
        <w:rPr>
          <w:rFonts w:ascii="Cambria" w:eastAsia="Times New Roman" w:hAnsi="Cambria" w:cs="Times New Roman"/>
          <w:b/>
          <w:bCs/>
          <w:kern w:val="0"/>
          <w14:ligatures w14:val="none"/>
        </w:rPr>
        <w:t>.1 Developer's Assignment to NewCo.</w:t>
      </w:r>
      <w:r w:rsidR="00B16ECB" w:rsidRPr="00B16ECB">
        <w:rPr>
          <w:rFonts w:ascii="Cambria" w:eastAsia="Times New Roman" w:hAnsi="Cambria" w:cs="Times New Roman"/>
          <w:kern w:val="0"/>
          <w14:ligatures w14:val="none"/>
        </w:rPr>
        <w:t xml:space="preserve"> The Developer shall, upon incorporation of NewCo, execute a formal Deed of Assignment of Intellectual Property transferring to NewCo, free of any encumbrance and for nominal consideration of KES 1.00, all rights, title, and interest in and to:</w:t>
      </w:r>
    </w:p>
    <w:p w14:paraId="5C74E851"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(a) All source code (front-end and back-end), algorithms, machine learning models, training data, and technical architecture of the Platform in any version or iteration, whether currently existing or in development;</w:t>
      </w:r>
      <w:r w:rsidRPr="00B16ECB">
        <w:rPr>
          <w:rFonts w:ascii="Cambria" w:eastAsia="Times New Roman" w:hAnsi="Cambria" w:cs="Times New Roman"/>
          <w:kern w:val="0"/>
          <w14:ligatures w14:val="none"/>
        </w:rPr>
        <w:br/>
        <w:t>(b) All technical documentation, design specifications, wireframes, API documentation, and workflow diagrams;</w:t>
      </w:r>
      <w:r w:rsidRPr="00B16ECB">
        <w:rPr>
          <w:rFonts w:ascii="Cambria" w:eastAsia="Times New Roman" w:hAnsi="Cambria" w:cs="Times New Roman"/>
          <w:kern w:val="0"/>
          <w14:ligatures w14:val="none"/>
        </w:rPr>
        <w:br/>
        <w:t>(c) All database schemas, data pipelines, and AI prompt engineering frameworks embedded in the Platform;</w:t>
      </w:r>
      <w:r w:rsidRPr="00B16ECB">
        <w:rPr>
          <w:rFonts w:ascii="Cambria" w:eastAsia="Times New Roman" w:hAnsi="Cambria" w:cs="Times New Roman"/>
          <w:kern w:val="0"/>
          <w14:ligatures w14:val="none"/>
        </w:rPr>
        <w:br/>
        <w:t>(d) All domain names, social media handles, GitHub repositories, and digital infrastructure associated with the Platform registered in the Developer's name;</w:t>
      </w:r>
      <w:r w:rsidRPr="00B16ECB">
        <w:rPr>
          <w:rFonts w:ascii="Cambria" w:eastAsia="Times New Roman" w:hAnsi="Cambria" w:cs="Times New Roman"/>
          <w:kern w:val="0"/>
          <w14:ligatures w14:val="none"/>
        </w:rPr>
        <w:br/>
        <w:t>(e) All future improvements, enhancements, and derivative works arising from the Platform that are created within the scope of the Developer's role at NewCo; and</w:t>
      </w:r>
      <w:r w:rsidRPr="00B16ECB">
        <w:rPr>
          <w:rFonts w:ascii="Cambria" w:eastAsia="Times New Roman" w:hAnsi="Cambria" w:cs="Times New Roman"/>
          <w:kern w:val="0"/>
          <w14:ligatures w14:val="none"/>
        </w:rPr>
        <w:br/>
        <w:t>(f) Any pending or future patent applications, design rights, or copyright registrations related to the Platform.</w:t>
      </w:r>
    </w:p>
    <w:p w14:paraId="0C014977" w14:textId="73EF62CB"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b/>
          <w:bCs/>
          <w:kern w:val="0"/>
          <w14:ligatures w14:val="none"/>
        </w:rPr>
        <w:t>4</w:t>
      </w:r>
      <w:r w:rsidR="00B16ECB" w:rsidRPr="00B16ECB">
        <w:rPr>
          <w:rFonts w:ascii="Cambria" w:eastAsia="Times New Roman" w:hAnsi="Cambria" w:cs="Times New Roman"/>
          <w:b/>
          <w:bCs/>
          <w:kern w:val="0"/>
          <w14:ligatures w14:val="none"/>
        </w:rPr>
        <w:t>.2 Firm's Assignment to NewCo.</w:t>
      </w:r>
      <w:r w:rsidR="00B16ECB" w:rsidRPr="00B16ECB">
        <w:rPr>
          <w:rFonts w:ascii="Cambria" w:eastAsia="Times New Roman" w:hAnsi="Cambria" w:cs="Times New Roman"/>
          <w:kern w:val="0"/>
          <w14:ligatures w14:val="none"/>
        </w:rPr>
        <w:t xml:space="preserve"> The Firm shall, upon incorporation of NewCo, transfer to NewCo, free of charge:</w:t>
      </w:r>
    </w:p>
    <w:p w14:paraId="286C0C22" w14:textId="77777777"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(a) The registered trademark "SmartClause" issued by the Kenya Industrial Property Institute ("KIPI"), together with all goodwill attached thereto;</w:t>
      </w:r>
      <w:r w:rsidRPr="00B16ECB">
        <w:rPr>
          <w:rFonts w:ascii="Cambria" w:eastAsia="Times New Roman" w:hAnsi="Cambria" w:cs="Times New Roman"/>
          <w:kern w:val="0"/>
          <w14:ligatures w14:val="none"/>
        </w:rPr>
        <w:br/>
        <w:t>(b) Any associated domain names currently held by the Firm (including but not limited to [smartclause.net] or any equivalent); and</w:t>
      </w:r>
      <w:r w:rsidRPr="00B16ECB">
        <w:rPr>
          <w:rFonts w:ascii="Cambria" w:eastAsia="Times New Roman" w:hAnsi="Cambria" w:cs="Times New Roman"/>
          <w:kern w:val="0"/>
          <w14:ligatures w14:val="none"/>
        </w:rPr>
        <w:br/>
        <w:t>(c) Any branding assets, logo files, or marketing materials developed by or on behalf of the Firm in connection with the Platform.</w:t>
      </w:r>
    </w:p>
    <w:p w14:paraId="541A4D24" w14:textId="4A49E27E"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4</w:t>
      </w:r>
      <w:r w:rsidR="00B16ECB" w:rsidRPr="00B16ECB">
        <w:rPr>
          <w:rFonts w:ascii="Cambria" w:eastAsia="Times New Roman" w:hAnsi="Cambria" w:cs="Times New Roman"/>
          <w:kern w:val="0"/>
          <w14:ligatures w14:val="none"/>
        </w:rPr>
        <w:t>.3 The trademark assignment shall be effected by execution of a Deed of Assignment of Trademark in a form compliant with the Trade Marks Act and filed with KIPI within thirty (30) days of NewCo's incorporation.</w:t>
      </w:r>
    </w:p>
    <w:p w14:paraId="100E4149" w14:textId="294C9994"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4</w:t>
      </w:r>
      <w:r w:rsidR="00B16ECB" w:rsidRPr="00B16ECB">
        <w:rPr>
          <w:rFonts w:ascii="Cambria" w:eastAsia="Times New Roman" w:hAnsi="Cambria" w:cs="Times New Roman"/>
          <w:kern w:val="0"/>
          <w14:ligatures w14:val="none"/>
        </w:rPr>
        <w:t xml:space="preserve">.4 </w:t>
      </w:r>
      <w:r w:rsidR="00B16ECB" w:rsidRPr="00B16ECB">
        <w:rPr>
          <w:rFonts w:ascii="Cambria" w:eastAsia="Times New Roman" w:hAnsi="Cambria" w:cs="Times New Roman"/>
          <w:b/>
          <w:bCs/>
          <w:kern w:val="0"/>
          <w14:ligatures w14:val="none"/>
        </w:rPr>
        <w:t>Moral Rights.</w:t>
      </w:r>
      <w:r w:rsidR="00B16ECB" w:rsidRPr="00B16ECB">
        <w:rPr>
          <w:rFonts w:ascii="Cambria" w:eastAsia="Times New Roman" w:hAnsi="Cambria" w:cs="Times New Roman"/>
          <w:kern w:val="0"/>
          <w14:ligatures w14:val="none"/>
        </w:rPr>
        <w:t xml:space="preserve"> The Developer waives, to the fullest extent permitted by Kenyan law, all moral rights in relation to the assigned IP in favour of NewCo.</w:t>
      </w:r>
    </w:p>
    <w:p w14:paraId="0DEB53E1" w14:textId="4A515FDE" w:rsidR="00B16ECB" w:rsidRPr="00B16ECB" w:rsidRDefault="00727116" w:rsidP="00B16ECB">
      <w:pPr>
        <w:spacing w:before="100" w:beforeAutospacing="1" w:after="100" w:afterAutospacing="1" w:line="240" w:lineRule="auto"/>
        <w:rPr>
          <w:rFonts w:ascii="Cambria" w:eastAsia="Times New Roman" w:hAnsi="Cambria" w:cs="Times New Roman"/>
          <w:kern w:val="0"/>
          <w14:ligatures w14:val="none"/>
        </w:rPr>
      </w:pPr>
      <w:r>
        <w:rPr>
          <w:rFonts w:ascii="Cambria" w:eastAsia="Times New Roman" w:hAnsi="Cambria" w:cs="Times New Roman"/>
          <w:kern w:val="0"/>
          <w14:ligatures w14:val="none"/>
        </w:rPr>
        <w:t>4</w:t>
      </w:r>
      <w:r w:rsidR="00B16ECB" w:rsidRPr="00B16ECB">
        <w:rPr>
          <w:rFonts w:ascii="Cambria" w:eastAsia="Times New Roman" w:hAnsi="Cambria" w:cs="Times New Roman"/>
          <w:kern w:val="0"/>
          <w14:ligatures w14:val="none"/>
        </w:rPr>
        <w:t xml:space="preserve">.5 </w:t>
      </w:r>
      <w:r w:rsidR="00B16ECB" w:rsidRPr="00B16ECB">
        <w:rPr>
          <w:rFonts w:ascii="Cambria" w:eastAsia="Times New Roman" w:hAnsi="Cambria" w:cs="Times New Roman"/>
          <w:b/>
          <w:bCs/>
          <w:kern w:val="0"/>
          <w14:ligatures w14:val="none"/>
        </w:rPr>
        <w:t>IP Covenant.</w:t>
      </w:r>
      <w:r w:rsidR="00B16ECB" w:rsidRPr="00B16ECB">
        <w:rPr>
          <w:rFonts w:ascii="Cambria" w:eastAsia="Times New Roman" w:hAnsi="Cambria" w:cs="Times New Roman"/>
          <w:kern w:val="0"/>
          <w14:ligatures w14:val="none"/>
        </w:rPr>
        <w:t xml:space="preserve"> The Developer warrants that:</w:t>
      </w:r>
      <w:r w:rsidR="00B16ECB" w:rsidRPr="00B16ECB">
        <w:rPr>
          <w:rFonts w:ascii="Cambria" w:eastAsia="Times New Roman" w:hAnsi="Cambria" w:cs="Times New Roman"/>
          <w:kern w:val="0"/>
          <w14:ligatures w14:val="none"/>
        </w:rPr>
        <w:br/>
        <w:t>(a) the Platform is original and does not infringe the intellectual property rights of any third party;</w:t>
      </w:r>
      <w:r w:rsidR="00B16ECB" w:rsidRPr="00B16ECB">
        <w:rPr>
          <w:rFonts w:ascii="Cambria" w:eastAsia="Times New Roman" w:hAnsi="Cambria" w:cs="Times New Roman"/>
          <w:kern w:val="0"/>
          <w14:ligatures w14:val="none"/>
        </w:rPr>
        <w:br/>
        <w:t>(b) no third party has any claim, lien, or encumbrance over any of the IP to be assigned; and</w:t>
      </w:r>
      <w:r w:rsidR="00B16ECB" w:rsidRPr="00B16ECB">
        <w:rPr>
          <w:rFonts w:ascii="Cambria" w:eastAsia="Times New Roman" w:hAnsi="Cambria" w:cs="Times New Roman"/>
          <w:kern w:val="0"/>
          <w14:ligatures w14:val="none"/>
        </w:rPr>
        <w:br/>
        <w:t>(c) the Developer has not previously assigned or licensed the IP to any other party.</w:t>
      </w:r>
    </w:p>
    <w:p w14:paraId="17FDA7B9" w14:textId="247A2622"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lastRenderedPageBreak/>
        <w:t>4</w:t>
      </w:r>
      <w:r w:rsidR="00B16ECB" w:rsidRPr="00B16ECB">
        <w:rPr>
          <w:rFonts w:ascii="Cambria" w:eastAsia="Times New Roman" w:hAnsi="Cambria" w:cs="Times New Roman"/>
          <w:kern w:val="0"/>
          <w14:ligatures w14:val="none"/>
        </w:rPr>
        <w:t xml:space="preserve">.6 </w:t>
      </w:r>
      <w:r w:rsidR="00B16ECB" w:rsidRPr="00B16ECB">
        <w:rPr>
          <w:rFonts w:ascii="Cambria" w:eastAsia="Times New Roman" w:hAnsi="Cambria" w:cs="Times New Roman"/>
          <w:b/>
          <w:bCs/>
          <w:kern w:val="0"/>
          <w14:ligatures w14:val="none"/>
        </w:rPr>
        <w:t>Platform Independence.</w:t>
      </w:r>
      <w:r w:rsidR="00B16ECB" w:rsidRPr="00B16ECB">
        <w:rPr>
          <w:rFonts w:ascii="Cambria" w:eastAsia="Times New Roman" w:hAnsi="Cambria" w:cs="Times New Roman"/>
          <w:kern w:val="0"/>
          <w14:ligatures w14:val="none"/>
        </w:rPr>
        <w:t xml:space="preserve"> The Parties agree and acknowledge that the Platform is, and shall remain, a separate commercial product.</w:t>
      </w:r>
    </w:p>
    <w:p w14:paraId="79181488" w14:textId="7B070FE6" w:rsidR="00B16ECB" w:rsidRPr="00B16ECB" w:rsidRDefault="00B16ECB" w:rsidP="00B16ECB">
      <w:pPr>
        <w:spacing w:after="0" w:line="240" w:lineRule="auto"/>
        <w:jc w:val="both"/>
        <w:rPr>
          <w:rFonts w:ascii="Cambria" w:eastAsia="Times New Roman" w:hAnsi="Cambria" w:cs="Times New Roman"/>
          <w:kern w:val="0"/>
          <w14:ligatures w14:val="none"/>
        </w:rPr>
      </w:pPr>
    </w:p>
    <w:p w14:paraId="2BD8ABAE" w14:textId="77777777" w:rsidR="00B16ECB" w:rsidRPr="006A3869" w:rsidRDefault="00B16ECB" w:rsidP="00B16ECB">
      <w:pPr>
        <w:rPr>
          <w:rFonts w:ascii="Cambria" w:hAnsi="Cambria"/>
          <w:b/>
          <w:bCs/>
        </w:rPr>
      </w:pPr>
      <w:r w:rsidRPr="006A3869">
        <w:rPr>
          <w:rFonts w:ascii="Cambria" w:hAnsi="Cambria"/>
          <w:b/>
          <w:bCs/>
        </w:rPr>
        <w:t>SECTION D — VESTING</w:t>
      </w:r>
    </w:p>
    <w:p w14:paraId="323EF8DF" w14:textId="41732369" w:rsidR="00B16ECB" w:rsidRPr="006A3869" w:rsidRDefault="00727116" w:rsidP="00B16ECB">
      <w:pPr>
        <w:rPr>
          <w:rFonts w:ascii="Cambria" w:hAnsi="Cambria"/>
          <w:b/>
          <w:bCs/>
        </w:rPr>
      </w:pPr>
      <w:r>
        <w:rPr>
          <w:rFonts w:ascii="Cambria" w:hAnsi="Cambria"/>
          <w:b/>
          <w:bCs/>
        </w:rPr>
        <w:t>5</w:t>
      </w:r>
      <w:r w:rsidR="00B16ECB" w:rsidRPr="006A3869">
        <w:rPr>
          <w:rFonts w:ascii="Cambria" w:hAnsi="Cambria"/>
          <w:b/>
          <w:bCs/>
        </w:rPr>
        <w:t>. Developer Vesting Schedule</w:t>
      </w:r>
    </w:p>
    <w:p w14:paraId="34DE4181" w14:textId="349CA976"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5</w:t>
      </w:r>
      <w:r w:rsidR="00B16ECB" w:rsidRPr="00B16ECB">
        <w:rPr>
          <w:rFonts w:ascii="Cambria" w:eastAsia="Times New Roman" w:hAnsi="Cambria" w:cs="Times New Roman"/>
          <w:kern w:val="0"/>
          <w14:ligatures w14:val="none"/>
        </w:rPr>
        <w:t xml:space="preserve">.1 </w:t>
      </w:r>
      <w:r w:rsidR="00B16ECB" w:rsidRPr="00B16ECB">
        <w:rPr>
          <w:rFonts w:ascii="Cambria" w:eastAsia="Times New Roman" w:hAnsi="Cambria" w:cs="Times New Roman"/>
          <w:b/>
          <w:bCs/>
          <w:kern w:val="0"/>
          <w14:ligatures w14:val="none"/>
        </w:rPr>
        <w:t>Reverse Vesting.</w:t>
      </w:r>
      <w:r w:rsidR="00B16ECB" w:rsidRPr="00B16ECB">
        <w:rPr>
          <w:rFonts w:ascii="Cambria" w:eastAsia="Times New Roman" w:hAnsi="Cambria" w:cs="Times New Roman"/>
          <w:kern w:val="0"/>
          <w14:ligatures w14:val="none"/>
        </w:rPr>
        <w:t xml:space="preserve"> To ensure long-term commitment and protect the integrity of NewCo, the Developer's shares shall be subject to the following reverse vesting schedule:</w:t>
      </w:r>
    </w:p>
    <w:p w14:paraId="4D83B812" w14:textId="77777777" w:rsidR="00B16ECB" w:rsidRPr="00B16ECB" w:rsidRDefault="00B16ECB" w:rsidP="006A3869">
      <w:pPr>
        <w:spacing w:before="100" w:beforeAutospacing="1" w:after="100" w:afterAutospacing="1" w:line="240" w:lineRule="auto"/>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 xml:space="preserve">(a) </w:t>
      </w:r>
      <w:r w:rsidRPr="00B16ECB">
        <w:rPr>
          <w:rFonts w:ascii="Cambria" w:eastAsia="Times New Roman" w:hAnsi="Cambria" w:cs="Times New Roman"/>
          <w:b/>
          <w:bCs/>
          <w:kern w:val="0"/>
          <w14:ligatures w14:val="none"/>
        </w:rPr>
        <w:t>Cliff:</w:t>
      </w:r>
      <w:r w:rsidRPr="00B16ECB">
        <w:rPr>
          <w:rFonts w:ascii="Cambria" w:eastAsia="Times New Roman" w:hAnsi="Cambria" w:cs="Times New Roman"/>
          <w:kern w:val="0"/>
          <w14:ligatures w14:val="none"/>
        </w:rPr>
        <w:t xml:space="preserve"> No shares vest during the first twelve (12) months from the Commencement Date (the "Cliff").</w:t>
      </w:r>
      <w:r w:rsidRPr="00B16ECB">
        <w:rPr>
          <w:rFonts w:ascii="Cambria" w:eastAsia="Times New Roman" w:hAnsi="Cambria" w:cs="Times New Roman"/>
          <w:kern w:val="0"/>
          <w14:ligatures w14:val="none"/>
        </w:rPr>
        <w:br/>
        <w:t xml:space="preserve">(b) </w:t>
      </w:r>
      <w:r w:rsidRPr="00B16ECB">
        <w:rPr>
          <w:rFonts w:ascii="Cambria" w:eastAsia="Times New Roman" w:hAnsi="Cambria" w:cs="Times New Roman"/>
          <w:b/>
          <w:bCs/>
          <w:kern w:val="0"/>
          <w14:ligatures w14:val="none"/>
        </w:rPr>
        <w:t>Monthly Vesting Post-Cliff:</w:t>
      </w:r>
      <w:r w:rsidRPr="00B16ECB">
        <w:rPr>
          <w:rFonts w:ascii="Cambria" w:eastAsia="Times New Roman" w:hAnsi="Cambria" w:cs="Times New Roman"/>
          <w:kern w:val="0"/>
          <w14:ligatures w14:val="none"/>
        </w:rPr>
        <w:t xml:space="preserve"> Following the Cliff, the Developer's shares shall vest in equal monthly instalments over the subsequent twenty-four (24) months, resulting in a total vesting period of three (3) years.</w:t>
      </w:r>
      <w:r w:rsidRPr="00B16ECB">
        <w:rPr>
          <w:rFonts w:ascii="Cambria" w:eastAsia="Times New Roman" w:hAnsi="Cambria" w:cs="Times New Roman"/>
          <w:kern w:val="0"/>
          <w14:ligatures w14:val="none"/>
        </w:rPr>
        <w:br/>
        <w:t xml:space="preserve">(c) </w:t>
      </w:r>
      <w:r w:rsidRPr="00B16ECB">
        <w:rPr>
          <w:rFonts w:ascii="Cambria" w:eastAsia="Times New Roman" w:hAnsi="Cambria" w:cs="Times New Roman"/>
          <w:b/>
          <w:bCs/>
          <w:kern w:val="0"/>
          <w14:ligatures w14:val="none"/>
        </w:rPr>
        <w:t>Acceleration:</w:t>
      </w:r>
      <w:r w:rsidRPr="00B16ECB">
        <w:rPr>
          <w:rFonts w:ascii="Cambria" w:eastAsia="Times New Roman" w:hAnsi="Cambria" w:cs="Times New Roman"/>
          <w:kern w:val="0"/>
          <w14:ligatures w14:val="none"/>
        </w:rPr>
        <w:t xml:space="preserve"> In the event of:</w:t>
      </w:r>
      <w:r w:rsidRPr="00B16ECB">
        <w:rPr>
          <w:rFonts w:ascii="Cambria" w:eastAsia="Times New Roman" w:hAnsi="Cambria" w:cs="Times New Roman"/>
          <w:kern w:val="0"/>
          <w14:ligatures w14:val="none"/>
        </w:rPr>
        <w:br/>
        <w:t>(i) a Change of Control (as defined in the Shareholders' Agreement); or</w:t>
      </w:r>
      <w:r w:rsidRPr="00B16ECB">
        <w:rPr>
          <w:rFonts w:ascii="Cambria" w:eastAsia="Times New Roman" w:hAnsi="Cambria" w:cs="Times New Roman"/>
          <w:kern w:val="0"/>
          <w14:ligatures w14:val="none"/>
        </w:rPr>
        <w:br/>
        <w:t>(ii) termination of the Developer's role at NewCo without cause, 50% of all unvested shares shall automatically vest (single-trigger acceleration).</w:t>
      </w:r>
    </w:p>
    <w:p w14:paraId="51396BF2" w14:textId="099A286F"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5</w:t>
      </w:r>
      <w:r w:rsidR="00B16ECB" w:rsidRPr="00B16ECB">
        <w:rPr>
          <w:rFonts w:ascii="Cambria" w:eastAsia="Times New Roman" w:hAnsi="Cambria" w:cs="Times New Roman"/>
          <w:kern w:val="0"/>
          <w14:ligatures w14:val="none"/>
        </w:rPr>
        <w:t xml:space="preserve">.2 </w:t>
      </w:r>
      <w:r w:rsidR="00B16ECB" w:rsidRPr="00B16ECB">
        <w:rPr>
          <w:rFonts w:ascii="Cambria" w:eastAsia="Times New Roman" w:hAnsi="Cambria" w:cs="Times New Roman"/>
          <w:b/>
          <w:bCs/>
          <w:kern w:val="0"/>
          <w14:ligatures w14:val="none"/>
        </w:rPr>
        <w:t>Bad Leaver.</w:t>
      </w:r>
      <w:r w:rsidR="00B16ECB" w:rsidRPr="00B16ECB">
        <w:rPr>
          <w:rFonts w:ascii="Cambria" w:eastAsia="Times New Roman" w:hAnsi="Cambria" w:cs="Times New Roman"/>
          <w:kern w:val="0"/>
          <w14:ligatures w14:val="none"/>
        </w:rPr>
        <w:t xml:space="preserve"> If the Developer voluntarily resigns from NewCo or is removed for cause before full vesting, the Firm shall have the option to repurchase all unvested shares at par value within thirty (30) days of the Developer's departure.</w:t>
      </w:r>
    </w:p>
    <w:p w14:paraId="22EF01DA" w14:textId="008458D7"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5</w:t>
      </w:r>
      <w:r w:rsidR="00B16ECB" w:rsidRPr="00B16ECB">
        <w:rPr>
          <w:rFonts w:ascii="Cambria" w:eastAsia="Times New Roman" w:hAnsi="Cambria" w:cs="Times New Roman"/>
          <w:kern w:val="0"/>
          <w14:ligatures w14:val="none"/>
        </w:rPr>
        <w:t xml:space="preserve">.3 </w:t>
      </w:r>
      <w:r w:rsidR="00B16ECB" w:rsidRPr="00B16ECB">
        <w:rPr>
          <w:rFonts w:ascii="Cambria" w:eastAsia="Times New Roman" w:hAnsi="Cambria" w:cs="Times New Roman"/>
          <w:b/>
          <w:bCs/>
          <w:kern w:val="0"/>
          <w14:ligatures w14:val="none"/>
        </w:rPr>
        <w:t>Good Leaver.</w:t>
      </w:r>
      <w:r w:rsidR="00B16ECB" w:rsidRPr="00B16ECB">
        <w:rPr>
          <w:rFonts w:ascii="Cambria" w:eastAsia="Times New Roman" w:hAnsi="Cambria" w:cs="Times New Roman"/>
          <w:kern w:val="0"/>
          <w14:ligatures w14:val="none"/>
        </w:rPr>
        <w:t xml:space="preserve"> If the Developer's role is terminated by NewCo other than for cause, the Firm shall have the option to repurchase unvested shares at fair market value as determined by an independent valuer agreed upon by the Parties.</w:t>
      </w:r>
    </w:p>
    <w:p w14:paraId="4626C0FE" w14:textId="6899AF6C"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5</w:t>
      </w:r>
      <w:r w:rsidR="00B16ECB" w:rsidRPr="00B16ECB">
        <w:rPr>
          <w:rFonts w:ascii="Cambria" w:eastAsia="Times New Roman" w:hAnsi="Cambria" w:cs="Times New Roman"/>
          <w:kern w:val="0"/>
          <w14:ligatures w14:val="none"/>
        </w:rPr>
        <w:t>.4 The vested shares shall at all times remain subject to the pre-emption and drag-along rights set out herein.</w:t>
      </w:r>
    </w:p>
    <w:p w14:paraId="57C69DF9" w14:textId="4C46C8B9" w:rsidR="00B16ECB" w:rsidRPr="00B16ECB" w:rsidRDefault="00B16ECB" w:rsidP="00B16ECB">
      <w:pPr>
        <w:spacing w:after="0" w:line="240" w:lineRule="auto"/>
        <w:jc w:val="both"/>
        <w:rPr>
          <w:rFonts w:ascii="Cambria" w:eastAsia="Times New Roman" w:hAnsi="Cambria" w:cs="Times New Roman"/>
          <w:kern w:val="0"/>
          <w14:ligatures w14:val="none"/>
        </w:rPr>
      </w:pPr>
    </w:p>
    <w:p w14:paraId="79A74128" w14:textId="77777777" w:rsidR="00B16ECB" w:rsidRPr="006A3869" w:rsidRDefault="00B16ECB" w:rsidP="00B16ECB">
      <w:pPr>
        <w:rPr>
          <w:rFonts w:ascii="Cambria" w:hAnsi="Cambria"/>
          <w:b/>
          <w:bCs/>
        </w:rPr>
      </w:pPr>
      <w:r w:rsidRPr="006A3869">
        <w:rPr>
          <w:rFonts w:ascii="Cambria" w:hAnsi="Cambria"/>
          <w:b/>
          <w:bCs/>
        </w:rPr>
        <w:t>SECTION E — GOVERNANCE</w:t>
      </w:r>
    </w:p>
    <w:p w14:paraId="207B845C" w14:textId="702AA465" w:rsidR="00B16ECB" w:rsidRPr="006A3869" w:rsidRDefault="00727116" w:rsidP="00B16ECB">
      <w:pPr>
        <w:rPr>
          <w:rFonts w:ascii="Cambria" w:hAnsi="Cambria"/>
          <w:b/>
          <w:bCs/>
        </w:rPr>
      </w:pPr>
      <w:r>
        <w:rPr>
          <w:rFonts w:ascii="Cambria" w:hAnsi="Cambria"/>
          <w:b/>
          <w:bCs/>
        </w:rPr>
        <w:t>6</w:t>
      </w:r>
      <w:r w:rsidR="00B16ECB" w:rsidRPr="006A3869">
        <w:rPr>
          <w:rFonts w:ascii="Cambria" w:hAnsi="Cambria"/>
          <w:b/>
          <w:bCs/>
        </w:rPr>
        <w:t>. Board of Directors</w:t>
      </w:r>
    </w:p>
    <w:p w14:paraId="3D917565" w14:textId="77DFD896"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6</w:t>
      </w:r>
      <w:r w:rsidR="00B16ECB" w:rsidRPr="00B16ECB">
        <w:rPr>
          <w:rFonts w:ascii="Cambria" w:eastAsia="Times New Roman" w:hAnsi="Cambria" w:cs="Times New Roman"/>
          <w:kern w:val="0"/>
          <w14:ligatures w14:val="none"/>
        </w:rPr>
        <w:t>.1 The Board of Directors of NewCo ("Board") shall initially comprise two (2) directors:</w:t>
      </w:r>
    </w:p>
    <w:p w14:paraId="10517178" w14:textId="1ED0D34C" w:rsidR="00B16ECB" w:rsidRPr="00B16ECB" w:rsidRDefault="00B16ECB" w:rsidP="00B16ECB">
      <w:p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(a)</w:t>
      </w:r>
      <w:r w:rsidR="006A3869">
        <w:rPr>
          <w:rFonts w:ascii="Cambria" w:eastAsia="Times New Roman" w:hAnsi="Cambria" w:cs="Times New Roman"/>
          <w:kern w:val="0"/>
          <w14:ligatures w14:val="none"/>
        </w:rPr>
        <w:t xml:space="preserve"> </w:t>
      </w:r>
      <w:r w:rsidRPr="00B16ECB">
        <w:rPr>
          <w:rFonts w:ascii="Cambria" w:eastAsia="Times New Roman" w:hAnsi="Cambria" w:cs="Times New Roman"/>
          <w:kern w:val="0"/>
          <w14:ligatures w14:val="none"/>
        </w:rPr>
        <w:t>One (1) director appointed by the Developer (who shall be the Developer); and</w:t>
      </w:r>
      <w:r w:rsidRPr="00B16ECB">
        <w:rPr>
          <w:rFonts w:ascii="Cambria" w:eastAsia="Times New Roman" w:hAnsi="Cambria" w:cs="Times New Roman"/>
          <w:kern w:val="0"/>
          <w14:ligatures w14:val="none"/>
        </w:rPr>
        <w:br/>
        <w:t>(b) One (1) director appointed by the Firm (who shall be or be nominated by the Investor Partner).</w:t>
      </w:r>
    </w:p>
    <w:p w14:paraId="1F7AD0E7" w14:textId="44202B42"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6</w:t>
      </w:r>
      <w:r w:rsidR="00B16ECB" w:rsidRPr="00B16ECB">
        <w:rPr>
          <w:rFonts w:ascii="Cambria" w:eastAsia="Times New Roman" w:hAnsi="Cambria" w:cs="Times New Roman"/>
          <w:kern w:val="0"/>
          <w14:ligatures w14:val="none"/>
        </w:rPr>
        <w:t>.2 The Developer shall serve as the initial Chairperson of the Board.</w:t>
      </w:r>
    </w:p>
    <w:p w14:paraId="45ACEC42" w14:textId="21CE8E82"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lastRenderedPageBreak/>
        <w:t>6</w:t>
      </w:r>
      <w:r w:rsidR="00B16ECB" w:rsidRPr="00B16ECB">
        <w:rPr>
          <w:rFonts w:ascii="Cambria" w:eastAsia="Times New Roman" w:hAnsi="Cambria" w:cs="Times New Roman"/>
          <w:kern w:val="0"/>
          <w14:ligatures w14:val="none"/>
        </w:rPr>
        <w:t>.3 Each Party shall have the right to remove and replace any director it has appointed at any time by written notice to the Board.</w:t>
      </w:r>
    </w:p>
    <w:p w14:paraId="15F07E9D" w14:textId="3C7E7339"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6</w:t>
      </w:r>
      <w:r w:rsidR="00B16ECB" w:rsidRPr="00B16ECB">
        <w:rPr>
          <w:rFonts w:ascii="Cambria" w:eastAsia="Times New Roman" w:hAnsi="Cambria" w:cs="Times New Roman"/>
          <w:kern w:val="0"/>
          <w14:ligatures w14:val="none"/>
        </w:rPr>
        <w:t>.4 Board meetings shall be held no less than quarterly, with an Annual General Meeting held within six (6) months of the close of each financial year.</w:t>
      </w:r>
    </w:p>
    <w:p w14:paraId="46361052" w14:textId="4378E7DB"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6</w:t>
      </w:r>
      <w:r w:rsidR="00B16ECB" w:rsidRPr="00B16ECB">
        <w:rPr>
          <w:rFonts w:ascii="Cambria" w:eastAsia="Times New Roman" w:hAnsi="Cambria" w:cs="Times New Roman"/>
          <w:kern w:val="0"/>
          <w14:ligatures w14:val="none"/>
        </w:rPr>
        <w:t>.5 A quorum for Board meetings shall require at least one director appointed by each Party to be present.</w:t>
      </w:r>
    </w:p>
    <w:p w14:paraId="231CF7FA" w14:textId="54C1D8ED"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6</w:t>
      </w:r>
      <w:r w:rsidR="00B16ECB" w:rsidRPr="00B16ECB">
        <w:rPr>
          <w:rFonts w:ascii="Cambria" w:eastAsia="Times New Roman" w:hAnsi="Cambria" w:cs="Times New Roman"/>
          <w:kern w:val="0"/>
          <w14:ligatures w14:val="none"/>
        </w:rPr>
        <w:t>.6 Board decisions shall, save for Reserved Matters, be made by simple majority.</w:t>
      </w:r>
    </w:p>
    <w:p w14:paraId="2961F1A9" w14:textId="58F9DE78" w:rsidR="00B16ECB" w:rsidRPr="00B16ECB" w:rsidRDefault="00B16ECB" w:rsidP="00B16ECB">
      <w:pPr>
        <w:spacing w:after="0" w:line="240" w:lineRule="auto"/>
        <w:jc w:val="both"/>
        <w:rPr>
          <w:rFonts w:ascii="Cambria" w:eastAsia="Times New Roman" w:hAnsi="Cambria" w:cs="Times New Roman"/>
          <w:kern w:val="0"/>
          <w14:ligatures w14:val="none"/>
        </w:rPr>
      </w:pPr>
    </w:p>
    <w:p w14:paraId="2D80B0F2" w14:textId="7E76D91A" w:rsidR="00B16ECB" w:rsidRPr="006A3869" w:rsidRDefault="00727116" w:rsidP="00B16ECB">
      <w:pPr>
        <w:rPr>
          <w:rFonts w:ascii="Cambria" w:hAnsi="Cambria"/>
          <w:b/>
          <w:bCs/>
        </w:rPr>
      </w:pPr>
      <w:r>
        <w:rPr>
          <w:rFonts w:ascii="Cambria" w:hAnsi="Cambria"/>
          <w:b/>
          <w:bCs/>
        </w:rPr>
        <w:t>7</w:t>
      </w:r>
      <w:r w:rsidR="00B16ECB" w:rsidRPr="006A3869">
        <w:rPr>
          <w:rFonts w:ascii="Cambria" w:hAnsi="Cambria"/>
          <w:b/>
          <w:bCs/>
        </w:rPr>
        <w:t>. Reserved Matters</w:t>
      </w:r>
    </w:p>
    <w:p w14:paraId="3D10F181" w14:textId="5FDE05E1"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7</w:t>
      </w:r>
      <w:r w:rsidR="00B16ECB" w:rsidRPr="00B16ECB">
        <w:rPr>
          <w:rFonts w:ascii="Cambria" w:eastAsia="Times New Roman" w:hAnsi="Cambria" w:cs="Times New Roman"/>
          <w:kern w:val="0"/>
          <w14:ligatures w14:val="none"/>
        </w:rPr>
        <w:t>.1 The following matters ("Reserved Matters") shall require the approval of shareholders holding no less than 75% of the total issued share capital of NewCo:</w:t>
      </w:r>
    </w:p>
    <w:p w14:paraId="4E0DC78A" w14:textId="77777777" w:rsidR="00B16ECB" w:rsidRPr="00B16ECB" w:rsidRDefault="00B16ECB" w:rsidP="006A3869">
      <w:pPr>
        <w:spacing w:before="100" w:beforeAutospacing="1" w:after="100" w:afterAutospacing="1" w:line="240" w:lineRule="auto"/>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(a) The sale, merger, or acquisition of NewCo or its assets, whether in whole or in part;</w:t>
      </w:r>
      <w:r w:rsidRPr="00B16ECB">
        <w:rPr>
          <w:rFonts w:ascii="Cambria" w:eastAsia="Times New Roman" w:hAnsi="Cambria" w:cs="Times New Roman"/>
          <w:kern w:val="0"/>
          <w14:ligatures w14:val="none"/>
        </w:rPr>
        <w:br/>
        <w:t>(b) Incurring debt or financial obligations in excess of KES 100,000 in any single transaction or series of related transactions;</w:t>
      </w:r>
      <w:r w:rsidRPr="00B16ECB">
        <w:rPr>
          <w:rFonts w:ascii="Cambria" w:eastAsia="Times New Roman" w:hAnsi="Cambria" w:cs="Times New Roman"/>
          <w:kern w:val="0"/>
          <w14:ligatures w14:val="none"/>
        </w:rPr>
        <w:br/>
        <w:t>(c) Any amendment to NewCo's Memorandum and Articles of Association;</w:t>
      </w:r>
      <w:r w:rsidRPr="00B16ECB">
        <w:rPr>
          <w:rFonts w:ascii="Cambria" w:eastAsia="Times New Roman" w:hAnsi="Cambria" w:cs="Times New Roman"/>
          <w:kern w:val="0"/>
          <w14:ligatures w14:val="none"/>
        </w:rPr>
        <w:br/>
        <w:t>(d) The issuance of new shares or the creation of new share classes;</w:t>
      </w:r>
      <w:r w:rsidRPr="00B16ECB">
        <w:rPr>
          <w:rFonts w:ascii="Cambria" w:eastAsia="Times New Roman" w:hAnsi="Cambria" w:cs="Times New Roman"/>
          <w:kern w:val="0"/>
          <w14:ligatures w14:val="none"/>
        </w:rPr>
        <w:br/>
        <w:t>(e) Any change in the nature of NewCo's core business;</w:t>
      </w:r>
      <w:r w:rsidRPr="00B16ECB">
        <w:rPr>
          <w:rFonts w:ascii="Cambria" w:eastAsia="Times New Roman" w:hAnsi="Cambria" w:cs="Times New Roman"/>
          <w:kern w:val="0"/>
          <w14:ligatures w14:val="none"/>
        </w:rPr>
        <w:br/>
        <w:t>(f) The declaration or payment of profits;</w:t>
      </w:r>
      <w:r w:rsidRPr="00B16ECB">
        <w:rPr>
          <w:rFonts w:ascii="Cambria" w:eastAsia="Times New Roman" w:hAnsi="Cambria" w:cs="Times New Roman"/>
          <w:kern w:val="0"/>
          <w14:ligatures w14:val="none"/>
        </w:rPr>
        <w:br/>
        <w:t>(g) Entering into any agreement with a Related Party above KES 100,000;</w:t>
      </w:r>
      <w:r w:rsidRPr="00B16ECB">
        <w:rPr>
          <w:rFonts w:ascii="Cambria" w:eastAsia="Times New Roman" w:hAnsi="Cambria" w:cs="Times New Roman"/>
          <w:kern w:val="0"/>
          <w14:ligatures w14:val="none"/>
        </w:rPr>
        <w:br/>
        <w:t>(h) The appointment or removal of external auditors; and</w:t>
      </w:r>
      <w:r w:rsidRPr="00B16ECB">
        <w:rPr>
          <w:rFonts w:ascii="Cambria" w:eastAsia="Times New Roman" w:hAnsi="Cambria" w:cs="Times New Roman"/>
          <w:kern w:val="0"/>
          <w14:ligatures w14:val="none"/>
        </w:rPr>
        <w:br/>
        <w:t>(i) Voluntary winding up or dissolution of NewCo.</w:t>
      </w:r>
    </w:p>
    <w:p w14:paraId="01ACE5A2" w14:textId="50D29FB3"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7</w:t>
      </w:r>
      <w:r w:rsidR="00B16ECB" w:rsidRPr="00B16ECB">
        <w:rPr>
          <w:rFonts w:ascii="Cambria" w:eastAsia="Times New Roman" w:hAnsi="Cambria" w:cs="Times New Roman"/>
          <w:kern w:val="0"/>
          <w14:ligatures w14:val="none"/>
        </w:rPr>
        <w:t>.2 For the avoidance of doubt, operational decisions within approved budgets shall not require shareholder approval.</w:t>
      </w:r>
    </w:p>
    <w:p w14:paraId="60F22BED" w14:textId="528F514D" w:rsidR="00B16ECB" w:rsidRPr="00B16ECB" w:rsidRDefault="00B16ECB" w:rsidP="00B16ECB">
      <w:pPr>
        <w:spacing w:after="0" w:line="240" w:lineRule="auto"/>
        <w:jc w:val="both"/>
        <w:rPr>
          <w:rFonts w:ascii="Cambria" w:eastAsia="Times New Roman" w:hAnsi="Cambria" w:cs="Times New Roman"/>
          <w:b/>
          <w:bCs/>
          <w:kern w:val="0"/>
          <w14:ligatures w14:val="none"/>
        </w:rPr>
      </w:pPr>
    </w:p>
    <w:p w14:paraId="458C0628" w14:textId="756520D7" w:rsidR="00B16ECB" w:rsidRPr="006A3869" w:rsidRDefault="00727116" w:rsidP="00B16ECB">
      <w:pPr>
        <w:rPr>
          <w:rFonts w:ascii="Cambria" w:hAnsi="Cambria"/>
          <w:b/>
          <w:bCs/>
        </w:rPr>
      </w:pPr>
      <w:r>
        <w:rPr>
          <w:rFonts w:ascii="Cambria" w:hAnsi="Cambria"/>
          <w:b/>
          <w:bCs/>
        </w:rPr>
        <w:t>8</w:t>
      </w:r>
      <w:r w:rsidR="00B16ECB" w:rsidRPr="006A3869">
        <w:rPr>
          <w:rFonts w:ascii="Cambria" w:hAnsi="Cambria"/>
          <w:b/>
          <w:bCs/>
        </w:rPr>
        <w:t>. Profit Sharing Policy</w:t>
      </w:r>
    </w:p>
    <w:p w14:paraId="27D4FBF5" w14:textId="6235EA8D"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8</w:t>
      </w:r>
      <w:r w:rsidR="00B16ECB" w:rsidRPr="00B16ECB">
        <w:rPr>
          <w:rFonts w:ascii="Cambria" w:eastAsia="Times New Roman" w:hAnsi="Cambria" w:cs="Times New Roman"/>
          <w:kern w:val="0"/>
          <w14:ligatures w14:val="none"/>
        </w:rPr>
        <w:t xml:space="preserve">.1 </w:t>
      </w:r>
      <w:r w:rsidR="00B16ECB" w:rsidRPr="00B16ECB">
        <w:rPr>
          <w:rFonts w:ascii="Cambria" w:eastAsia="Times New Roman" w:hAnsi="Cambria" w:cs="Times New Roman"/>
          <w:b/>
          <w:bCs/>
          <w:kern w:val="0"/>
          <w14:ligatures w14:val="none"/>
        </w:rPr>
        <w:t>Reinvestment Requirement.</w:t>
      </w:r>
      <w:r w:rsidR="00B16ECB" w:rsidRPr="00B16ECB">
        <w:rPr>
          <w:rFonts w:ascii="Cambria" w:eastAsia="Times New Roman" w:hAnsi="Cambria" w:cs="Times New Roman"/>
          <w:kern w:val="0"/>
          <w14:ligatures w14:val="none"/>
        </w:rPr>
        <w:t xml:space="preserve"> NewCo shall, at all times, reinvest an amount equal to thirty percent (30%) of its gross revenue into the business to support product development, operations, and growth (the “Reinvestment Amount”).</w:t>
      </w:r>
    </w:p>
    <w:p w14:paraId="30D2AE29" w14:textId="03442F08"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8</w:t>
      </w:r>
      <w:r w:rsidR="00B16ECB" w:rsidRPr="00B16ECB">
        <w:rPr>
          <w:rFonts w:ascii="Cambria" w:eastAsia="Times New Roman" w:hAnsi="Cambria" w:cs="Times New Roman"/>
          <w:kern w:val="0"/>
          <w14:ligatures w14:val="none"/>
        </w:rPr>
        <w:t xml:space="preserve">.2 </w:t>
      </w:r>
      <w:r w:rsidR="00B16ECB" w:rsidRPr="00B16ECB">
        <w:rPr>
          <w:rFonts w:ascii="Cambria" w:eastAsia="Times New Roman" w:hAnsi="Cambria" w:cs="Times New Roman"/>
          <w:b/>
          <w:bCs/>
          <w:kern w:val="0"/>
          <w14:ligatures w14:val="none"/>
        </w:rPr>
        <w:t>Profit Threshold Trigger.</w:t>
      </w:r>
      <w:r w:rsidR="00B16ECB" w:rsidRPr="00B16ECB">
        <w:rPr>
          <w:rFonts w:ascii="Cambria" w:eastAsia="Times New Roman" w:hAnsi="Cambria" w:cs="Times New Roman"/>
          <w:kern w:val="0"/>
          <w14:ligatures w14:val="none"/>
        </w:rPr>
        <w:t xml:space="preserve"> No profit distributions shall be made to the Parties unless and until NewCo has achieved a minimum cumulative net profit of Kenya Shillings One Hundred Thousand (KES 100,000) (the “Profit Threshold”).</w:t>
      </w:r>
    </w:p>
    <w:p w14:paraId="1D7031AA" w14:textId="7493F849"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8</w:t>
      </w:r>
      <w:r w:rsidR="00B16ECB" w:rsidRPr="00B16ECB">
        <w:rPr>
          <w:rFonts w:ascii="Cambria" w:eastAsia="Times New Roman" w:hAnsi="Cambria" w:cs="Times New Roman"/>
          <w:kern w:val="0"/>
          <w14:ligatures w14:val="none"/>
        </w:rPr>
        <w:t xml:space="preserve">.3 </w:t>
      </w:r>
      <w:r w:rsidR="00B16ECB" w:rsidRPr="00B16ECB">
        <w:rPr>
          <w:rFonts w:ascii="Cambria" w:eastAsia="Times New Roman" w:hAnsi="Cambria" w:cs="Times New Roman"/>
          <w:b/>
          <w:bCs/>
          <w:kern w:val="0"/>
          <w14:ligatures w14:val="none"/>
        </w:rPr>
        <w:t>Profit Sharing Entitlement.</w:t>
      </w:r>
      <w:r w:rsidR="00B16ECB" w:rsidRPr="00B16ECB">
        <w:rPr>
          <w:rFonts w:ascii="Cambria" w:eastAsia="Times New Roman" w:hAnsi="Cambria" w:cs="Times New Roman"/>
          <w:kern w:val="0"/>
          <w14:ligatures w14:val="none"/>
        </w:rPr>
        <w:t xml:space="preserve"> Subject to Clause 9.1 and upon satisfaction of the Profit Threshold under Clause 9.2, the remaining distributable net profits of NewCo shall be shared between the Parties as follows:</w:t>
      </w:r>
    </w:p>
    <w:p w14:paraId="742E0745" w14:textId="77777777" w:rsidR="00B16ECB" w:rsidRPr="00B16ECB" w:rsidRDefault="00B16ECB" w:rsidP="00B16ECB">
      <w:pPr>
        <w:numPr>
          <w:ilvl w:val="0"/>
          <w:numId w:val="3"/>
        </w:num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lastRenderedPageBreak/>
        <w:t>The Developer — 50%</w:t>
      </w:r>
    </w:p>
    <w:p w14:paraId="24D9CAF8" w14:textId="77777777" w:rsidR="00B16ECB" w:rsidRPr="00B16ECB" w:rsidRDefault="00B16ECB" w:rsidP="00B16ECB">
      <w:pPr>
        <w:numPr>
          <w:ilvl w:val="0"/>
          <w:numId w:val="3"/>
        </w:numPr>
        <w:spacing w:before="100" w:beforeAutospacing="1" w:after="100" w:afterAutospacing="1" w:line="240" w:lineRule="auto"/>
        <w:jc w:val="both"/>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The Firm — 50%</w:t>
      </w:r>
    </w:p>
    <w:p w14:paraId="524C4AF5" w14:textId="4DD4BD8F"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8</w:t>
      </w:r>
      <w:r w:rsidR="00B16ECB" w:rsidRPr="00B16ECB">
        <w:rPr>
          <w:rFonts w:ascii="Cambria" w:eastAsia="Times New Roman" w:hAnsi="Cambria" w:cs="Times New Roman"/>
          <w:kern w:val="0"/>
          <w14:ligatures w14:val="none"/>
        </w:rPr>
        <w:t xml:space="preserve">.4 </w:t>
      </w:r>
      <w:r w:rsidR="00B16ECB" w:rsidRPr="00B16ECB">
        <w:rPr>
          <w:rFonts w:ascii="Cambria" w:eastAsia="Times New Roman" w:hAnsi="Cambria" w:cs="Times New Roman"/>
          <w:b/>
          <w:bCs/>
          <w:kern w:val="0"/>
          <w14:ligatures w14:val="none"/>
        </w:rPr>
        <w:t>Definition of Distributable Net Profit.</w:t>
      </w:r>
      <w:r w:rsidR="00B16ECB" w:rsidRPr="00B16ECB">
        <w:rPr>
          <w:rFonts w:ascii="Cambria" w:eastAsia="Times New Roman" w:hAnsi="Cambria" w:cs="Times New Roman"/>
          <w:kern w:val="0"/>
          <w14:ligatures w14:val="none"/>
        </w:rPr>
        <w:t xml:space="preserve"> For purposes of this Clause, “Distributable Net Profit” means gross revenue of NewCo, less:</w:t>
      </w:r>
    </w:p>
    <w:p w14:paraId="53E4820D" w14:textId="77777777" w:rsidR="00B16ECB" w:rsidRPr="00B16ECB" w:rsidRDefault="00B16ECB" w:rsidP="006A3869">
      <w:pPr>
        <w:spacing w:before="100" w:beforeAutospacing="1" w:after="100" w:afterAutospacing="1" w:line="240" w:lineRule="auto"/>
        <w:rPr>
          <w:rFonts w:ascii="Cambria" w:eastAsia="Times New Roman" w:hAnsi="Cambria" w:cs="Times New Roman"/>
          <w:kern w:val="0"/>
          <w14:ligatures w14:val="none"/>
        </w:rPr>
      </w:pPr>
      <w:r w:rsidRPr="00B16ECB">
        <w:rPr>
          <w:rFonts w:ascii="Cambria" w:eastAsia="Times New Roman" w:hAnsi="Cambria" w:cs="Times New Roman"/>
          <w:kern w:val="0"/>
          <w14:ligatures w14:val="none"/>
        </w:rPr>
        <w:t>(a) the Reinvestment Amount under Clause 9.1;</w:t>
      </w:r>
      <w:r w:rsidRPr="00B16ECB">
        <w:rPr>
          <w:rFonts w:ascii="Cambria" w:eastAsia="Times New Roman" w:hAnsi="Cambria" w:cs="Times New Roman"/>
          <w:kern w:val="0"/>
          <w14:ligatures w14:val="none"/>
        </w:rPr>
        <w:br/>
        <w:t>(b) all operating expenses, taxes, and liabilities properly incurred in the ordinary course of business; and</w:t>
      </w:r>
      <w:r w:rsidRPr="00B16ECB">
        <w:rPr>
          <w:rFonts w:ascii="Cambria" w:eastAsia="Times New Roman" w:hAnsi="Cambria" w:cs="Times New Roman"/>
          <w:kern w:val="0"/>
          <w14:ligatures w14:val="none"/>
        </w:rPr>
        <w:br/>
        <w:t>(c) any reserves reasonably set aside by the Board for working capital or anticipated expenses, provided that such reserves shall require Board approval including at least one director appointed by the Developer.</w:t>
      </w:r>
    </w:p>
    <w:p w14:paraId="005E1FE4" w14:textId="3B9D8859"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8</w:t>
      </w:r>
      <w:r w:rsidR="00B16ECB" w:rsidRPr="00B16ECB">
        <w:rPr>
          <w:rFonts w:ascii="Cambria" w:eastAsia="Times New Roman" w:hAnsi="Cambria" w:cs="Times New Roman"/>
          <w:kern w:val="0"/>
          <w14:ligatures w14:val="none"/>
        </w:rPr>
        <w:t xml:space="preserve">.5 </w:t>
      </w:r>
      <w:r w:rsidR="00B16ECB" w:rsidRPr="00B16ECB">
        <w:rPr>
          <w:rFonts w:ascii="Cambria" w:eastAsia="Times New Roman" w:hAnsi="Cambria" w:cs="Times New Roman"/>
          <w:b/>
          <w:bCs/>
          <w:kern w:val="0"/>
          <w14:ligatures w14:val="none"/>
        </w:rPr>
        <w:t>Distribution Timing.</w:t>
      </w:r>
      <w:r w:rsidR="00B16ECB" w:rsidRPr="00B16ECB">
        <w:rPr>
          <w:rFonts w:ascii="Cambria" w:eastAsia="Times New Roman" w:hAnsi="Cambria" w:cs="Times New Roman"/>
          <w:kern w:val="0"/>
          <w14:ligatures w14:val="none"/>
        </w:rPr>
        <w:t xml:space="preserve"> Distributions of Distributable Net Profit shall be made quarterly, or at such other intervals as may be agreed by the Board, subject to NewCo maintaining sufficient working capital for its ongoing operations.</w:t>
      </w:r>
    </w:p>
    <w:p w14:paraId="35FA2846" w14:textId="6B2A9D84" w:rsidR="00B16ECB" w:rsidRPr="00B16ECB" w:rsidRDefault="00727116" w:rsidP="00B16ECB">
      <w:pPr>
        <w:spacing w:before="100" w:beforeAutospacing="1" w:after="100" w:afterAutospacing="1" w:line="240" w:lineRule="auto"/>
        <w:jc w:val="both"/>
        <w:rPr>
          <w:rFonts w:ascii="Cambria" w:eastAsia="Times New Roman" w:hAnsi="Cambria" w:cs="Times New Roman"/>
          <w:kern w:val="0"/>
          <w14:ligatures w14:val="none"/>
        </w:rPr>
      </w:pPr>
      <w:r>
        <w:rPr>
          <w:rFonts w:ascii="Cambria" w:eastAsia="Times New Roman" w:hAnsi="Cambria" w:cs="Times New Roman"/>
          <w:kern w:val="0"/>
          <w14:ligatures w14:val="none"/>
        </w:rPr>
        <w:t>8</w:t>
      </w:r>
      <w:r w:rsidR="00B16ECB" w:rsidRPr="00B16ECB">
        <w:rPr>
          <w:rFonts w:ascii="Cambria" w:eastAsia="Times New Roman" w:hAnsi="Cambria" w:cs="Times New Roman"/>
          <w:kern w:val="0"/>
          <w14:ligatures w14:val="none"/>
        </w:rPr>
        <w:t xml:space="preserve">.6 </w:t>
      </w:r>
      <w:r w:rsidR="00B16ECB" w:rsidRPr="00B16ECB">
        <w:rPr>
          <w:rFonts w:ascii="Cambria" w:eastAsia="Times New Roman" w:hAnsi="Cambria" w:cs="Times New Roman"/>
          <w:b/>
          <w:bCs/>
          <w:kern w:val="0"/>
          <w14:ligatures w14:val="none"/>
        </w:rPr>
        <w:t>Restrictions on Withholding Distributions.</w:t>
      </w:r>
      <w:r w:rsidR="00B16ECB" w:rsidRPr="00B16ECB">
        <w:rPr>
          <w:rFonts w:ascii="Cambria" w:eastAsia="Times New Roman" w:hAnsi="Cambria" w:cs="Times New Roman"/>
          <w:kern w:val="0"/>
          <w14:ligatures w14:val="none"/>
        </w:rPr>
        <w:t xml:space="preserve"> No Party shall unreasonably withhold or delay the distribution of Distributable Net Profit once the conditions under this Clause have been satisfied.</w:t>
      </w:r>
    </w:p>
    <w:p w14:paraId="08A24397" w14:textId="77777777" w:rsidR="00B16ECB" w:rsidRPr="006A3869" w:rsidRDefault="00B16ECB" w:rsidP="00B16ECB">
      <w:pPr>
        <w:rPr>
          <w:rFonts w:ascii="Cambria" w:hAnsi="Cambria"/>
          <w:b/>
          <w:bCs/>
        </w:rPr>
      </w:pPr>
      <w:r w:rsidRPr="006A3869">
        <w:rPr>
          <w:rFonts w:ascii="Cambria" w:hAnsi="Cambria"/>
          <w:b/>
          <w:bCs/>
        </w:rPr>
        <w:t>SECTION F — FUNDING &amp; COMMERCIAL TERMS</w:t>
      </w:r>
    </w:p>
    <w:p w14:paraId="5407B78B" w14:textId="2A6C0A4D" w:rsidR="00B16ECB" w:rsidRPr="00B16ECB" w:rsidRDefault="00727116" w:rsidP="00B16ECB">
      <w:pPr>
        <w:jc w:val="both"/>
        <w:rPr>
          <w:rFonts w:ascii="Cambria" w:hAnsi="Cambria"/>
          <w:b/>
          <w:bCs/>
        </w:rPr>
      </w:pPr>
      <w:r>
        <w:rPr>
          <w:rFonts w:ascii="Cambria" w:hAnsi="Cambria"/>
          <w:b/>
          <w:bCs/>
        </w:rPr>
        <w:t>9</w:t>
      </w:r>
      <w:r w:rsidR="00B16ECB" w:rsidRPr="00B16ECB">
        <w:rPr>
          <w:rFonts w:ascii="Cambria" w:hAnsi="Cambria"/>
          <w:b/>
          <w:bCs/>
        </w:rPr>
        <w:t>. Initial Capital Contribution</w:t>
      </w:r>
    </w:p>
    <w:p w14:paraId="47193878" w14:textId="635CB1EC" w:rsidR="00B16ECB" w:rsidRPr="00B16ECB" w:rsidRDefault="00727116" w:rsidP="00B16ECB">
      <w:pPr>
        <w:jc w:val="both"/>
        <w:rPr>
          <w:rFonts w:ascii="Cambria" w:hAnsi="Cambria"/>
        </w:rPr>
      </w:pPr>
      <w:r>
        <w:rPr>
          <w:rFonts w:ascii="Cambria" w:hAnsi="Cambria"/>
        </w:rPr>
        <w:t>9</w:t>
      </w:r>
      <w:r w:rsidR="00B16ECB" w:rsidRPr="00B16ECB">
        <w:rPr>
          <w:rFonts w:ascii="Cambria" w:hAnsi="Cambria"/>
        </w:rPr>
        <w:t>.1 The Firm shall provide an initial seed investment as follows:</w:t>
      </w:r>
    </w:p>
    <w:p w14:paraId="2D983FCB" w14:textId="77777777" w:rsidR="00B16ECB" w:rsidRPr="00B16ECB" w:rsidRDefault="00B16ECB" w:rsidP="00B16ECB">
      <w:pPr>
        <w:jc w:val="both"/>
        <w:rPr>
          <w:rFonts w:ascii="Cambria" w:hAnsi="Cambria"/>
        </w:rPr>
      </w:pPr>
      <w:r w:rsidRPr="00B16ECB">
        <w:rPr>
          <w:rFonts w:ascii="Cambria" w:hAnsi="Cambria"/>
        </w:rPr>
        <w:t xml:space="preserve">(a) </w:t>
      </w:r>
      <w:r w:rsidRPr="00B16ECB">
        <w:rPr>
          <w:rFonts w:ascii="Cambria" w:hAnsi="Cambria"/>
          <w:b/>
          <w:bCs/>
        </w:rPr>
        <w:t>Server &amp; Infrastructure:</w:t>
      </w:r>
      <w:r w:rsidRPr="00B16ECB">
        <w:rPr>
          <w:rFonts w:ascii="Cambria" w:hAnsi="Cambria"/>
        </w:rPr>
        <w:t xml:space="preserve"> for cloud hosting, API integrations, and technical infrastructure;</w:t>
      </w:r>
      <w:r w:rsidRPr="00B16ECB">
        <w:rPr>
          <w:rFonts w:ascii="Cambria" w:hAnsi="Cambria"/>
        </w:rPr>
        <w:br/>
        <w:t xml:space="preserve">(b) </w:t>
      </w:r>
      <w:r w:rsidRPr="00B16ECB">
        <w:rPr>
          <w:rFonts w:ascii="Cambria" w:hAnsi="Cambria"/>
          <w:b/>
          <w:bCs/>
        </w:rPr>
        <w:t>Marketing &amp; Brand Launch:</w:t>
      </w:r>
      <w:r w:rsidRPr="00B16ECB">
        <w:rPr>
          <w:rFonts w:ascii="Cambria" w:hAnsi="Cambria"/>
        </w:rPr>
        <w:t xml:space="preserve"> for initial marketing campaigns, website development, and go-to-market activities;</w:t>
      </w:r>
      <w:r w:rsidRPr="00B16ECB">
        <w:rPr>
          <w:rFonts w:ascii="Cambria" w:hAnsi="Cambria"/>
        </w:rPr>
        <w:br/>
        <w:t xml:space="preserve">(c) </w:t>
      </w:r>
      <w:r w:rsidRPr="00B16ECB">
        <w:rPr>
          <w:rFonts w:ascii="Cambria" w:hAnsi="Cambria"/>
          <w:b/>
          <w:bCs/>
        </w:rPr>
        <w:t>Legal &amp; Regulatory Costs:</w:t>
      </w:r>
      <w:r w:rsidRPr="00B16ECB">
        <w:rPr>
          <w:rFonts w:ascii="Cambria" w:hAnsi="Cambria"/>
        </w:rPr>
        <w:t xml:space="preserve"> to cover trademark transfer fees, and company registration costs.</w:t>
      </w:r>
    </w:p>
    <w:p w14:paraId="44D40D50" w14:textId="1C124615" w:rsidR="00B16ECB" w:rsidRPr="00B16ECB" w:rsidRDefault="00727116" w:rsidP="00B16ECB">
      <w:pPr>
        <w:jc w:val="both"/>
        <w:rPr>
          <w:rFonts w:ascii="Cambria" w:hAnsi="Cambria"/>
        </w:rPr>
      </w:pPr>
      <w:r>
        <w:rPr>
          <w:rFonts w:ascii="Cambria" w:hAnsi="Cambria"/>
        </w:rPr>
        <w:t>9</w:t>
      </w:r>
      <w:r w:rsidR="00B16ECB" w:rsidRPr="00B16ECB">
        <w:rPr>
          <w:rFonts w:ascii="Cambria" w:hAnsi="Cambria"/>
        </w:rPr>
        <w:t>.2 The Seed Capital shall be treated as equity consideration for the Firm's shareholding and shall not constitute a loan repayable by NewCo or the Developer.</w:t>
      </w:r>
    </w:p>
    <w:p w14:paraId="160F833E" w14:textId="43F8A05F" w:rsidR="00B16ECB" w:rsidRPr="00B16ECB" w:rsidRDefault="00727116" w:rsidP="00B16ECB">
      <w:pPr>
        <w:jc w:val="both"/>
        <w:rPr>
          <w:rFonts w:ascii="Cambria" w:hAnsi="Cambria"/>
        </w:rPr>
      </w:pPr>
      <w:r>
        <w:rPr>
          <w:rFonts w:ascii="Cambria" w:hAnsi="Cambria"/>
        </w:rPr>
        <w:t>9</w:t>
      </w:r>
      <w:r w:rsidR="00B16ECB" w:rsidRPr="00B16ECB">
        <w:rPr>
          <w:rFonts w:ascii="Cambria" w:hAnsi="Cambria"/>
        </w:rPr>
        <w:t>.3 The Firm shall not be obligated to provide any further capital beyond the Seed Capital without the prior written consent of the Board, and any additional funding shall be subject to fresh negotiation.</w:t>
      </w:r>
    </w:p>
    <w:p w14:paraId="39272CB9" w14:textId="583226A3" w:rsidR="00B16ECB" w:rsidRPr="00B16ECB" w:rsidRDefault="00727116" w:rsidP="00B16ECB">
      <w:pPr>
        <w:jc w:val="both"/>
        <w:rPr>
          <w:rFonts w:ascii="Cambria" w:hAnsi="Cambria"/>
          <w:b/>
          <w:bCs/>
        </w:rPr>
      </w:pPr>
      <w:r>
        <w:rPr>
          <w:rFonts w:ascii="Cambria" w:hAnsi="Cambria"/>
          <w:b/>
          <w:bCs/>
        </w:rPr>
        <w:t>10</w:t>
      </w:r>
      <w:r w:rsidR="00B16ECB" w:rsidRPr="00B16ECB">
        <w:rPr>
          <w:rFonts w:ascii="Cambria" w:hAnsi="Cambria"/>
          <w:b/>
          <w:bCs/>
        </w:rPr>
        <w:t>. In-Kind Contributions</w:t>
      </w:r>
    </w:p>
    <w:p w14:paraId="2EEB90D8" w14:textId="22716AA7"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0</w:t>
      </w:r>
      <w:r w:rsidRPr="00B16ECB">
        <w:rPr>
          <w:rFonts w:ascii="Cambria" w:hAnsi="Cambria"/>
        </w:rPr>
        <w:t xml:space="preserve">.1 As a further contribution to NewCo, the Firm shall provide the following in-kind resources for a period of twelve (12) months from NewCo's incorporation, at no charge: </w:t>
      </w:r>
      <w:r w:rsidRPr="00B16ECB">
        <w:rPr>
          <w:rFonts w:ascii="Cambria" w:hAnsi="Cambria"/>
        </w:rPr>
        <w:lastRenderedPageBreak/>
        <w:t>introductory meetings with the Firm's professional network to facilitate early business development for NewCo.</w:t>
      </w:r>
    </w:p>
    <w:p w14:paraId="1E208DEE" w14:textId="01BECF16" w:rsidR="00B16ECB" w:rsidRPr="00B16ECB" w:rsidRDefault="00B16ECB" w:rsidP="00B16ECB">
      <w:pPr>
        <w:jc w:val="both"/>
        <w:rPr>
          <w:rFonts w:ascii="Cambria" w:hAnsi="Cambria"/>
        </w:rPr>
      </w:pPr>
    </w:p>
    <w:p w14:paraId="61F1A6AB" w14:textId="707FC8C7" w:rsidR="00B16ECB" w:rsidRPr="00B16ECB" w:rsidRDefault="00B16ECB" w:rsidP="00B16ECB">
      <w:pPr>
        <w:jc w:val="both"/>
        <w:rPr>
          <w:rFonts w:ascii="Cambria" w:hAnsi="Cambria"/>
          <w:b/>
          <w:bCs/>
        </w:rPr>
      </w:pPr>
      <w:r w:rsidRPr="00B16ECB">
        <w:rPr>
          <w:rFonts w:ascii="Cambria" w:hAnsi="Cambria"/>
          <w:b/>
          <w:bCs/>
        </w:rPr>
        <w:t>1</w:t>
      </w:r>
      <w:r w:rsidR="00727116">
        <w:rPr>
          <w:rFonts w:ascii="Cambria" w:hAnsi="Cambria"/>
          <w:b/>
          <w:bCs/>
        </w:rPr>
        <w:t>1</w:t>
      </w:r>
      <w:r w:rsidRPr="00B16ECB">
        <w:rPr>
          <w:rFonts w:ascii="Cambria" w:hAnsi="Cambria"/>
          <w:b/>
          <w:bCs/>
        </w:rPr>
        <w:t>. Payment Infrastructure</w:t>
      </w:r>
    </w:p>
    <w:p w14:paraId="0E93EBB4" w14:textId="3899A317"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1</w:t>
      </w:r>
      <w:r w:rsidRPr="00B16ECB">
        <w:rPr>
          <w:rFonts w:ascii="Cambria" w:hAnsi="Cambria"/>
        </w:rPr>
        <w:t>.1 NewCo shall establish an independent M-PESA Business Till Number registered in NewCo's corporate name, to serve as the primary payment collection mechanism for the Platform's subscription fees.</w:t>
      </w:r>
    </w:p>
    <w:p w14:paraId="5BC61C59" w14:textId="557C6FA1"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1</w:t>
      </w:r>
      <w:r w:rsidRPr="00B16ECB">
        <w:rPr>
          <w:rFonts w:ascii="Cambria" w:hAnsi="Cambria"/>
        </w:rPr>
        <w:t>.2 All revenues collected through the Platform shall be credited directly to NewCo's bank account and shall not pass through, or be accessible to, the Firm's accounts.</w:t>
      </w:r>
    </w:p>
    <w:p w14:paraId="5A3A78DE" w14:textId="43FF4D88"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1</w:t>
      </w:r>
      <w:r w:rsidRPr="00B16ECB">
        <w:rPr>
          <w:rFonts w:ascii="Cambria" w:hAnsi="Cambria"/>
        </w:rPr>
        <w:t>.3 The Firm shall have no right to intercept, redirect, or set off any NewCo revenues against any amounts owed to it by the Developer or any third party.</w:t>
      </w:r>
    </w:p>
    <w:p w14:paraId="103BC421" w14:textId="101B1D31" w:rsidR="00B16ECB" w:rsidRPr="00B16ECB" w:rsidRDefault="00B16ECB" w:rsidP="00B16ECB">
      <w:pPr>
        <w:jc w:val="both"/>
        <w:rPr>
          <w:rFonts w:ascii="Cambria" w:hAnsi="Cambria"/>
        </w:rPr>
      </w:pPr>
    </w:p>
    <w:p w14:paraId="5FDFD38B" w14:textId="77777777" w:rsidR="00B16ECB" w:rsidRPr="00B16ECB" w:rsidRDefault="00B16ECB" w:rsidP="00B16ECB">
      <w:pPr>
        <w:jc w:val="both"/>
        <w:rPr>
          <w:rFonts w:ascii="Cambria" w:hAnsi="Cambria"/>
          <w:b/>
          <w:bCs/>
        </w:rPr>
      </w:pPr>
      <w:r w:rsidRPr="00B16ECB">
        <w:rPr>
          <w:rFonts w:ascii="Cambria" w:hAnsi="Cambria"/>
          <w:b/>
          <w:bCs/>
        </w:rPr>
        <w:t>SECTION G — PROTECTION OF PARTIES</w:t>
      </w:r>
    </w:p>
    <w:p w14:paraId="28C3661F" w14:textId="04711D9D" w:rsidR="00B16ECB" w:rsidRPr="00B16ECB" w:rsidRDefault="00B16ECB" w:rsidP="00B16ECB">
      <w:pPr>
        <w:jc w:val="both"/>
        <w:rPr>
          <w:rFonts w:ascii="Cambria" w:hAnsi="Cambria"/>
          <w:b/>
          <w:bCs/>
        </w:rPr>
      </w:pPr>
      <w:r w:rsidRPr="00B16ECB">
        <w:rPr>
          <w:rFonts w:ascii="Cambria" w:hAnsi="Cambria"/>
          <w:b/>
          <w:bCs/>
        </w:rPr>
        <w:t>1</w:t>
      </w:r>
      <w:r w:rsidR="00727116">
        <w:rPr>
          <w:rFonts w:ascii="Cambria" w:hAnsi="Cambria"/>
          <w:b/>
          <w:bCs/>
        </w:rPr>
        <w:t>2</w:t>
      </w:r>
      <w:r w:rsidRPr="00B16ECB">
        <w:rPr>
          <w:rFonts w:ascii="Cambria" w:hAnsi="Cambria"/>
          <w:b/>
          <w:bCs/>
        </w:rPr>
        <w:t>. Transfer of Shares &amp; Exit Mechanisms</w:t>
      </w:r>
    </w:p>
    <w:p w14:paraId="6B3178F1" w14:textId="78525EF3"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2</w:t>
      </w:r>
      <w:r w:rsidRPr="00B16ECB">
        <w:rPr>
          <w:rFonts w:ascii="Cambria" w:hAnsi="Cambria"/>
        </w:rPr>
        <w:t xml:space="preserve">.1 </w:t>
      </w:r>
      <w:r w:rsidRPr="00B16ECB">
        <w:rPr>
          <w:rFonts w:ascii="Cambria" w:hAnsi="Cambria"/>
          <w:b/>
          <w:bCs/>
        </w:rPr>
        <w:t>Pre-Emption Rights.</w:t>
      </w:r>
      <w:r w:rsidRPr="00B16ECB">
        <w:rPr>
          <w:rFonts w:ascii="Cambria" w:hAnsi="Cambria"/>
        </w:rPr>
        <w:t xml:space="preserve"> If any shareholder (a "Selling Shareholder") wishes to sell, transfer, or otherwise dispose of any shares in NewCo, it shall first offer such shares to the other shareholders pro-rata at the proposed sale price before transferring them to any third party.</w:t>
      </w:r>
    </w:p>
    <w:p w14:paraId="63F9B2E7" w14:textId="3CE35BB8"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2</w:t>
      </w:r>
      <w:r w:rsidRPr="00B16ECB">
        <w:rPr>
          <w:rFonts w:ascii="Cambria" w:hAnsi="Cambria"/>
        </w:rPr>
        <w:t xml:space="preserve">.2 </w:t>
      </w:r>
      <w:r w:rsidRPr="00B16ECB">
        <w:rPr>
          <w:rFonts w:ascii="Cambria" w:hAnsi="Cambria"/>
          <w:b/>
          <w:bCs/>
        </w:rPr>
        <w:t>Drag-Along Rights.</w:t>
      </w:r>
      <w:r w:rsidRPr="00B16ECB">
        <w:rPr>
          <w:rFonts w:ascii="Cambria" w:hAnsi="Cambria"/>
        </w:rPr>
        <w:t xml:space="preserve"> If shareholders holding at least 75% of the total issued share capital of NewCo wish to accept a bona fide third-party acquisition offer, they shall be entitled to require all remaining shareholders to sell their shares on the same terms and at the same price per share ("Drag-Along Right").</w:t>
      </w:r>
    </w:p>
    <w:p w14:paraId="7D5143C5" w14:textId="070B54B0"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2</w:t>
      </w:r>
      <w:r w:rsidRPr="00B16ECB">
        <w:rPr>
          <w:rFonts w:ascii="Cambria" w:hAnsi="Cambria"/>
        </w:rPr>
        <w:t xml:space="preserve">.3 </w:t>
      </w:r>
      <w:r w:rsidRPr="00B16ECB">
        <w:rPr>
          <w:rFonts w:ascii="Cambria" w:hAnsi="Cambria"/>
          <w:b/>
          <w:bCs/>
        </w:rPr>
        <w:t>Tag-Along Rights.</w:t>
      </w:r>
      <w:r w:rsidRPr="00B16ECB">
        <w:rPr>
          <w:rFonts w:ascii="Cambria" w:hAnsi="Cambria"/>
        </w:rPr>
        <w:t xml:space="preserve"> If a shareholder holding 35% or more of shares proposes to sell shares to a third party, all other shareholders shall have the right to participate in such sale on identical terms, pro-rata to their shareholding ("Tag-Along Right").</w:t>
      </w:r>
    </w:p>
    <w:p w14:paraId="31A1E670" w14:textId="582BB69B"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2</w:t>
      </w:r>
      <w:r w:rsidRPr="00B16ECB">
        <w:rPr>
          <w:rFonts w:ascii="Cambria" w:hAnsi="Cambria"/>
        </w:rPr>
        <w:t xml:space="preserve">.4 </w:t>
      </w:r>
      <w:r w:rsidRPr="00B16ECB">
        <w:rPr>
          <w:rFonts w:ascii="Cambria" w:hAnsi="Cambria"/>
          <w:b/>
          <w:bCs/>
        </w:rPr>
        <w:t>Lock-Up Period.</w:t>
      </w:r>
      <w:r w:rsidRPr="00B16ECB">
        <w:rPr>
          <w:rFonts w:ascii="Cambria" w:hAnsi="Cambria"/>
        </w:rPr>
        <w:t xml:space="preserve"> Neither Party shall sell, transfer, charge, or otherwise dispose of any shares in NewCo during the first twenty-four (24) months following incorporation ("Lock-Up Period") without the prior written consent of the other Party.</w:t>
      </w:r>
    </w:p>
    <w:p w14:paraId="2B12128F" w14:textId="1F288733"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2</w:t>
      </w:r>
      <w:r w:rsidRPr="00B16ECB">
        <w:rPr>
          <w:rFonts w:ascii="Cambria" w:hAnsi="Cambria"/>
        </w:rPr>
        <w:t xml:space="preserve">.5 </w:t>
      </w:r>
      <w:r w:rsidRPr="00B16ECB">
        <w:rPr>
          <w:rFonts w:ascii="Cambria" w:hAnsi="Cambria"/>
          <w:b/>
          <w:bCs/>
        </w:rPr>
        <w:t>Deadlock Resolution.</w:t>
      </w:r>
      <w:r w:rsidRPr="00B16ECB">
        <w:rPr>
          <w:rFonts w:ascii="Cambria" w:hAnsi="Cambria"/>
        </w:rPr>
        <w:t xml:space="preserve"> In the event of a persistent deadlock on a material matter that cannot be resolved within thirty (30) days of the matter arising, the Parties shall refer the matter to a mutually agreed independent mediator. If mediation fails, the matter shall be resolved pursuant to Clause 20.</w:t>
      </w:r>
    </w:p>
    <w:p w14:paraId="6F5EB071" w14:textId="7B3B9BFE" w:rsidR="00B16ECB" w:rsidRPr="00B16ECB" w:rsidRDefault="00B16ECB" w:rsidP="00B16ECB">
      <w:pPr>
        <w:jc w:val="both"/>
        <w:rPr>
          <w:rFonts w:ascii="Cambria" w:hAnsi="Cambria"/>
        </w:rPr>
      </w:pPr>
    </w:p>
    <w:p w14:paraId="1EA3DD9B" w14:textId="77777777" w:rsidR="00B16ECB" w:rsidRPr="00B16ECB" w:rsidRDefault="00B16ECB" w:rsidP="00B16ECB">
      <w:pPr>
        <w:jc w:val="both"/>
        <w:rPr>
          <w:rFonts w:ascii="Cambria" w:hAnsi="Cambria"/>
          <w:b/>
          <w:bCs/>
        </w:rPr>
      </w:pPr>
      <w:r w:rsidRPr="00B16ECB">
        <w:rPr>
          <w:rFonts w:ascii="Cambria" w:hAnsi="Cambria"/>
          <w:b/>
          <w:bCs/>
        </w:rPr>
        <w:lastRenderedPageBreak/>
        <w:t>SECTION H — BINDING CLAUSES</w:t>
      </w:r>
    </w:p>
    <w:p w14:paraId="0F795535" w14:textId="1317A25D" w:rsidR="00B16ECB" w:rsidRPr="00B16ECB" w:rsidRDefault="00B16ECB" w:rsidP="00B16ECB">
      <w:pPr>
        <w:jc w:val="both"/>
        <w:rPr>
          <w:rFonts w:ascii="Cambria" w:hAnsi="Cambria"/>
          <w:b/>
          <w:bCs/>
        </w:rPr>
      </w:pPr>
      <w:r w:rsidRPr="00B16ECB">
        <w:rPr>
          <w:rFonts w:ascii="Cambria" w:hAnsi="Cambria"/>
          <w:b/>
          <w:bCs/>
        </w:rPr>
        <w:t>1</w:t>
      </w:r>
      <w:r w:rsidR="00727116">
        <w:rPr>
          <w:rFonts w:ascii="Cambria" w:hAnsi="Cambria"/>
          <w:b/>
          <w:bCs/>
        </w:rPr>
        <w:t>3</w:t>
      </w:r>
      <w:r w:rsidRPr="00B16ECB">
        <w:rPr>
          <w:rFonts w:ascii="Cambria" w:hAnsi="Cambria"/>
          <w:b/>
          <w:bCs/>
        </w:rPr>
        <w:t>. Confidentiality</w:t>
      </w:r>
    </w:p>
    <w:p w14:paraId="3CC69A30" w14:textId="38C4A67E"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3</w:t>
      </w:r>
      <w:r w:rsidRPr="00B16ECB">
        <w:rPr>
          <w:rFonts w:ascii="Cambria" w:hAnsi="Cambria"/>
        </w:rPr>
        <w:t>.1 Each Party undertakes to keep strictly confidential all information relating to:</w:t>
      </w:r>
      <w:r w:rsidRPr="00B16ECB">
        <w:rPr>
          <w:rFonts w:ascii="Cambria" w:hAnsi="Cambria"/>
        </w:rPr>
        <w:br/>
        <w:t>(a) the terms of this HoT and the proposed transaction;</w:t>
      </w:r>
      <w:r w:rsidRPr="00B16ECB">
        <w:rPr>
          <w:rFonts w:ascii="Cambria" w:hAnsi="Cambria"/>
        </w:rPr>
        <w:br/>
        <w:t>(b) the Platform's technical architecture, algorithms, and source code;</w:t>
      </w:r>
      <w:r w:rsidRPr="00B16ECB">
        <w:rPr>
          <w:rFonts w:ascii="Cambria" w:hAnsi="Cambria"/>
        </w:rPr>
        <w:br/>
        <w:t>(c) NewCo's business strategy, financial projections, and client information; and</w:t>
      </w:r>
      <w:r w:rsidRPr="00B16ECB">
        <w:rPr>
          <w:rFonts w:ascii="Cambria" w:hAnsi="Cambria"/>
        </w:rPr>
        <w:br/>
        <w:t>(d) any information disclosed by one Party to the other in connection with the proposed transaction (collectively, "Confidential Information").</w:t>
      </w:r>
    </w:p>
    <w:p w14:paraId="2A15E54D" w14:textId="444AF5C3"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3</w:t>
      </w:r>
      <w:r w:rsidRPr="00B16ECB">
        <w:rPr>
          <w:rFonts w:ascii="Cambria" w:hAnsi="Cambria"/>
        </w:rPr>
        <w:t>.2 Neither Party shall disclose Confidential Information to any third party without the prior written consent of the other, save to its professional advisors who are bound by equivalent confidentiality obligations.</w:t>
      </w:r>
    </w:p>
    <w:p w14:paraId="250A87DA" w14:textId="78A8CDF3"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3</w:t>
      </w:r>
      <w:r w:rsidRPr="00B16ECB">
        <w:rPr>
          <w:rFonts w:ascii="Cambria" w:hAnsi="Cambria"/>
        </w:rPr>
        <w:t>.3 This obligation shall survive the termination of this HoT and the Definitive Agreements for a period of five (5) years.</w:t>
      </w:r>
    </w:p>
    <w:p w14:paraId="200A779C" w14:textId="1F018AD5"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3</w:t>
      </w:r>
      <w:r w:rsidRPr="00B16ECB">
        <w:rPr>
          <w:rFonts w:ascii="Cambria" w:hAnsi="Cambria"/>
        </w:rPr>
        <w:t>.4 Nothing in this clause shall prevent disclosure required by applicable law, regulation, or court order, provided that the disclosing Party gives the other Party maximum practicable prior written notice.</w:t>
      </w:r>
    </w:p>
    <w:p w14:paraId="4C9B651A" w14:textId="38DC6326" w:rsidR="00B16ECB" w:rsidRPr="00B16ECB" w:rsidRDefault="00B16ECB" w:rsidP="00B16ECB">
      <w:pPr>
        <w:jc w:val="both"/>
        <w:rPr>
          <w:rFonts w:ascii="Cambria" w:hAnsi="Cambria"/>
        </w:rPr>
      </w:pPr>
    </w:p>
    <w:p w14:paraId="00827097" w14:textId="0C92105A" w:rsidR="00B16ECB" w:rsidRPr="00B16ECB" w:rsidRDefault="00B16ECB" w:rsidP="00B16ECB">
      <w:pPr>
        <w:jc w:val="both"/>
        <w:rPr>
          <w:rFonts w:ascii="Cambria" w:hAnsi="Cambria"/>
          <w:b/>
          <w:bCs/>
        </w:rPr>
      </w:pPr>
      <w:r w:rsidRPr="00B16ECB">
        <w:rPr>
          <w:rFonts w:ascii="Cambria" w:hAnsi="Cambria"/>
          <w:b/>
          <w:bCs/>
        </w:rPr>
        <w:t>1</w:t>
      </w:r>
      <w:r w:rsidR="00727116">
        <w:rPr>
          <w:rFonts w:ascii="Cambria" w:hAnsi="Cambria"/>
          <w:b/>
          <w:bCs/>
        </w:rPr>
        <w:t>4</w:t>
      </w:r>
      <w:r w:rsidRPr="00B16ECB">
        <w:rPr>
          <w:rFonts w:ascii="Cambria" w:hAnsi="Cambria"/>
          <w:b/>
          <w:bCs/>
        </w:rPr>
        <w:t>. Exclusivity</w:t>
      </w:r>
    </w:p>
    <w:p w14:paraId="2725F1AD" w14:textId="7CF5D57A" w:rsidR="00B16ECB" w:rsidRPr="00B16ECB" w:rsidRDefault="00B16ECB" w:rsidP="006A3869">
      <w:pPr>
        <w:rPr>
          <w:rFonts w:ascii="Cambria" w:hAnsi="Cambria"/>
        </w:rPr>
      </w:pPr>
      <w:r w:rsidRPr="00B16ECB">
        <w:rPr>
          <w:rFonts w:ascii="Cambria" w:hAnsi="Cambria"/>
        </w:rPr>
        <w:t>1</w:t>
      </w:r>
      <w:r w:rsidR="00727116">
        <w:rPr>
          <w:rFonts w:ascii="Cambria" w:hAnsi="Cambria"/>
        </w:rPr>
        <w:t>4</w:t>
      </w:r>
      <w:r w:rsidRPr="00B16ECB">
        <w:rPr>
          <w:rFonts w:ascii="Cambria" w:hAnsi="Cambria"/>
        </w:rPr>
        <w:t>.1 For a period of sixty (60) days from the date of this HoT (the "Exclusivity Period"), neither Party shall, directly or indirectly, negotiate or enter into discussions with any third party regarding:</w:t>
      </w:r>
      <w:r w:rsidRPr="00B16ECB">
        <w:rPr>
          <w:rFonts w:ascii="Cambria" w:hAnsi="Cambria"/>
        </w:rPr>
        <w:br/>
        <w:t>(a) an investment in, or acquisition of, the Platform;</w:t>
      </w:r>
      <w:r w:rsidRPr="00B16ECB">
        <w:rPr>
          <w:rFonts w:ascii="Cambria" w:hAnsi="Cambria"/>
        </w:rPr>
        <w:br/>
        <w:t>(b) a competing transaction of the nature contemplated herein; or</w:t>
      </w:r>
      <w:r w:rsidRPr="00B16ECB">
        <w:rPr>
          <w:rFonts w:ascii="Cambria" w:hAnsi="Cambria"/>
        </w:rPr>
        <w:br/>
        <w:t>(c) any arrangement that would prejudice the formation of NewCo.</w:t>
      </w:r>
    </w:p>
    <w:p w14:paraId="75B542C0" w14:textId="21C67C2B"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4</w:t>
      </w:r>
      <w:r w:rsidRPr="00B16ECB">
        <w:rPr>
          <w:rFonts w:ascii="Cambria" w:hAnsi="Cambria"/>
        </w:rPr>
        <w:t>.2 The Exclusivity Period may be extended by mutual written agreement of the Parties.</w:t>
      </w:r>
    </w:p>
    <w:p w14:paraId="45CEC157" w14:textId="79D476A7" w:rsidR="00B16ECB" w:rsidRPr="00B16ECB" w:rsidRDefault="00B16ECB" w:rsidP="00B16ECB">
      <w:pPr>
        <w:jc w:val="both"/>
        <w:rPr>
          <w:rFonts w:ascii="Cambria" w:hAnsi="Cambria"/>
        </w:rPr>
      </w:pPr>
    </w:p>
    <w:p w14:paraId="27DBF2F6" w14:textId="46CA4C97" w:rsidR="00B16ECB" w:rsidRPr="00B16ECB" w:rsidRDefault="00B16ECB" w:rsidP="00B16ECB">
      <w:pPr>
        <w:jc w:val="both"/>
        <w:rPr>
          <w:rFonts w:ascii="Cambria" w:hAnsi="Cambria"/>
          <w:b/>
          <w:bCs/>
        </w:rPr>
      </w:pPr>
      <w:r w:rsidRPr="00B16ECB">
        <w:rPr>
          <w:rFonts w:ascii="Cambria" w:hAnsi="Cambria"/>
          <w:b/>
          <w:bCs/>
        </w:rPr>
        <w:t>1</w:t>
      </w:r>
      <w:r w:rsidR="00727116">
        <w:rPr>
          <w:rFonts w:ascii="Cambria" w:hAnsi="Cambria"/>
          <w:b/>
          <w:bCs/>
        </w:rPr>
        <w:t>5</w:t>
      </w:r>
      <w:r w:rsidRPr="00B16ECB">
        <w:rPr>
          <w:rFonts w:ascii="Cambria" w:hAnsi="Cambria"/>
          <w:b/>
          <w:bCs/>
        </w:rPr>
        <w:t>. Non-Compete and Non-Solicitation</w:t>
      </w:r>
    </w:p>
    <w:p w14:paraId="3C047E5D" w14:textId="5FEA2762"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5</w:t>
      </w:r>
      <w:r w:rsidRPr="00B16ECB">
        <w:rPr>
          <w:rFonts w:ascii="Cambria" w:hAnsi="Cambria"/>
        </w:rPr>
        <w:t>.1 The Parties acknowledge the following obligations shall be incorporated in binding form in the Shareholders' Agreement and the Developer's Service Agreement with NewCo:</w:t>
      </w:r>
    </w:p>
    <w:p w14:paraId="13709C11" w14:textId="77777777" w:rsidR="00B16ECB" w:rsidRPr="00B16ECB" w:rsidRDefault="00B16ECB" w:rsidP="00B16ECB">
      <w:pPr>
        <w:jc w:val="both"/>
        <w:rPr>
          <w:rFonts w:ascii="Cambria" w:hAnsi="Cambria"/>
        </w:rPr>
      </w:pPr>
      <w:r w:rsidRPr="00B16ECB">
        <w:rPr>
          <w:rFonts w:ascii="Cambria" w:hAnsi="Cambria"/>
        </w:rPr>
        <w:t xml:space="preserve">(a) </w:t>
      </w:r>
      <w:r w:rsidRPr="00B16ECB">
        <w:rPr>
          <w:rFonts w:ascii="Cambria" w:hAnsi="Cambria"/>
          <w:b/>
          <w:bCs/>
        </w:rPr>
        <w:t>Developer Non-Compete:</w:t>
      </w:r>
      <w:r w:rsidRPr="00B16ECB">
        <w:rPr>
          <w:rFonts w:ascii="Cambria" w:hAnsi="Cambria"/>
        </w:rPr>
        <w:t xml:space="preserve"> The Developer shall not, during his engagement with NewCo and for a period of twenty-four (24) months following departure therefrom (for whatever reason), directly or indirectly develop, invest in, or be engaged in any business that </w:t>
      </w:r>
      <w:r w:rsidRPr="00B16ECB">
        <w:rPr>
          <w:rFonts w:ascii="Cambria" w:hAnsi="Cambria"/>
        </w:rPr>
        <w:lastRenderedPageBreak/>
        <w:t>substantially competes with the Platform's core functionality as an AI-powered legal drafting tool targeting the Kenyan or East African legal market.</w:t>
      </w:r>
    </w:p>
    <w:p w14:paraId="621FE954" w14:textId="77777777" w:rsidR="00B16ECB" w:rsidRPr="00B16ECB" w:rsidRDefault="00B16ECB" w:rsidP="00B16ECB">
      <w:pPr>
        <w:jc w:val="both"/>
        <w:rPr>
          <w:rFonts w:ascii="Cambria" w:hAnsi="Cambria"/>
        </w:rPr>
      </w:pPr>
      <w:r w:rsidRPr="00B16ECB">
        <w:rPr>
          <w:rFonts w:ascii="Cambria" w:hAnsi="Cambria"/>
        </w:rPr>
        <w:t xml:space="preserve">(b) </w:t>
      </w:r>
      <w:r w:rsidRPr="00B16ECB">
        <w:rPr>
          <w:rFonts w:ascii="Cambria" w:hAnsi="Cambria"/>
          <w:b/>
          <w:bCs/>
        </w:rPr>
        <w:t>Non-Solicitation:</w:t>
      </w:r>
      <w:r w:rsidRPr="00B16ECB">
        <w:rPr>
          <w:rFonts w:ascii="Cambria" w:hAnsi="Cambria"/>
        </w:rPr>
        <w:t xml:space="preserve"> Neither Party shall, for a period of twenty-four (24) months following termination of their relationship with NewCo, directly solicit or recruit any employee, contractor, or key individual from NewCo or from the other Party.</w:t>
      </w:r>
    </w:p>
    <w:p w14:paraId="7D471B58" w14:textId="54767DED"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5</w:t>
      </w:r>
      <w:r w:rsidRPr="00B16ECB">
        <w:rPr>
          <w:rFonts w:ascii="Cambria" w:hAnsi="Cambria"/>
        </w:rPr>
        <w:t>.2 The Parties acknowledge that the restrictions in Clause 17.1 are reasonable and necessary to protect the legitimate business interests of NewCo.</w:t>
      </w:r>
    </w:p>
    <w:p w14:paraId="2BF10B63" w14:textId="66D8DA4E" w:rsidR="00B16ECB" w:rsidRPr="00B16ECB" w:rsidRDefault="00B16ECB" w:rsidP="00B16ECB">
      <w:pPr>
        <w:jc w:val="both"/>
        <w:rPr>
          <w:rFonts w:ascii="Cambria" w:hAnsi="Cambria"/>
        </w:rPr>
      </w:pPr>
    </w:p>
    <w:p w14:paraId="594E97BA" w14:textId="368306A3" w:rsidR="00B16ECB" w:rsidRPr="00B16ECB" w:rsidRDefault="00B16ECB" w:rsidP="00B16ECB">
      <w:pPr>
        <w:jc w:val="both"/>
        <w:rPr>
          <w:rFonts w:ascii="Cambria" w:hAnsi="Cambria"/>
          <w:b/>
          <w:bCs/>
        </w:rPr>
      </w:pPr>
      <w:r w:rsidRPr="00B16ECB">
        <w:rPr>
          <w:rFonts w:ascii="Cambria" w:hAnsi="Cambria"/>
          <w:b/>
          <w:bCs/>
        </w:rPr>
        <w:t>1</w:t>
      </w:r>
      <w:r w:rsidR="00727116">
        <w:rPr>
          <w:rFonts w:ascii="Cambria" w:hAnsi="Cambria"/>
          <w:b/>
          <w:bCs/>
        </w:rPr>
        <w:t>6</w:t>
      </w:r>
      <w:r w:rsidRPr="00B16ECB">
        <w:rPr>
          <w:rFonts w:ascii="Cambria" w:hAnsi="Cambria"/>
          <w:b/>
          <w:bCs/>
        </w:rPr>
        <w:t>. Relationship of the Parties</w:t>
      </w:r>
    </w:p>
    <w:p w14:paraId="371F8E57" w14:textId="02FB658E"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6</w:t>
      </w:r>
      <w:r w:rsidRPr="00B16ECB">
        <w:rPr>
          <w:rFonts w:ascii="Cambria" w:hAnsi="Cambria"/>
        </w:rPr>
        <w:t xml:space="preserve">.1 The Developer's relationship with NewCo shall be </w:t>
      </w:r>
      <w:r w:rsidR="00727116" w:rsidRPr="00B16ECB">
        <w:rPr>
          <w:rFonts w:ascii="Cambria" w:hAnsi="Cambria"/>
        </w:rPr>
        <w:t>formalized</w:t>
      </w:r>
      <w:r w:rsidRPr="00B16ECB">
        <w:rPr>
          <w:rFonts w:ascii="Cambria" w:hAnsi="Cambria"/>
        </w:rPr>
        <w:t xml:space="preserve"> through a Developer's Service Agreement to be entered into upon incorporation of NewCo, setting out remuneration, leave entitlements, performance milestones, and termination provisions.</w:t>
      </w:r>
    </w:p>
    <w:p w14:paraId="50A47C4B" w14:textId="4CA57E9C"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6</w:t>
      </w:r>
      <w:r w:rsidRPr="00B16ECB">
        <w:rPr>
          <w:rFonts w:ascii="Cambria" w:hAnsi="Cambria"/>
        </w:rPr>
        <w:t>.2 The Firm's relationship with NewCo shall be governed by the Shareholders' Agreement.</w:t>
      </w:r>
    </w:p>
    <w:p w14:paraId="5141172C" w14:textId="17B75020" w:rsidR="00B16ECB" w:rsidRPr="00B16ECB" w:rsidRDefault="00B16ECB" w:rsidP="00B16ECB">
      <w:pPr>
        <w:jc w:val="both"/>
        <w:rPr>
          <w:rFonts w:ascii="Cambria" w:hAnsi="Cambria"/>
        </w:rPr>
      </w:pPr>
    </w:p>
    <w:p w14:paraId="4922C93A" w14:textId="77777777" w:rsidR="00B16ECB" w:rsidRPr="00B16ECB" w:rsidRDefault="00B16ECB" w:rsidP="00B16ECB">
      <w:pPr>
        <w:jc w:val="both"/>
        <w:rPr>
          <w:rFonts w:ascii="Cambria" w:hAnsi="Cambria"/>
          <w:b/>
          <w:bCs/>
        </w:rPr>
      </w:pPr>
      <w:r w:rsidRPr="00B16ECB">
        <w:rPr>
          <w:rFonts w:ascii="Cambria" w:hAnsi="Cambria"/>
          <w:b/>
          <w:bCs/>
        </w:rPr>
        <w:t>SECTION I — REGULATORY &amp; COMPLIANCE</w:t>
      </w:r>
    </w:p>
    <w:p w14:paraId="568E9288" w14:textId="34DB654D" w:rsidR="00B16ECB" w:rsidRPr="00B16ECB" w:rsidRDefault="00B16ECB" w:rsidP="00B16ECB">
      <w:pPr>
        <w:jc w:val="both"/>
        <w:rPr>
          <w:rFonts w:ascii="Cambria" w:hAnsi="Cambria"/>
          <w:b/>
          <w:bCs/>
        </w:rPr>
      </w:pPr>
      <w:r w:rsidRPr="00B16ECB">
        <w:rPr>
          <w:rFonts w:ascii="Cambria" w:hAnsi="Cambria"/>
          <w:b/>
          <w:bCs/>
        </w:rPr>
        <w:t>1</w:t>
      </w:r>
      <w:r w:rsidR="00727116">
        <w:rPr>
          <w:rFonts w:ascii="Cambria" w:hAnsi="Cambria"/>
          <w:b/>
          <w:bCs/>
        </w:rPr>
        <w:t>7</w:t>
      </w:r>
      <w:r w:rsidRPr="00B16ECB">
        <w:rPr>
          <w:rFonts w:ascii="Cambria" w:hAnsi="Cambria"/>
          <w:b/>
          <w:bCs/>
        </w:rPr>
        <w:t>. Data Protection and Regulatory Compliance</w:t>
      </w:r>
    </w:p>
    <w:p w14:paraId="36984ACA" w14:textId="67E071F9" w:rsidR="00B16ECB" w:rsidRPr="00B16ECB" w:rsidRDefault="00B16ECB" w:rsidP="006A3869">
      <w:pPr>
        <w:rPr>
          <w:rFonts w:ascii="Cambria" w:hAnsi="Cambria"/>
        </w:rPr>
      </w:pPr>
      <w:r w:rsidRPr="00B16ECB">
        <w:rPr>
          <w:rFonts w:ascii="Cambria" w:hAnsi="Cambria"/>
        </w:rPr>
        <w:t>1</w:t>
      </w:r>
      <w:r w:rsidR="00727116">
        <w:rPr>
          <w:rFonts w:ascii="Cambria" w:hAnsi="Cambria"/>
        </w:rPr>
        <w:t>7</w:t>
      </w:r>
      <w:r w:rsidRPr="00B16ECB">
        <w:rPr>
          <w:rFonts w:ascii="Cambria" w:hAnsi="Cambria"/>
        </w:rPr>
        <w:t>.1 The Parties acknowledge that the Platform processes personal data and legal documents and shall accordingly ensure that NewCo:</w:t>
      </w:r>
      <w:r w:rsidRPr="00B16ECB">
        <w:rPr>
          <w:rFonts w:ascii="Cambria" w:hAnsi="Cambria"/>
        </w:rPr>
        <w:br/>
        <w:t>(a) registers as a data controller with the Office of the Data Protection Commissioner ("ODPC") under the Data Protection Act, 2019;</w:t>
      </w:r>
      <w:r w:rsidRPr="00B16ECB">
        <w:rPr>
          <w:rFonts w:ascii="Cambria" w:hAnsi="Cambria"/>
        </w:rPr>
        <w:br/>
        <w:t>(b) implements a compliant Privacy Policy and Terms of Use prior to commercial launch; and</w:t>
      </w:r>
      <w:r w:rsidRPr="00B16ECB">
        <w:rPr>
          <w:rFonts w:ascii="Cambria" w:hAnsi="Cambria"/>
        </w:rPr>
        <w:br/>
        <w:t xml:space="preserve">(c) maintains appropriate technical and </w:t>
      </w:r>
      <w:r w:rsidR="00727116" w:rsidRPr="00B16ECB">
        <w:rPr>
          <w:rFonts w:ascii="Cambria" w:hAnsi="Cambria"/>
        </w:rPr>
        <w:t>organizational</w:t>
      </w:r>
      <w:r w:rsidRPr="00B16ECB">
        <w:rPr>
          <w:rFonts w:ascii="Cambria" w:hAnsi="Cambria"/>
        </w:rPr>
        <w:t xml:space="preserve"> measures to protect user data.</w:t>
      </w:r>
    </w:p>
    <w:p w14:paraId="0B7A09FE" w14:textId="01FF1B98"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7</w:t>
      </w:r>
      <w:r w:rsidRPr="00B16ECB">
        <w:rPr>
          <w:rFonts w:ascii="Cambria" w:hAnsi="Cambria"/>
        </w:rPr>
        <w:t>.2 The Parties further acknowledge that NewCo may be subject to sectoral regulation by the Law Society of Kenya or other regulatory bodies, and undertake to seek appropriate regulatory advice as part of the pre-launch process.</w:t>
      </w:r>
    </w:p>
    <w:p w14:paraId="63DE0A3F" w14:textId="473CD088" w:rsidR="00B16ECB" w:rsidRPr="00B16ECB" w:rsidRDefault="00B16ECB" w:rsidP="00B16ECB">
      <w:pPr>
        <w:jc w:val="both"/>
        <w:rPr>
          <w:rFonts w:ascii="Cambria" w:hAnsi="Cambria"/>
        </w:rPr>
      </w:pPr>
      <w:r w:rsidRPr="00B16ECB">
        <w:rPr>
          <w:rFonts w:ascii="Cambria" w:hAnsi="Cambria"/>
        </w:rPr>
        <w:t>1</w:t>
      </w:r>
      <w:r w:rsidR="00727116">
        <w:rPr>
          <w:rFonts w:ascii="Cambria" w:hAnsi="Cambria"/>
        </w:rPr>
        <w:t>7</w:t>
      </w:r>
      <w:r w:rsidRPr="00B16ECB">
        <w:rPr>
          <w:rFonts w:ascii="Cambria" w:hAnsi="Cambria"/>
        </w:rPr>
        <w:t>.3 NewCo shall register for all applicable taxes with the Kenya Revenue Authority ("KRA"), including VAT (where applicable) and corporate income tax, within thirty (30) days of commencing commercial operations.</w:t>
      </w:r>
    </w:p>
    <w:p w14:paraId="583BFCD6" w14:textId="6E899325" w:rsidR="00B16ECB" w:rsidRPr="00B16ECB" w:rsidRDefault="00B16ECB" w:rsidP="00B16ECB">
      <w:pPr>
        <w:jc w:val="both"/>
        <w:rPr>
          <w:rFonts w:ascii="Cambria" w:hAnsi="Cambria"/>
        </w:rPr>
      </w:pPr>
    </w:p>
    <w:p w14:paraId="0EDC1D24" w14:textId="77777777" w:rsidR="006A3869" w:rsidRDefault="006A3869" w:rsidP="00B16ECB">
      <w:pPr>
        <w:jc w:val="both"/>
        <w:rPr>
          <w:rFonts w:ascii="Cambria" w:hAnsi="Cambria"/>
          <w:b/>
          <w:bCs/>
        </w:rPr>
      </w:pPr>
    </w:p>
    <w:p w14:paraId="7215B883" w14:textId="77777777" w:rsidR="006A3869" w:rsidRDefault="006A3869" w:rsidP="00B16ECB">
      <w:pPr>
        <w:jc w:val="both"/>
        <w:rPr>
          <w:rFonts w:ascii="Cambria" w:hAnsi="Cambria"/>
          <w:b/>
          <w:bCs/>
        </w:rPr>
      </w:pPr>
    </w:p>
    <w:p w14:paraId="105F7171" w14:textId="2D56B2CA" w:rsidR="00B16ECB" w:rsidRPr="00B16ECB" w:rsidRDefault="00B16ECB" w:rsidP="00B16ECB">
      <w:pPr>
        <w:jc w:val="both"/>
        <w:rPr>
          <w:rFonts w:ascii="Cambria" w:hAnsi="Cambria"/>
          <w:b/>
          <w:bCs/>
        </w:rPr>
      </w:pPr>
      <w:r w:rsidRPr="00B16ECB">
        <w:rPr>
          <w:rFonts w:ascii="Cambria" w:hAnsi="Cambria"/>
          <w:b/>
          <w:bCs/>
        </w:rPr>
        <w:lastRenderedPageBreak/>
        <w:t>SECTION J — GENERAL PROVISIONS</w:t>
      </w:r>
    </w:p>
    <w:p w14:paraId="388FAB68" w14:textId="3CEA8397" w:rsidR="00B16ECB" w:rsidRPr="00B16ECB" w:rsidRDefault="00727116" w:rsidP="00B16ECB">
      <w:pPr>
        <w:jc w:val="both"/>
        <w:rPr>
          <w:rFonts w:ascii="Cambria" w:hAnsi="Cambria"/>
          <w:b/>
          <w:bCs/>
        </w:rPr>
      </w:pPr>
      <w:r>
        <w:rPr>
          <w:rFonts w:ascii="Cambria" w:hAnsi="Cambria"/>
          <w:b/>
          <w:bCs/>
        </w:rPr>
        <w:t>18</w:t>
      </w:r>
      <w:r w:rsidR="00B16ECB" w:rsidRPr="00B16ECB">
        <w:rPr>
          <w:rFonts w:ascii="Cambria" w:hAnsi="Cambria"/>
          <w:b/>
          <w:bCs/>
        </w:rPr>
        <w:t>. Governing Law and Dispute Resolution</w:t>
      </w:r>
    </w:p>
    <w:p w14:paraId="7AAF86D3" w14:textId="19CF2DDA" w:rsidR="00B16ECB" w:rsidRPr="00B16ECB" w:rsidRDefault="00727116" w:rsidP="00B16ECB">
      <w:pPr>
        <w:jc w:val="both"/>
        <w:rPr>
          <w:rFonts w:ascii="Cambria" w:hAnsi="Cambria"/>
        </w:rPr>
      </w:pPr>
      <w:r>
        <w:rPr>
          <w:rFonts w:ascii="Cambria" w:hAnsi="Cambria"/>
        </w:rPr>
        <w:t>18</w:t>
      </w:r>
      <w:r w:rsidR="00B16ECB" w:rsidRPr="00B16ECB">
        <w:rPr>
          <w:rFonts w:ascii="Cambria" w:hAnsi="Cambria"/>
        </w:rPr>
        <w:t>.1 This HoT and all matters arising from or connected with it shall be governed by and construed in accordance with the Laws of Kenya.</w:t>
      </w:r>
    </w:p>
    <w:p w14:paraId="3AD448E2" w14:textId="3A8021D7" w:rsidR="00B16ECB" w:rsidRPr="00B16ECB" w:rsidRDefault="00727116" w:rsidP="00B16ECB">
      <w:pPr>
        <w:jc w:val="both"/>
        <w:rPr>
          <w:rFonts w:ascii="Cambria" w:hAnsi="Cambria"/>
        </w:rPr>
      </w:pPr>
      <w:r>
        <w:rPr>
          <w:rFonts w:ascii="Cambria" w:hAnsi="Cambria"/>
        </w:rPr>
        <w:t>18</w:t>
      </w:r>
      <w:r w:rsidR="00B16ECB" w:rsidRPr="00B16ECB">
        <w:rPr>
          <w:rFonts w:ascii="Cambria" w:hAnsi="Cambria"/>
        </w:rPr>
        <w:t>.2 The Parties shall first attempt to resolve any dispute through good faith negotiation for a period of twenty-one (21) days following written notice of the dispute.</w:t>
      </w:r>
    </w:p>
    <w:p w14:paraId="7CFCE63B" w14:textId="5288A5FA" w:rsidR="00B16ECB" w:rsidRPr="00B16ECB" w:rsidRDefault="00727116" w:rsidP="00B16ECB">
      <w:pPr>
        <w:jc w:val="both"/>
        <w:rPr>
          <w:rFonts w:ascii="Cambria" w:hAnsi="Cambria"/>
        </w:rPr>
      </w:pPr>
      <w:r>
        <w:rPr>
          <w:rFonts w:ascii="Cambria" w:hAnsi="Cambria"/>
        </w:rPr>
        <w:t>18</w:t>
      </w:r>
      <w:r w:rsidR="00B16ECB" w:rsidRPr="00B16ECB">
        <w:rPr>
          <w:rFonts w:ascii="Cambria" w:hAnsi="Cambria"/>
        </w:rPr>
        <w:t>.3 If the dispute remains unresolved, it shall be referred to mediation administered by the Nairobi Centre for International Arbitration ("NCIA") in accordance with its Mediation Rules.</w:t>
      </w:r>
    </w:p>
    <w:p w14:paraId="0D19675D" w14:textId="41DA3A5D" w:rsidR="00B16ECB" w:rsidRPr="00B16ECB" w:rsidRDefault="00727116" w:rsidP="00B16ECB">
      <w:pPr>
        <w:jc w:val="both"/>
        <w:rPr>
          <w:rFonts w:ascii="Cambria" w:hAnsi="Cambria"/>
        </w:rPr>
      </w:pPr>
      <w:r>
        <w:rPr>
          <w:rFonts w:ascii="Cambria" w:hAnsi="Cambria"/>
        </w:rPr>
        <w:t>18</w:t>
      </w:r>
      <w:r w:rsidR="00B16ECB" w:rsidRPr="00B16ECB">
        <w:rPr>
          <w:rFonts w:ascii="Cambria" w:hAnsi="Cambria"/>
        </w:rPr>
        <w:t>.4 If mediation fails within thirty (30) days of appointment of a mediator, the dispute shall be finally resolved by arbitration before a sole arbitrator appointed under the NCIA Arbitration Rules, with the seat of arbitration being Nairobi, Kenya, and the language of the arbitration being English.</w:t>
      </w:r>
    </w:p>
    <w:p w14:paraId="229F0D10" w14:textId="04EDBA27" w:rsidR="00B16ECB" w:rsidRPr="00B16ECB" w:rsidRDefault="00727116" w:rsidP="00B16ECB">
      <w:pPr>
        <w:jc w:val="both"/>
        <w:rPr>
          <w:rFonts w:ascii="Cambria" w:hAnsi="Cambria"/>
        </w:rPr>
      </w:pPr>
      <w:r>
        <w:rPr>
          <w:rFonts w:ascii="Cambria" w:hAnsi="Cambria"/>
        </w:rPr>
        <w:t>18</w:t>
      </w:r>
      <w:r w:rsidR="00B16ECB" w:rsidRPr="00B16ECB">
        <w:rPr>
          <w:rFonts w:ascii="Cambria" w:hAnsi="Cambria"/>
        </w:rPr>
        <w:t>.5 The arbitral award shall be final and binding on both Parties.</w:t>
      </w:r>
    </w:p>
    <w:p w14:paraId="4AC4F415" w14:textId="2EDEE323" w:rsidR="00B16ECB" w:rsidRPr="00B16ECB" w:rsidRDefault="00B16ECB" w:rsidP="00B16ECB">
      <w:pPr>
        <w:jc w:val="both"/>
        <w:rPr>
          <w:rFonts w:ascii="Cambria" w:hAnsi="Cambria"/>
        </w:rPr>
      </w:pPr>
    </w:p>
    <w:p w14:paraId="00D4983C" w14:textId="415C9B0F" w:rsidR="00B16ECB" w:rsidRPr="00B16ECB" w:rsidRDefault="00727116" w:rsidP="00B16ECB">
      <w:pPr>
        <w:jc w:val="both"/>
        <w:rPr>
          <w:rFonts w:ascii="Cambria" w:hAnsi="Cambria"/>
          <w:b/>
          <w:bCs/>
        </w:rPr>
      </w:pPr>
      <w:r>
        <w:rPr>
          <w:rFonts w:ascii="Cambria" w:hAnsi="Cambria"/>
          <w:b/>
          <w:bCs/>
        </w:rPr>
        <w:t>19</w:t>
      </w:r>
      <w:r w:rsidR="00B16ECB" w:rsidRPr="00B16ECB">
        <w:rPr>
          <w:rFonts w:ascii="Cambria" w:hAnsi="Cambria"/>
          <w:b/>
          <w:bCs/>
        </w:rPr>
        <w:t>. Definitive Agreements</w:t>
      </w:r>
    </w:p>
    <w:p w14:paraId="76E0D7A9" w14:textId="39862132" w:rsidR="00B16ECB" w:rsidRPr="00B16ECB" w:rsidRDefault="00727116" w:rsidP="00B16ECB">
      <w:pPr>
        <w:jc w:val="both"/>
        <w:rPr>
          <w:rFonts w:ascii="Cambria" w:hAnsi="Cambria"/>
        </w:rPr>
      </w:pPr>
      <w:r w:rsidRPr="00727116">
        <w:rPr>
          <w:rFonts w:ascii="Cambria" w:hAnsi="Cambria"/>
        </w:rPr>
        <w:t>19</w:t>
      </w:r>
      <w:r w:rsidR="00B16ECB" w:rsidRPr="00B16ECB">
        <w:rPr>
          <w:rFonts w:ascii="Cambria" w:hAnsi="Cambria"/>
        </w:rPr>
        <w:t>.1 The Parties intend to execute the following Definitive Agreements within sixty (60) days of the signing of this HoT:</w:t>
      </w:r>
    </w:p>
    <w:p w14:paraId="2ABE727F" w14:textId="77777777" w:rsidR="00B16ECB" w:rsidRPr="00B16ECB" w:rsidRDefault="00B16ECB" w:rsidP="000A1F97">
      <w:pPr>
        <w:rPr>
          <w:rFonts w:ascii="Cambria" w:hAnsi="Cambria"/>
        </w:rPr>
      </w:pPr>
      <w:r w:rsidRPr="00B16ECB">
        <w:rPr>
          <w:rFonts w:ascii="Cambria" w:hAnsi="Cambria"/>
        </w:rPr>
        <w:t xml:space="preserve">(a) </w:t>
      </w:r>
      <w:r w:rsidRPr="00B16ECB">
        <w:rPr>
          <w:rFonts w:ascii="Cambria" w:hAnsi="Cambria"/>
          <w:b/>
          <w:bCs/>
        </w:rPr>
        <w:t>Shareholders' Agreement</w:t>
      </w:r>
      <w:r w:rsidRPr="00B16ECB">
        <w:rPr>
          <w:rFonts w:ascii="Cambria" w:hAnsi="Cambria"/>
        </w:rPr>
        <w:t xml:space="preserve"> — governing the management, shareholding, and exit mechanisms of NewCo;</w:t>
      </w:r>
      <w:r w:rsidRPr="00B16ECB">
        <w:rPr>
          <w:rFonts w:ascii="Cambria" w:hAnsi="Cambria"/>
        </w:rPr>
        <w:br/>
        <w:t xml:space="preserve">(b) </w:t>
      </w:r>
      <w:r w:rsidRPr="00B16ECB">
        <w:rPr>
          <w:rFonts w:ascii="Cambria" w:hAnsi="Cambria"/>
          <w:b/>
          <w:bCs/>
        </w:rPr>
        <w:t>Deed of Assignment of Intellectual Property</w:t>
      </w:r>
      <w:r w:rsidRPr="00B16ECB">
        <w:rPr>
          <w:rFonts w:ascii="Cambria" w:hAnsi="Cambria"/>
        </w:rPr>
        <w:t xml:space="preserve"> — transferring the Developer's IP to NewCo;</w:t>
      </w:r>
      <w:r w:rsidRPr="00B16ECB">
        <w:rPr>
          <w:rFonts w:ascii="Cambria" w:hAnsi="Cambria"/>
        </w:rPr>
        <w:br/>
        <w:t xml:space="preserve">(c) </w:t>
      </w:r>
      <w:r w:rsidRPr="00B16ECB">
        <w:rPr>
          <w:rFonts w:ascii="Cambria" w:hAnsi="Cambria"/>
          <w:b/>
          <w:bCs/>
        </w:rPr>
        <w:t>Deed of Assignment of Trademark</w:t>
      </w:r>
      <w:r w:rsidRPr="00B16ECB">
        <w:rPr>
          <w:rFonts w:ascii="Cambria" w:hAnsi="Cambria"/>
        </w:rPr>
        <w:t xml:space="preserve"> — transferring the Firm's trademark to NewCo;</w:t>
      </w:r>
      <w:r w:rsidRPr="00B16ECB">
        <w:rPr>
          <w:rFonts w:ascii="Cambria" w:hAnsi="Cambria"/>
        </w:rPr>
        <w:br/>
        <w:t xml:space="preserve">(d) </w:t>
      </w:r>
      <w:r w:rsidRPr="00B16ECB">
        <w:rPr>
          <w:rFonts w:ascii="Cambria" w:hAnsi="Cambria"/>
          <w:b/>
          <w:bCs/>
        </w:rPr>
        <w:t>Developer's Service Agreement</w:t>
      </w:r>
      <w:r w:rsidRPr="00B16ECB">
        <w:rPr>
          <w:rFonts w:ascii="Cambria" w:hAnsi="Cambria"/>
        </w:rPr>
        <w:t xml:space="preserve"> — setting out the Developer's executive terms with NewCo;</w:t>
      </w:r>
      <w:r w:rsidRPr="00B16ECB">
        <w:rPr>
          <w:rFonts w:ascii="Cambria" w:hAnsi="Cambria"/>
        </w:rPr>
        <w:br/>
        <w:t xml:space="preserve">(e) </w:t>
      </w:r>
      <w:r w:rsidRPr="00B16ECB">
        <w:rPr>
          <w:rFonts w:ascii="Cambria" w:hAnsi="Cambria"/>
          <w:b/>
          <w:bCs/>
        </w:rPr>
        <w:t>Articles of Association of NewCo</w:t>
      </w:r>
      <w:r w:rsidRPr="00B16ECB">
        <w:rPr>
          <w:rFonts w:ascii="Cambria" w:hAnsi="Cambria"/>
        </w:rPr>
        <w:t xml:space="preserve"> — incorporating the shareholder rights, Board composition, and Reserved Matters contemplated herein.</w:t>
      </w:r>
    </w:p>
    <w:p w14:paraId="673B3A24" w14:textId="3D5AEA30" w:rsidR="00B16ECB" w:rsidRPr="00B16ECB" w:rsidRDefault="00727116" w:rsidP="00B16ECB">
      <w:pPr>
        <w:jc w:val="both"/>
        <w:rPr>
          <w:rFonts w:ascii="Cambria" w:hAnsi="Cambria"/>
        </w:rPr>
      </w:pPr>
      <w:r w:rsidRPr="00727116">
        <w:rPr>
          <w:rFonts w:ascii="Cambria" w:hAnsi="Cambria"/>
        </w:rPr>
        <w:t>19</w:t>
      </w:r>
      <w:r w:rsidR="00B16ECB" w:rsidRPr="00B16ECB">
        <w:rPr>
          <w:rFonts w:ascii="Cambria" w:hAnsi="Cambria"/>
        </w:rPr>
        <w:t>.2 In the event of any conflict between this HoT and the Definitive Agreements, the Definitive Agreements shall prevail.</w:t>
      </w:r>
    </w:p>
    <w:p w14:paraId="66326645" w14:textId="37BC7062" w:rsidR="00B16ECB" w:rsidRPr="00B16ECB" w:rsidRDefault="00B16ECB" w:rsidP="00B16ECB">
      <w:pPr>
        <w:jc w:val="both"/>
        <w:rPr>
          <w:rFonts w:ascii="Cambria" w:hAnsi="Cambria"/>
        </w:rPr>
      </w:pPr>
    </w:p>
    <w:p w14:paraId="368A5430" w14:textId="38CFEEC6" w:rsidR="00B16ECB" w:rsidRPr="00B16ECB" w:rsidRDefault="00B16ECB" w:rsidP="00B16ECB">
      <w:pPr>
        <w:jc w:val="both"/>
        <w:rPr>
          <w:rFonts w:ascii="Cambria" w:hAnsi="Cambria"/>
          <w:b/>
          <w:bCs/>
        </w:rPr>
      </w:pPr>
      <w:r w:rsidRPr="00B16ECB">
        <w:rPr>
          <w:rFonts w:ascii="Cambria" w:hAnsi="Cambria"/>
          <w:b/>
          <w:bCs/>
        </w:rPr>
        <w:t>2</w:t>
      </w:r>
      <w:r w:rsidR="000A1F97">
        <w:rPr>
          <w:rFonts w:ascii="Cambria" w:hAnsi="Cambria"/>
          <w:b/>
          <w:bCs/>
        </w:rPr>
        <w:t>0</w:t>
      </w:r>
      <w:r w:rsidRPr="00B16ECB">
        <w:rPr>
          <w:rFonts w:ascii="Cambria" w:hAnsi="Cambria"/>
          <w:b/>
          <w:bCs/>
        </w:rPr>
        <w:t>. Variation and Waiver</w:t>
      </w:r>
    </w:p>
    <w:p w14:paraId="73CC7739" w14:textId="7A0A7DF5" w:rsidR="00B16ECB" w:rsidRPr="00B16ECB" w:rsidRDefault="00B16ECB" w:rsidP="00B16ECB">
      <w:pPr>
        <w:jc w:val="both"/>
        <w:rPr>
          <w:rFonts w:ascii="Cambria" w:hAnsi="Cambria"/>
        </w:rPr>
      </w:pPr>
      <w:r w:rsidRPr="00B16ECB">
        <w:rPr>
          <w:rFonts w:ascii="Cambria" w:hAnsi="Cambria"/>
        </w:rPr>
        <w:t>2</w:t>
      </w:r>
      <w:r w:rsidR="000A1F97">
        <w:rPr>
          <w:rFonts w:ascii="Cambria" w:hAnsi="Cambria"/>
        </w:rPr>
        <w:t>0</w:t>
      </w:r>
      <w:r w:rsidRPr="00B16ECB">
        <w:rPr>
          <w:rFonts w:ascii="Cambria" w:hAnsi="Cambria"/>
        </w:rPr>
        <w:t>.1 No variation to this HoT shall be effective unless made in writing and signed by both Parties.</w:t>
      </w:r>
    </w:p>
    <w:p w14:paraId="0606B1FB" w14:textId="317A1B80" w:rsidR="00B16ECB" w:rsidRPr="00B16ECB" w:rsidRDefault="00B16ECB" w:rsidP="00B16ECB">
      <w:pPr>
        <w:jc w:val="both"/>
        <w:rPr>
          <w:rFonts w:ascii="Cambria" w:hAnsi="Cambria"/>
        </w:rPr>
      </w:pPr>
      <w:r w:rsidRPr="00B16ECB">
        <w:rPr>
          <w:rFonts w:ascii="Cambria" w:hAnsi="Cambria"/>
        </w:rPr>
        <w:lastRenderedPageBreak/>
        <w:t>2</w:t>
      </w:r>
      <w:r w:rsidR="000A1F97">
        <w:rPr>
          <w:rFonts w:ascii="Cambria" w:hAnsi="Cambria"/>
        </w:rPr>
        <w:t>0</w:t>
      </w:r>
      <w:r w:rsidRPr="00B16ECB">
        <w:rPr>
          <w:rFonts w:ascii="Cambria" w:hAnsi="Cambria"/>
        </w:rPr>
        <w:t>.2 A waiver of any right under this HoT shall only be effective if given in writing and shall not be deemed a continuing waiver.</w:t>
      </w:r>
    </w:p>
    <w:p w14:paraId="49E6AFCB" w14:textId="5330420E" w:rsidR="00B16ECB" w:rsidRPr="00B16ECB" w:rsidRDefault="00B16ECB" w:rsidP="00B16ECB">
      <w:pPr>
        <w:jc w:val="both"/>
        <w:rPr>
          <w:rFonts w:ascii="Cambria" w:hAnsi="Cambria"/>
        </w:rPr>
      </w:pPr>
    </w:p>
    <w:p w14:paraId="31F2CEC5" w14:textId="5A64BA28" w:rsidR="00B16ECB" w:rsidRPr="00B16ECB" w:rsidRDefault="00B16ECB" w:rsidP="00B16ECB">
      <w:pPr>
        <w:jc w:val="both"/>
        <w:rPr>
          <w:rFonts w:ascii="Cambria" w:hAnsi="Cambria"/>
          <w:b/>
          <w:bCs/>
        </w:rPr>
      </w:pPr>
      <w:r w:rsidRPr="00B16ECB">
        <w:rPr>
          <w:rFonts w:ascii="Cambria" w:hAnsi="Cambria"/>
          <w:b/>
          <w:bCs/>
        </w:rPr>
        <w:t>2</w:t>
      </w:r>
      <w:r w:rsidR="000A1F97">
        <w:rPr>
          <w:rFonts w:ascii="Cambria" w:hAnsi="Cambria"/>
          <w:b/>
          <w:bCs/>
        </w:rPr>
        <w:t>1</w:t>
      </w:r>
      <w:r w:rsidRPr="00B16ECB">
        <w:rPr>
          <w:rFonts w:ascii="Cambria" w:hAnsi="Cambria"/>
          <w:b/>
          <w:bCs/>
        </w:rPr>
        <w:t>. Entire Understanding</w:t>
      </w:r>
    </w:p>
    <w:p w14:paraId="4AF3351B" w14:textId="5AA20237" w:rsidR="00B16ECB" w:rsidRPr="00B16ECB" w:rsidRDefault="00B16ECB" w:rsidP="00B16ECB">
      <w:pPr>
        <w:jc w:val="both"/>
        <w:rPr>
          <w:rFonts w:ascii="Cambria" w:hAnsi="Cambria"/>
        </w:rPr>
      </w:pPr>
      <w:r w:rsidRPr="00B16ECB">
        <w:rPr>
          <w:rFonts w:ascii="Cambria" w:hAnsi="Cambria"/>
        </w:rPr>
        <w:t>2</w:t>
      </w:r>
      <w:r w:rsidR="000A1F97">
        <w:rPr>
          <w:rFonts w:ascii="Cambria" w:hAnsi="Cambria"/>
        </w:rPr>
        <w:t>1</w:t>
      </w:r>
      <w:r w:rsidRPr="00B16ECB">
        <w:rPr>
          <w:rFonts w:ascii="Cambria" w:hAnsi="Cambria"/>
        </w:rPr>
        <w:t>.1 This HoT represents the entire understanding of the Parties with respect to its subject matter as at the date hereof, and supersedes all prior discussions, correspondence, and representations relating thereto.</w:t>
      </w:r>
    </w:p>
    <w:p w14:paraId="6F4928F8" w14:textId="7D6306D9" w:rsidR="00B16ECB" w:rsidRPr="00B16ECB" w:rsidRDefault="00B16ECB" w:rsidP="00B16ECB">
      <w:pPr>
        <w:jc w:val="both"/>
        <w:rPr>
          <w:rFonts w:ascii="Cambria" w:hAnsi="Cambria"/>
        </w:rPr>
      </w:pPr>
    </w:p>
    <w:p w14:paraId="64B59BF7" w14:textId="77777777" w:rsidR="00B16ECB" w:rsidRPr="00B16ECB" w:rsidRDefault="00B16ECB" w:rsidP="00B16ECB">
      <w:pPr>
        <w:jc w:val="both"/>
        <w:rPr>
          <w:rFonts w:ascii="Cambria" w:hAnsi="Cambria"/>
          <w:b/>
          <w:bCs/>
        </w:rPr>
      </w:pPr>
      <w:r w:rsidRPr="00B16ECB">
        <w:rPr>
          <w:rFonts w:ascii="Cambria" w:hAnsi="Cambria"/>
          <w:b/>
          <w:bCs/>
        </w:rPr>
        <w:t>EXECUTION</w:t>
      </w:r>
    </w:p>
    <w:p w14:paraId="262D45E6" w14:textId="77777777" w:rsidR="00B16ECB" w:rsidRPr="00B16ECB" w:rsidRDefault="00B16ECB" w:rsidP="00B16ECB">
      <w:pPr>
        <w:jc w:val="both"/>
        <w:rPr>
          <w:rFonts w:ascii="Cambria" w:hAnsi="Cambria"/>
        </w:rPr>
      </w:pPr>
      <w:r w:rsidRPr="00B16ECB">
        <w:rPr>
          <w:rFonts w:ascii="Cambria" w:hAnsi="Cambria"/>
        </w:rPr>
        <w:t>The Parties have indicated their agreement to the above terms by signing below:</w:t>
      </w:r>
    </w:p>
    <w:p w14:paraId="31DF4300" w14:textId="77777777" w:rsidR="00B16ECB" w:rsidRPr="00B16ECB" w:rsidRDefault="00B16ECB" w:rsidP="00B16ECB">
      <w:pPr>
        <w:rPr>
          <w:rFonts w:ascii="Cambria" w:hAnsi="Cambria"/>
        </w:rPr>
      </w:pPr>
      <w:r w:rsidRPr="00B16ECB">
        <w:rPr>
          <w:rFonts w:ascii="Cambria" w:hAnsi="Cambria"/>
          <w:b/>
          <w:bCs/>
        </w:rPr>
        <w:t>For and on behalf of NJENGA &amp; CO. ASSOCIATES</w:t>
      </w:r>
      <w:r w:rsidRPr="00B16ECB">
        <w:rPr>
          <w:rFonts w:ascii="Cambria" w:hAnsi="Cambria"/>
        </w:rPr>
        <w:br/>
        <w:t>Signed: ___________________________</w:t>
      </w:r>
      <w:r w:rsidRPr="00B16ECB">
        <w:rPr>
          <w:rFonts w:ascii="Cambria" w:hAnsi="Cambria"/>
        </w:rPr>
        <w:br/>
        <w:t>Name: Marion Njenga</w:t>
      </w:r>
      <w:r w:rsidRPr="00B16ECB">
        <w:rPr>
          <w:rFonts w:ascii="Cambria" w:hAnsi="Cambria"/>
        </w:rPr>
        <w:br/>
        <w:t>Title: Managing Partner</w:t>
      </w:r>
      <w:r w:rsidRPr="00B16ECB">
        <w:rPr>
          <w:rFonts w:ascii="Cambria" w:hAnsi="Cambria"/>
        </w:rPr>
        <w:br/>
        <w:t>Date: ___________________________</w:t>
      </w:r>
    </w:p>
    <w:p w14:paraId="5D1A248D" w14:textId="77777777" w:rsidR="00B16ECB" w:rsidRPr="00B16ECB" w:rsidRDefault="00B16ECB" w:rsidP="00B16ECB">
      <w:pPr>
        <w:rPr>
          <w:rFonts w:ascii="Cambria" w:hAnsi="Cambria"/>
        </w:rPr>
      </w:pPr>
      <w:r w:rsidRPr="00B16ECB">
        <w:rPr>
          <w:rFonts w:ascii="Cambria" w:hAnsi="Cambria"/>
          <w:b/>
          <w:bCs/>
        </w:rPr>
        <w:t>THE DEVELOPER</w:t>
      </w:r>
      <w:r w:rsidRPr="00B16ECB">
        <w:rPr>
          <w:rFonts w:ascii="Cambria" w:hAnsi="Cambria"/>
        </w:rPr>
        <w:br/>
        <w:t>Signed: ___________________________</w:t>
      </w:r>
      <w:r w:rsidRPr="00B16ECB">
        <w:rPr>
          <w:rFonts w:ascii="Cambria" w:hAnsi="Cambria"/>
        </w:rPr>
        <w:br/>
        <w:t>Name: Eugene Masaka</w:t>
      </w:r>
      <w:r w:rsidRPr="00B16ECB">
        <w:rPr>
          <w:rFonts w:ascii="Cambria" w:hAnsi="Cambria"/>
        </w:rPr>
        <w:br/>
        <w:t>National ID No.: ___________________________</w:t>
      </w:r>
      <w:r w:rsidRPr="00B16ECB">
        <w:rPr>
          <w:rFonts w:ascii="Cambria" w:hAnsi="Cambria"/>
        </w:rPr>
        <w:br/>
        <w:t>Date: ___________________________</w:t>
      </w:r>
    </w:p>
    <w:p w14:paraId="5070CDCE" w14:textId="77777777" w:rsidR="00CA7C09" w:rsidRPr="006A3869" w:rsidRDefault="00CA7C09" w:rsidP="00B16ECB">
      <w:pPr>
        <w:rPr>
          <w:rFonts w:ascii="Cambria" w:hAnsi="Cambria"/>
        </w:rPr>
      </w:pPr>
    </w:p>
    <w:sectPr w:rsidR="00CA7C09" w:rsidRPr="006A3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F2D"/>
    <w:multiLevelType w:val="hybridMultilevel"/>
    <w:tmpl w:val="91A6F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B3D39"/>
    <w:multiLevelType w:val="multilevel"/>
    <w:tmpl w:val="0D5E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C5A32"/>
    <w:multiLevelType w:val="multilevel"/>
    <w:tmpl w:val="F6E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63D29"/>
    <w:multiLevelType w:val="multilevel"/>
    <w:tmpl w:val="0B3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331F5"/>
    <w:multiLevelType w:val="hybridMultilevel"/>
    <w:tmpl w:val="74D0C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476163">
    <w:abstractNumId w:val="2"/>
  </w:num>
  <w:num w:numId="2" w16cid:durableId="1546916236">
    <w:abstractNumId w:val="1"/>
  </w:num>
  <w:num w:numId="3" w16cid:durableId="1764305310">
    <w:abstractNumId w:val="3"/>
  </w:num>
  <w:num w:numId="4" w16cid:durableId="97138717">
    <w:abstractNumId w:val="4"/>
  </w:num>
  <w:num w:numId="5" w16cid:durableId="1475023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C09"/>
    <w:rsid w:val="00040CF7"/>
    <w:rsid w:val="000A1F97"/>
    <w:rsid w:val="005522A3"/>
    <w:rsid w:val="005D6C2F"/>
    <w:rsid w:val="006522A1"/>
    <w:rsid w:val="00695A5E"/>
    <w:rsid w:val="006A3869"/>
    <w:rsid w:val="00727116"/>
    <w:rsid w:val="00747B64"/>
    <w:rsid w:val="007E2E9D"/>
    <w:rsid w:val="007F5F75"/>
    <w:rsid w:val="00975A70"/>
    <w:rsid w:val="00B16ECB"/>
    <w:rsid w:val="00CA7C09"/>
    <w:rsid w:val="00CC7004"/>
    <w:rsid w:val="00FB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F111"/>
  <w15:chartTrackingRefBased/>
  <w15:docId w15:val="{52B0652D-7C19-40D5-80C9-EB7E01DC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C09"/>
    <w:rPr>
      <w:rFonts w:eastAsiaTheme="majorEastAsia" w:cstheme="majorBidi"/>
      <w:color w:val="272727" w:themeColor="text1" w:themeTint="D8"/>
    </w:rPr>
  </w:style>
  <w:style w:type="paragraph" w:styleId="Title">
    <w:name w:val="Title"/>
    <w:basedOn w:val="Normal"/>
    <w:next w:val="Normal"/>
    <w:link w:val="TitleChar"/>
    <w:uiPriority w:val="10"/>
    <w:qFormat/>
    <w:rsid w:val="00CA7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C09"/>
    <w:pPr>
      <w:spacing w:before="160"/>
      <w:jc w:val="center"/>
    </w:pPr>
    <w:rPr>
      <w:i/>
      <w:iCs/>
      <w:color w:val="404040" w:themeColor="text1" w:themeTint="BF"/>
    </w:rPr>
  </w:style>
  <w:style w:type="character" w:customStyle="1" w:styleId="QuoteChar">
    <w:name w:val="Quote Char"/>
    <w:basedOn w:val="DefaultParagraphFont"/>
    <w:link w:val="Quote"/>
    <w:uiPriority w:val="29"/>
    <w:rsid w:val="00CA7C09"/>
    <w:rPr>
      <w:i/>
      <w:iCs/>
      <w:color w:val="404040" w:themeColor="text1" w:themeTint="BF"/>
    </w:rPr>
  </w:style>
  <w:style w:type="paragraph" w:styleId="ListParagraph">
    <w:name w:val="List Paragraph"/>
    <w:basedOn w:val="Normal"/>
    <w:uiPriority w:val="34"/>
    <w:qFormat/>
    <w:rsid w:val="00CA7C09"/>
    <w:pPr>
      <w:ind w:left="720"/>
      <w:contextualSpacing/>
    </w:pPr>
  </w:style>
  <w:style w:type="character" w:styleId="IntenseEmphasis">
    <w:name w:val="Intense Emphasis"/>
    <w:basedOn w:val="DefaultParagraphFont"/>
    <w:uiPriority w:val="21"/>
    <w:qFormat/>
    <w:rsid w:val="00CA7C09"/>
    <w:rPr>
      <w:i/>
      <w:iCs/>
      <w:color w:val="2F5496" w:themeColor="accent1" w:themeShade="BF"/>
    </w:rPr>
  </w:style>
  <w:style w:type="paragraph" w:styleId="IntenseQuote">
    <w:name w:val="Intense Quote"/>
    <w:basedOn w:val="Normal"/>
    <w:next w:val="Normal"/>
    <w:link w:val="IntenseQuoteChar"/>
    <w:uiPriority w:val="30"/>
    <w:qFormat/>
    <w:rsid w:val="00CA7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C09"/>
    <w:rPr>
      <w:i/>
      <w:iCs/>
      <w:color w:val="2F5496" w:themeColor="accent1" w:themeShade="BF"/>
    </w:rPr>
  </w:style>
  <w:style w:type="character" w:styleId="IntenseReference">
    <w:name w:val="Intense Reference"/>
    <w:basedOn w:val="DefaultParagraphFont"/>
    <w:uiPriority w:val="32"/>
    <w:qFormat/>
    <w:rsid w:val="00CA7C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2933</TotalTime>
  <Pages>1</Pages>
  <Words>3084</Words>
  <Characters>17580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2026-03-17T06:50:00Z</dcterms:created>
  <dcterms:modified xsi:type="dcterms:W3CDTF">2026-03-19T13:13:00Z</dcterms:modified>
</cp:coreProperties>
</file>