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pPr>
      <w:r>
        <w:rPr>
          <w:rFonts w:ascii="DM Sans" w:cs="DM Sans" w:eastAsia="DM Sans" w:hAnsi="DM Sans"/>
          <w:b/>
          <w:bCs/>
          <w:caps/>
          <w:color w:val="1A1A1A"/>
          <w:spacing w:val="100"/>
          <w:sz w:val="18"/>
          <w:szCs w:val="18"/>
        </w:rPr>
        <w:t xml:space="preserve">COMPANION DOCUMENT  ·  FOLLOW-UP ENGAGEMENT</w:t>
      </w:r>
    </w:p>
    <w:p>
      <w:pPr>
        <w:spacing w:after="80" w:before="120"/>
      </w:pPr>
      <w:r>
        <w:rPr>
          <w:rFonts w:ascii="DM Sans" w:cs="DM Sans" w:eastAsia="DM Sans" w:hAnsi="DM Sans"/>
          <w:color w:val="1A1A1A"/>
          <w:sz w:val="20"/>
          <w:szCs w:val="20"/>
        </w:rPr>
        <w:t xml:space="preserve">Prepared for SX Collective</w:t>
      </w:r>
    </w:p>
    <w:p>
      <w:pPr>
        <w:spacing w:after="60" w:before="0"/>
      </w:pPr>
      <w:r>
        <w:rPr>
          <w:rFonts w:ascii="Syne" w:cs="Syne" w:eastAsia="Syne" w:hAnsi="Syne"/>
          <w:b/>
          <w:bCs/>
          <w:color w:val="1A1A1A"/>
          <w:sz w:val="68"/>
          <w:szCs w:val="68"/>
        </w:rPr>
        <w:t xml:space="preserve">Retainer Proposal</w:t>
      </w:r>
    </w:p>
    <w:p>
      <w:pPr>
        <w:spacing w:after="0" w:before="120"/>
      </w:pPr>
      <w:r>
        <w:t xml:space="preserve"/>
      </w:r>
    </w:p>
    <w:p>
      <w:pPr>
        <w:spacing w:after="40" w:before="0"/>
      </w:pPr>
      <w:r>
        <w:rPr>
          <w:rFonts w:ascii="Syne" w:cs="Syne" w:eastAsia="Syne" w:hAnsi="Syne"/>
          <w:i/>
          <w:iCs/>
          <w:color w:val="1A1A1A"/>
          <w:sz w:val="26"/>
          <w:szCs w:val="26"/>
        </w:rPr>
        <w:t xml:space="preserve">Sustaining the initiatives set up during the 60-day project.</w:t>
      </w:r>
    </w:p>
    <w:p>
      <w:pPr>
        <w:spacing w:after="0" w:before="400"/>
      </w:pPr>
      <w:r>
        <w:t xml:space="preserve"/>
      </w:r>
    </w:p>
    <w:p>
      <w:pPr>
        <w:pBdr>
          <w:bottom w:val="single" w:color="C8C8C8" w:sz="4" w:space="1"/>
        </w:pBdr>
        <w:spacing w:after="80" w:before="80"/>
      </w:pPr>
      <w:r>
        <w:t xml:space="preserve"/>
      </w:r>
    </w:p>
    <w:p>
      <w:pPr>
        <w:tabs>
          <w:tab w:val="right" w:pos="9360"/>
        </w:tabs>
        <w:spacing w:after="80" w:before="200"/>
      </w:pPr>
      <w:r>
        <w:rPr>
          <w:rFonts w:ascii="DM Sans" w:cs="DM Sans" w:eastAsia="DM Sans" w:hAnsi="DM Sans"/>
          <w:color w:val="1A1A1A"/>
          <w:sz w:val="18"/>
          <w:szCs w:val="18"/>
        </w:rPr>
        <w:t xml:space="preserve">Companion to</w:t>
      </w:r>
      <w:r>
        <w:rPr>
          <w:rFonts w:ascii="DM Sans" w:cs="DM Sans" w:eastAsia="DM Sans" w:hAnsi="DM Sans"/>
          <w:b/>
          <w:bCs/>
          <w:color w:val="1A1A1A"/>
          <w:sz w:val="20"/>
          <w:szCs w:val="20"/>
        </w:rPr>
        <w:t xml:space="preserve">	SX Collective Proposal</w:t>
      </w:r>
    </w:p>
    <w:p>
      <w:pPr>
        <w:tabs>
          <w:tab w:val="right" w:pos="9360"/>
        </w:tabs>
        <w:spacing w:after="80" w:before="40"/>
      </w:pPr>
      <w:r>
        <w:rPr>
          <w:rFonts w:ascii="DM Sans" w:cs="DM Sans" w:eastAsia="DM Sans" w:hAnsi="DM Sans"/>
          <w:color w:val="1A1A1A"/>
          <w:sz w:val="18"/>
          <w:szCs w:val="18"/>
        </w:rPr>
        <w:t xml:space="preserve">Effective</w:t>
      </w:r>
      <w:r>
        <w:rPr>
          <w:rFonts w:ascii="DM Sans" w:cs="DM Sans" w:eastAsia="DM Sans" w:hAnsi="DM Sans"/>
          <w:b/>
          <w:bCs/>
          <w:color w:val="1A1A1A"/>
          <w:sz w:val="20"/>
          <w:szCs w:val="20"/>
        </w:rPr>
        <w:t xml:space="preserve">	Month following the final walk-through of the initial project</w:t>
      </w:r>
    </w:p>
    <w:p>
      <w:pPr>
        <w:tabs>
          <w:tab w:val="right" w:pos="9360"/>
        </w:tabs>
        <w:spacing w:after="80" w:before="40"/>
      </w:pPr>
      <w:r>
        <w:rPr>
          <w:rFonts w:ascii="DM Sans" w:cs="DM Sans" w:eastAsia="DM Sans" w:hAnsi="DM Sans"/>
          <w:color w:val="1A1A1A"/>
          <w:sz w:val="18"/>
          <w:szCs w:val="18"/>
        </w:rPr>
        <w:t xml:space="preserve">Finalized</w:t>
      </w:r>
      <w:r>
        <w:rPr>
          <w:rFonts w:ascii="DM Sans" w:cs="DM Sans" w:eastAsia="DM Sans" w:hAnsi="DM Sans"/>
          <w:b/>
          <w:bCs/>
          <w:color w:val="1A1A1A"/>
          <w:sz w:val="20"/>
          <w:szCs w:val="20"/>
        </w:rPr>
        <w:t xml:space="preserve">	At the final walk-through, via a separate retainer engagement letter</w:t>
      </w:r>
    </w:p>
    <w:p>
      <w:r>
        <w:br w:type="page"/>
      </w:r>
    </w:p>
    <w:p>
      <w:pPr>
        <w:spacing w:after="80" w:before="240"/>
      </w:pPr>
      <w:r>
        <w:rPr>
          <w:rFonts w:ascii="DM Sans" w:cs="DM Sans" w:eastAsia="DM Sans" w:hAnsi="DM Sans"/>
          <w:b/>
          <w:bCs/>
          <w:caps/>
          <w:color w:val="1A1A1A"/>
          <w:spacing w:val="80"/>
          <w:sz w:val="16"/>
          <w:szCs w:val="16"/>
        </w:rPr>
        <w:t xml:space="preserve">01 · Context</w:t>
      </w:r>
    </w:p>
    <w:p>
      <w:pPr>
        <w:spacing w:after="240" w:before="120"/>
      </w:pPr>
      <w:r>
        <w:rPr>
          <w:rFonts w:ascii="Syne" w:cs="Syne" w:eastAsia="Syne" w:hAnsi="Syne"/>
          <w:b/>
          <w:bCs/>
          <w:color w:val="1A1A1A"/>
          <w:sz w:val="56"/>
          <w:szCs w:val="56"/>
        </w:rPr>
        <w:t xml:space="preserve">Why a retainer.</w:t>
      </w:r>
    </w:p>
    <w:p>
      <w:pPr>
        <w:spacing w:after="120" w:before="60" w:line="300"/>
        <w:jc w:val="left"/>
      </w:pPr>
      <w:r>
        <w:rPr>
          <w:rFonts w:ascii="DM Sans" w:cs="DM Sans" w:eastAsia="DM Sans" w:hAnsi="DM Sans"/>
          <w:b w:val="false"/>
          <w:bCs w:val="false"/>
          <w:i w:val="false"/>
          <w:iCs w:val="false"/>
          <w:color w:val="1A1A1A"/>
          <w:sz w:val="20"/>
          <w:szCs w:val="20"/>
        </w:rPr>
        <w:t xml:space="preserve">The initial 60-day engagement does the heavy lifting. It sets up the assortment framework, codifies the retail concept, and wires together the marketing-to-assortment playbook. Once that foundation is in, the work shifts from building new frameworks to operating them: running the seasonal buying cadence against the plan, keeping the brand roster calibrated as the business evolves, adjusting for what the data shows, and protecting the strategy from drift as SX Collective scales.</w:t>
      </w:r>
    </w:p>
    <w:p>
      <w:pPr>
        <w:spacing w:after="80" w:before="60" w:line="300"/>
        <w:jc w:val="left"/>
      </w:pPr>
      <w:r>
        <w:rPr>
          <w:rFonts w:ascii="DM Sans" w:cs="DM Sans" w:eastAsia="DM Sans" w:hAnsi="DM Sans"/>
          <w:b w:val="false"/>
          <w:bCs w:val="false"/>
          <w:i w:val="false"/>
          <w:iCs w:val="false"/>
          <w:color w:val="1A1A1A"/>
          <w:sz w:val="20"/>
          <w:szCs w:val="20"/>
        </w:rPr>
        <w:t xml:space="preserve">A monthly retainer is the right shape for this follow-on phase because:</w:t>
      </w:r>
    </w:p>
    <w:p>
      <w:pPr>
        <w:pStyle w:val="ListParagraph"/>
        <w:numPr>
          <w:ilvl w:val="0"/>
          <w:numId w:val="2"/>
        </w:numPr>
        <w:spacing w:after="30" w:before="30" w:line="280"/>
      </w:pPr>
      <w:r>
        <w:rPr>
          <w:rFonts w:ascii="DM Sans" w:cs="DM Sans" w:eastAsia="DM Sans" w:hAnsi="DM Sans"/>
          <w:color w:val="1A1A1A"/>
          <w:sz w:val="20"/>
          <w:szCs w:val="20"/>
        </w:rPr>
        <w:t xml:space="preserve">The work is ongoing, not project-shaped. New one-off projects create overhead every time; a retainer provides continuity and removes the scope-negotiation tax on every question.</w:t>
      </w:r>
    </w:p>
    <w:p>
      <w:pPr>
        <w:pStyle w:val="ListParagraph"/>
        <w:numPr>
          <w:ilvl w:val="0"/>
          <w:numId w:val="2"/>
        </w:numPr>
        <w:spacing w:after="30" w:before="30" w:line="280"/>
      </w:pPr>
      <w:r>
        <w:rPr>
          <w:rFonts w:ascii="DM Sans" w:cs="DM Sans" w:eastAsia="DM Sans" w:hAnsi="DM Sans"/>
          <w:color w:val="1A1A1A"/>
          <w:sz w:val="20"/>
          <w:szCs w:val="20"/>
        </w:rPr>
        <w:t xml:space="preserve">Context builds up over time. Every month on retainer deepens my understanding of the business, which makes each recommendation sharper than the last. The context built up during the initial project carries forward instead of resetting.</w:t>
      </w:r>
    </w:p>
    <w:p>
      <w:pPr>
        <w:pStyle w:val="ListParagraph"/>
        <w:numPr>
          <w:ilvl w:val="0"/>
          <w:numId w:val="2"/>
        </w:numPr>
        <w:spacing w:after="30" w:before="30" w:line="280"/>
      </w:pPr>
      <w:r>
        <w:rPr>
          <w:rFonts w:ascii="DM Sans" w:cs="DM Sans" w:eastAsia="DM Sans" w:hAnsi="DM Sans"/>
          <w:color w:val="1A1A1A"/>
          <w:sz w:val="20"/>
          <w:szCs w:val="20"/>
        </w:rPr>
        <w:t xml:space="preserve">It matches the rhythm of retail. Buying cycles, seasonal transitions, vendor negotiations, and quarterly planning all operate on monthly cadences. A retainer syncs to that rhythm.</w:t>
      </w:r>
    </w:p>
    <w:p>
      <w:pPr>
        <w:spacing w:after="0" w:before="160"/>
      </w:pPr>
      <w:r>
        <w:t xml:space="preserve"/>
      </w:r>
    </w:p>
    <w:p>
      <w:pPr>
        <w:pBdr>
          <w:left w:val="single" w:color="1A1A1A" w:sz="18" w:space="16"/>
        </w:pBdr>
        <w:spacing w:after="200" w:before="200" w:line="320"/>
        <w:ind w:left="240"/>
      </w:pPr>
      <w:r>
        <w:rPr>
          <w:rFonts w:ascii="Syne" w:cs="Syne" w:eastAsia="Syne" w:hAnsi="Syne"/>
          <w:i/>
          <w:iCs/>
          <w:color w:val="1A1A1A"/>
          <w:sz w:val="24"/>
          <w:szCs w:val="24"/>
        </w:rPr>
        <w:t xml:space="preserve">The retainer is sized and priced based on what the initiatives actually call for once the initial project is complete, not on a guess up front.</w:t>
      </w:r>
    </w:p>
    <w:p>
      <w:pPr>
        <w:spacing w:after="80" w:before="240"/>
      </w:pPr>
      <w:r>
        <w:rPr>
          <w:rFonts w:ascii="DM Sans" w:cs="DM Sans" w:eastAsia="DM Sans" w:hAnsi="DM Sans"/>
          <w:b/>
          <w:bCs/>
          <w:caps/>
          <w:color w:val="1A1A1A"/>
          <w:spacing w:val="80"/>
          <w:sz w:val="16"/>
          <w:szCs w:val="16"/>
        </w:rPr>
        <w:t xml:space="preserve">02 · Retainer Shapes</w:t>
      </w:r>
    </w:p>
    <w:p>
      <w:pPr>
        <w:spacing w:after="240" w:before="120"/>
      </w:pPr>
      <w:r>
        <w:rPr>
          <w:rFonts w:ascii="Syne" w:cs="Syne" w:eastAsia="Syne" w:hAnsi="Syne"/>
          <w:b/>
          <w:bCs/>
          <w:color w:val="1A1A1A"/>
          <w:sz w:val="56"/>
          <w:szCs w:val="56"/>
        </w:rPr>
        <w:t xml:space="preserve">Three ways to continue.</w:t>
      </w:r>
    </w:p>
    <w:p>
      <w:pPr>
        <w:spacing w:after="160" w:before="60" w:line="300"/>
        <w:jc w:val="left"/>
      </w:pPr>
      <w:r>
        <w:rPr>
          <w:rFonts w:ascii="DM Sans" w:cs="DM Sans" w:eastAsia="DM Sans" w:hAnsi="DM Sans"/>
          <w:b w:val="false"/>
          <w:bCs w:val="false"/>
          <w:i w:val="false"/>
          <w:iCs w:val="false"/>
          <w:color w:val="1A1A1A"/>
          <w:sz w:val="20"/>
          <w:szCs w:val="20"/>
        </w:rPr>
        <w:t xml:space="preserve">Scaled by monthly hours and designed to match the level of ongoing involvement the work requires. The recommended shape is agreed together at the final walk-through of the initial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20"/>
                <w:szCs w:val="20"/>
              </w:rPr>
              <w:t xml:space="preserve">Retainer 01</w:t>
            </w:r>
          </w:p>
        </w:tc>
        <w:tc>
          <w:tcPr>
            <w:tcW w:type="dxa" w:w="312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20"/>
                <w:szCs w:val="20"/>
              </w:rPr>
              <w:t xml:space="preserve">Retainer 02</w:t>
            </w:r>
          </w:p>
          <w:p>
            <w:pPr>
              <w:spacing w:after="20" w:before="20"/>
            </w:pPr>
            <w:r>
              <w:rPr>
                <w:rFonts w:ascii="DM Sans" w:cs="DM Sans" w:eastAsia="DM Sans" w:hAnsi="DM Sans"/>
                <w:i/>
                <w:iCs/>
                <w:color w:val="FFFFFF"/>
                <w:sz w:val="14"/>
                <w:szCs w:val="14"/>
              </w:rPr>
              <w:t xml:space="preserve">Recommended for continuation</w:t>
            </w:r>
          </w:p>
        </w:tc>
        <w:tc>
          <w:tcPr>
            <w:tcW w:type="dxa" w:w="312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20"/>
                <w:szCs w:val="20"/>
              </w:rPr>
              <w:t xml:space="preserve">Retainer 03</w:t>
            </w:r>
          </w:p>
        </w:tc>
      </w:tr>
      <w:tr>
        <w:tc>
          <w:tcPr>
            <w:tcW w:type="dxa" w:w="312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60" w:before="60"/>
            </w:pPr>
            <w:r>
              <w:rPr>
                <w:rFonts w:ascii="Syne" w:cs="Syne" w:eastAsia="Syne" w:hAnsi="Syne"/>
                <w:b/>
                <w:bCs/>
                <w:color w:val="1A1A1A"/>
                <w:sz w:val="22"/>
                <w:szCs w:val="22"/>
              </w:rPr>
              <w:t xml:space="preserve">Maintenance &amp; Advisory</w:t>
            </w:r>
          </w:p>
        </w:tc>
        <w:tc>
          <w:tcPr>
            <w:tcW w:type="dxa" w:w="3120"/>
            <w:tcBorders>
              <w:top w:val="single" w:color="C8C8C8" w:sz="4"/>
              <w:left w:val="single" w:color="C8C8C8" w:sz="4"/>
              <w:bottom w:val="single" w:color="C8C8C8" w:sz="4"/>
              <w:right w:val="single" w:color="C8C8C8" w:sz="4"/>
            </w:tcBorders>
            <w:shd w:fill="D8D8D8" w:color="auto" w:val="clear"/>
            <w:tcMar>
              <w:top w:type="dxa" w:w="140"/>
              <w:left w:type="dxa" w:w="160"/>
              <w:bottom w:type="dxa" w:w="140"/>
              <w:right w:type="dxa" w:w="160"/>
            </w:tcMar>
            <w:vAlign w:val="top"/>
          </w:tcPr>
          <w:p>
            <w:pPr>
              <w:spacing w:after="60" w:before="60"/>
            </w:pPr>
            <w:r>
              <w:rPr>
                <w:rFonts w:ascii="Syne" w:cs="Syne" w:eastAsia="Syne" w:hAnsi="Syne"/>
                <w:b/>
                <w:bCs/>
                <w:color w:val="1A1A1A"/>
                <w:sz w:val="22"/>
                <w:szCs w:val="22"/>
              </w:rPr>
              <w:t xml:space="preserve">Active Partner</w:t>
            </w:r>
          </w:p>
        </w:tc>
        <w:tc>
          <w:tcPr>
            <w:tcW w:type="dxa" w:w="312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60" w:before="60"/>
            </w:pPr>
            <w:r>
              <w:rPr>
                <w:rFonts w:ascii="Syne" w:cs="Syne" w:eastAsia="Syne" w:hAnsi="Syne"/>
                <w:b/>
                <w:bCs/>
                <w:color w:val="1A1A1A"/>
                <w:sz w:val="22"/>
                <w:szCs w:val="22"/>
              </w:rPr>
              <w:t xml:space="preserve">Embedded Operator</w:t>
            </w:r>
          </w:p>
        </w:tc>
      </w:tr>
      <w:tr>
        <w:tc>
          <w:tcPr>
            <w:tcW w:type="dxa" w:w="312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10" w:before="40"/>
            </w:pPr>
            <w:r>
              <w:rPr>
                <w:rFonts w:ascii="DM Sans" w:cs="DM Sans" w:eastAsia="DM Sans" w:hAnsi="DM Sans"/>
                <w:b/>
                <w:bCs/>
                <w:caps/>
                <w:color w:val="1A1A1A"/>
                <w:spacing w:val="60"/>
                <w:sz w:val="14"/>
                <w:szCs w:val="14"/>
              </w:rPr>
              <w:t xml:space="preserve">Monthly hours included</w:t>
            </w:r>
          </w:p>
          <w:p>
            <w:pPr>
              <w:spacing w:after="40" w:before="10" w:line="260"/>
            </w:pPr>
            <w:r>
              <w:rPr>
                <w:rFonts w:ascii="DM Sans" w:cs="DM Sans" w:eastAsia="DM Sans" w:hAnsi="DM Sans"/>
                <w:b/>
                <w:bCs/>
                <w:color w:val="1A1A1A"/>
                <w:sz w:val="18"/>
                <w:szCs w:val="18"/>
              </w:rPr>
              <w:t xml:space="preserve">15 to 25 hours</w:t>
            </w:r>
          </w:p>
        </w:tc>
        <w:tc>
          <w:tcPr>
            <w:tcW w:type="dxa" w:w="3120"/>
            <w:tcBorders>
              <w:top w:val="single" w:color="C8C8C8" w:sz="4"/>
              <w:left w:val="single" w:color="C8C8C8" w:sz="4"/>
              <w:bottom w:val="single" w:color="C8C8C8" w:sz="4"/>
              <w:right w:val="single" w:color="C8C8C8" w:sz="4"/>
            </w:tcBorders>
            <w:shd w:fill="D8D8D8" w:color="auto" w:val="clear"/>
            <w:tcMar>
              <w:top w:type="dxa" w:w="140"/>
              <w:left w:type="dxa" w:w="160"/>
              <w:bottom w:type="dxa" w:w="140"/>
              <w:right w:type="dxa" w:w="160"/>
            </w:tcMar>
            <w:vAlign w:val="top"/>
          </w:tcPr>
          <w:p>
            <w:pPr>
              <w:spacing w:after="10" w:before="40"/>
            </w:pPr>
            <w:r>
              <w:rPr>
                <w:rFonts w:ascii="DM Sans" w:cs="DM Sans" w:eastAsia="DM Sans" w:hAnsi="DM Sans"/>
                <w:b/>
                <w:bCs/>
                <w:caps/>
                <w:color w:val="1A1A1A"/>
                <w:spacing w:val="60"/>
                <w:sz w:val="14"/>
                <w:szCs w:val="14"/>
              </w:rPr>
              <w:t xml:space="preserve">Monthly hours included</w:t>
            </w:r>
          </w:p>
          <w:p>
            <w:pPr>
              <w:spacing w:after="40" w:before="10" w:line="260"/>
            </w:pPr>
            <w:r>
              <w:rPr>
                <w:rFonts w:ascii="DM Sans" w:cs="DM Sans" w:eastAsia="DM Sans" w:hAnsi="DM Sans"/>
                <w:b/>
                <w:bCs/>
                <w:color w:val="1A1A1A"/>
                <w:sz w:val="18"/>
                <w:szCs w:val="18"/>
              </w:rPr>
              <w:t xml:space="preserve">30 to 45 hours</w:t>
            </w:r>
          </w:p>
        </w:tc>
        <w:tc>
          <w:tcPr>
            <w:tcW w:type="dxa" w:w="312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10" w:before="40"/>
            </w:pPr>
            <w:r>
              <w:rPr>
                <w:rFonts w:ascii="DM Sans" w:cs="DM Sans" w:eastAsia="DM Sans" w:hAnsi="DM Sans"/>
                <w:b/>
                <w:bCs/>
                <w:caps/>
                <w:color w:val="1A1A1A"/>
                <w:spacing w:val="60"/>
                <w:sz w:val="14"/>
                <w:szCs w:val="14"/>
              </w:rPr>
              <w:t xml:space="preserve">Monthly hours included</w:t>
            </w:r>
          </w:p>
          <w:p>
            <w:pPr>
              <w:spacing w:after="40" w:before="10" w:line="260"/>
            </w:pPr>
            <w:r>
              <w:rPr>
                <w:rFonts w:ascii="DM Sans" w:cs="DM Sans" w:eastAsia="DM Sans" w:hAnsi="DM Sans"/>
                <w:b/>
                <w:bCs/>
                <w:color w:val="1A1A1A"/>
                <w:sz w:val="18"/>
                <w:szCs w:val="18"/>
              </w:rPr>
              <w:t xml:space="preserve">55 to 75 hours</w:t>
            </w:r>
          </w:p>
        </w:tc>
      </w:tr>
      <w:tr>
        <w:tc>
          <w:tcPr>
            <w:tcW w:type="dxa" w:w="312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10" w:before="40"/>
            </w:pPr>
            <w:r>
              <w:rPr>
                <w:rFonts w:ascii="DM Sans" w:cs="DM Sans" w:eastAsia="DM Sans" w:hAnsi="DM Sans"/>
                <w:b/>
                <w:bCs/>
                <w:caps/>
                <w:color w:val="1A1A1A"/>
                <w:spacing w:val="60"/>
                <w:sz w:val="14"/>
                <w:szCs w:val="14"/>
              </w:rPr>
              <w:t xml:space="preserve">Overage rate</w:t>
            </w:r>
          </w:p>
          <w:p>
            <w:pPr>
              <w:spacing w:after="40" w:before="10" w:line="260"/>
            </w:pPr>
            <w:r>
              <w:rPr>
                <w:rFonts w:ascii="DM Sans" w:cs="DM Sans" w:eastAsia="DM Sans" w:hAnsi="DM Sans"/>
                <w:b w:val="false"/>
                <w:bCs w:val="false"/>
                <w:color w:val="1A1A1A"/>
                <w:sz w:val="18"/>
                <w:szCs w:val="18"/>
              </w:rPr>
              <w:t xml:space="preserve">$275/hr beyond 25 hours</w:t>
            </w:r>
          </w:p>
        </w:tc>
        <w:tc>
          <w:tcPr>
            <w:tcW w:type="dxa" w:w="3120"/>
            <w:tcBorders>
              <w:top w:val="single" w:color="C8C8C8" w:sz="4"/>
              <w:left w:val="single" w:color="C8C8C8" w:sz="4"/>
              <w:bottom w:val="single" w:color="C8C8C8" w:sz="4"/>
              <w:right w:val="single" w:color="C8C8C8" w:sz="4"/>
            </w:tcBorders>
            <w:shd w:fill="D8D8D8" w:color="auto" w:val="clear"/>
            <w:tcMar>
              <w:top w:type="dxa" w:w="140"/>
              <w:left w:type="dxa" w:w="160"/>
              <w:bottom w:type="dxa" w:w="140"/>
              <w:right w:type="dxa" w:w="160"/>
            </w:tcMar>
            <w:vAlign w:val="top"/>
          </w:tcPr>
          <w:p>
            <w:pPr>
              <w:spacing w:after="10" w:before="40"/>
            </w:pPr>
            <w:r>
              <w:rPr>
                <w:rFonts w:ascii="DM Sans" w:cs="DM Sans" w:eastAsia="DM Sans" w:hAnsi="DM Sans"/>
                <w:b/>
                <w:bCs/>
                <w:caps/>
                <w:color w:val="1A1A1A"/>
                <w:spacing w:val="60"/>
                <w:sz w:val="14"/>
                <w:szCs w:val="14"/>
              </w:rPr>
              <w:t xml:space="preserve">Overage rate</w:t>
            </w:r>
          </w:p>
          <w:p>
            <w:pPr>
              <w:spacing w:after="40" w:before="10" w:line="260"/>
            </w:pPr>
            <w:r>
              <w:rPr>
                <w:rFonts w:ascii="DM Sans" w:cs="DM Sans" w:eastAsia="DM Sans" w:hAnsi="DM Sans"/>
                <w:b w:val="false"/>
                <w:bCs w:val="false"/>
                <w:color w:val="1A1A1A"/>
                <w:sz w:val="18"/>
                <w:szCs w:val="18"/>
              </w:rPr>
              <w:t xml:space="preserve">$260/hr beyond 45 hours</w:t>
            </w:r>
          </w:p>
        </w:tc>
        <w:tc>
          <w:tcPr>
            <w:tcW w:type="dxa" w:w="312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10" w:before="40"/>
            </w:pPr>
            <w:r>
              <w:rPr>
                <w:rFonts w:ascii="DM Sans" w:cs="DM Sans" w:eastAsia="DM Sans" w:hAnsi="DM Sans"/>
                <w:b/>
                <w:bCs/>
                <w:caps/>
                <w:color w:val="1A1A1A"/>
                <w:spacing w:val="60"/>
                <w:sz w:val="14"/>
                <w:szCs w:val="14"/>
              </w:rPr>
              <w:t xml:space="preserve">Overage rate</w:t>
            </w:r>
          </w:p>
          <w:p>
            <w:pPr>
              <w:spacing w:after="40" w:before="10" w:line="260"/>
            </w:pPr>
            <w:r>
              <w:rPr>
                <w:rFonts w:ascii="DM Sans" w:cs="DM Sans" w:eastAsia="DM Sans" w:hAnsi="DM Sans"/>
                <w:b w:val="false"/>
                <w:bCs w:val="false"/>
                <w:color w:val="1A1A1A"/>
                <w:sz w:val="18"/>
                <w:szCs w:val="18"/>
              </w:rPr>
              <w:t xml:space="preserve">$250/hr beyond 75 hours</w:t>
            </w:r>
          </w:p>
        </w:tc>
      </w:tr>
      <w:tr>
        <w:tc>
          <w:tcPr>
            <w:tcW w:type="dxa" w:w="312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10" w:before="40"/>
            </w:pPr>
            <w:r>
              <w:rPr>
                <w:rFonts w:ascii="DM Sans" w:cs="DM Sans" w:eastAsia="DM Sans" w:hAnsi="DM Sans"/>
                <w:b/>
                <w:bCs/>
                <w:caps/>
                <w:color w:val="1A1A1A"/>
                <w:spacing w:val="60"/>
                <w:sz w:val="14"/>
                <w:szCs w:val="14"/>
              </w:rPr>
              <w:t xml:space="preserve">Best for</w:t>
            </w:r>
          </w:p>
          <w:p>
            <w:pPr>
              <w:spacing w:after="40" w:before="10" w:line="260"/>
            </w:pPr>
            <w:r>
              <w:rPr>
                <w:rFonts w:ascii="DM Sans" w:cs="DM Sans" w:eastAsia="DM Sans" w:hAnsi="DM Sans"/>
                <w:b w:val="false"/>
                <w:bCs w:val="false"/>
                <w:color w:val="1A1A1A"/>
                <w:sz w:val="18"/>
                <w:szCs w:val="18"/>
              </w:rPr>
              <w:t xml:space="preserve">Light-touch monthly strategic check-ins, seasonal assortment reviews against the plan, founder advisor on key decisions. Keeps the plan alive without embedded involvement.</w:t>
            </w:r>
          </w:p>
        </w:tc>
        <w:tc>
          <w:tcPr>
            <w:tcW w:type="dxa" w:w="3120"/>
            <w:tcBorders>
              <w:top w:val="single" w:color="C8C8C8" w:sz="4"/>
              <w:left w:val="single" w:color="C8C8C8" w:sz="4"/>
              <w:bottom w:val="single" w:color="C8C8C8" w:sz="4"/>
              <w:right w:val="single" w:color="C8C8C8" w:sz="4"/>
            </w:tcBorders>
            <w:shd w:fill="D8D8D8" w:color="auto" w:val="clear"/>
            <w:tcMar>
              <w:top w:type="dxa" w:w="140"/>
              <w:left w:type="dxa" w:w="160"/>
              <w:bottom w:type="dxa" w:w="140"/>
              <w:right w:type="dxa" w:w="160"/>
            </w:tcMar>
            <w:vAlign w:val="top"/>
          </w:tcPr>
          <w:p>
            <w:pPr>
              <w:spacing w:after="10" w:before="40"/>
            </w:pPr>
            <w:r>
              <w:rPr>
                <w:rFonts w:ascii="DM Sans" w:cs="DM Sans" w:eastAsia="DM Sans" w:hAnsi="DM Sans"/>
                <w:b/>
                <w:bCs/>
                <w:caps/>
                <w:color w:val="1A1A1A"/>
                <w:spacing w:val="60"/>
                <w:sz w:val="14"/>
                <w:szCs w:val="14"/>
              </w:rPr>
              <w:t xml:space="preserve">Best for</w:t>
            </w:r>
          </w:p>
          <w:p>
            <w:pPr>
              <w:spacing w:after="40" w:before="10" w:line="260"/>
            </w:pPr>
            <w:r>
              <w:rPr>
                <w:rFonts w:ascii="DM Sans" w:cs="DM Sans" w:eastAsia="DM Sans" w:hAnsi="DM Sans"/>
                <w:b w:val="false"/>
                <w:bCs w:val="false"/>
                <w:color w:val="1A1A1A"/>
                <w:sz w:val="18"/>
                <w:szCs w:val="18"/>
              </w:rPr>
              <w:t xml:space="preserve">Active involvement in the seasonal buying cadence, ongoing assortment optimization, quarterly plan recalibration, and live decision support. Continues the work of the initial project at a sustainable monthly rhythm.</w:t>
            </w:r>
          </w:p>
        </w:tc>
        <w:tc>
          <w:tcPr>
            <w:tcW w:type="dxa" w:w="312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10" w:before="40"/>
            </w:pPr>
            <w:r>
              <w:rPr>
                <w:rFonts w:ascii="DM Sans" w:cs="DM Sans" w:eastAsia="DM Sans" w:hAnsi="DM Sans"/>
                <w:b/>
                <w:bCs/>
                <w:caps/>
                <w:color w:val="1A1A1A"/>
                <w:spacing w:val="60"/>
                <w:sz w:val="14"/>
                <w:szCs w:val="14"/>
              </w:rPr>
              <w:t xml:space="preserve">Best for</w:t>
            </w:r>
          </w:p>
          <w:p>
            <w:pPr>
              <w:spacing w:after="40" w:before="10" w:line="260"/>
            </w:pPr>
            <w:r>
              <w:rPr>
                <w:rFonts w:ascii="DM Sans" w:cs="DM Sans" w:eastAsia="DM Sans" w:hAnsi="DM Sans"/>
                <w:b w:val="false"/>
                <w:bCs w:val="false"/>
                <w:color w:val="1A1A1A"/>
                <w:sz w:val="18"/>
                <w:szCs w:val="18"/>
              </w:rPr>
              <w:t xml:space="preserve">Near-embedded ongoing involvement, leading assortment operations, driving vendor development, and executing across all three pillars alongside the team. The closest thing to an in-house buyer without the hire.</w:t>
            </w:r>
          </w:p>
        </w:tc>
      </w:tr>
    </w:tbl>
    <w:p>
      <w:pPr>
        <w:spacing w:after="0" w:before="160"/>
      </w:pPr>
      <w:r>
        <w:t xml:space="preserve"/>
      </w:r>
    </w:p>
    <w:p>
      <w:pPr>
        <w:spacing w:after="120" w:before="60" w:line="300"/>
        <w:jc w:val="left"/>
      </w:pPr>
      <w:r>
        <w:rPr>
          <w:rFonts w:ascii="DM Sans" w:cs="DM Sans" w:eastAsia="DM Sans" w:hAnsi="DM Sans"/>
          <w:b w:val="false"/>
          <w:bCs w:val="false"/>
          <w:i/>
          <w:iCs/>
          <w:color w:val="1A1A1A"/>
          <w:sz w:val="18"/>
          <w:szCs w:val="18"/>
        </w:rPr>
        <w:t xml:space="preserve">Higher retainer tiers carry a lower marginal overage rate as a built-in volume discount on additional work beyond the included monthly hours.</w:t>
      </w:r>
    </w:p>
    <w:p>
      <w:r>
        <w:br w:type="page"/>
      </w:r>
    </w:p>
    <w:p>
      <w:pPr>
        <w:spacing w:after="80" w:before="240"/>
      </w:pPr>
      <w:r>
        <w:rPr>
          <w:rFonts w:ascii="DM Sans" w:cs="DM Sans" w:eastAsia="DM Sans" w:hAnsi="DM Sans"/>
          <w:b/>
          <w:bCs/>
          <w:caps/>
          <w:color w:val="1A1A1A"/>
          <w:spacing w:val="80"/>
          <w:sz w:val="16"/>
          <w:szCs w:val="16"/>
        </w:rPr>
        <w:t xml:space="preserve">03 · How Hours Work</w:t>
      </w:r>
    </w:p>
    <w:p>
      <w:pPr>
        <w:spacing w:after="240" w:before="120"/>
      </w:pPr>
      <w:r>
        <w:rPr>
          <w:rFonts w:ascii="Syne" w:cs="Syne" w:eastAsia="Syne" w:hAnsi="Syne"/>
          <w:b/>
          <w:bCs/>
          <w:color w:val="1A1A1A"/>
          <w:sz w:val="56"/>
          <w:szCs w:val="56"/>
        </w:rPr>
        <w:t xml:space="preserve">The hours mechanics.</w:t>
      </w:r>
    </w:p>
    <w:p>
      <w:pPr>
        <w:spacing w:after="120" w:before="60" w:line="300"/>
        <w:jc w:val="left"/>
      </w:pPr>
      <w:r>
        <w:rPr>
          <w:rFonts w:ascii="DM Sans" w:cs="DM Sans" w:eastAsia="DM Sans" w:hAnsi="DM Sans"/>
          <w:b w:val="false"/>
          <w:bCs w:val="false"/>
          <w:i w:val="false"/>
          <w:iCs w:val="false"/>
          <w:color w:val="1A1A1A"/>
          <w:sz w:val="20"/>
          <w:szCs w:val="20"/>
        </w:rPr>
        <w:t xml:space="preserve">Straightforward and predictable, so neither party has to wonder what's being billed.</w:t>
      </w:r>
    </w:p>
    <w:p>
      <w:pPr>
        <w:pStyle w:val="ListParagraph"/>
        <w:numPr>
          <w:ilvl w:val="0"/>
          <w:numId w:val="2"/>
        </w:numPr>
        <w:spacing w:after="30" w:before="30" w:line="280"/>
      </w:pPr>
      <w:r>
        <w:rPr>
          <w:rFonts w:ascii="DM Sans" w:cs="DM Sans" w:eastAsia="DM Sans" w:hAnsi="DM Sans"/>
          <w:color w:val="1A1A1A"/>
          <w:sz w:val="20"/>
          <w:szCs w:val="20"/>
        </w:rPr>
        <w:t xml:space="preserve">Monthly hours are the range of hours included in the flat retainer fee. The range gives both parties a predictable band rather than a rigid number.</w:t>
      </w:r>
    </w:p>
    <w:p>
      <w:pPr>
        <w:pStyle w:val="ListParagraph"/>
        <w:numPr>
          <w:ilvl w:val="0"/>
          <w:numId w:val="2"/>
        </w:numPr>
        <w:spacing w:after="30" w:before="30" w:line="280"/>
      </w:pPr>
      <w:r>
        <w:rPr>
          <w:rFonts w:ascii="DM Sans" w:cs="DM Sans" w:eastAsia="DM Sans" w:hAnsi="DM Sans"/>
          <w:color w:val="1A1A1A"/>
          <w:sz w:val="20"/>
          <w:szCs w:val="20"/>
        </w:rPr>
        <w:t xml:space="preserve">Hours are measured at the project level, tracked internally, and available to the client upon request as a cumulative monthly total. Hours are not timestamped, not logged by day or week, and not reported on any recurring schedule.</w:t>
      </w:r>
    </w:p>
    <w:p>
      <w:pPr>
        <w:pStyle w:val="ListParagraph"/>
        <w:numPr>
          <w:ilvl w:val="0"/>
          <w:numId w:val="2"/>
        </w:numPr>
        <w:spacing w:after="30" w:before="30" w:line="280"/>
      </w:pPr>
      <w:r>
        <w:rPr>
          <w:rFonts w:ascii="DM Sans" w:cs="DM Sans" w:eastAsia="DM Sans" w:hAnsi="DM Sans"/>
          <w:color w:val="1A1A1A"/>
          <w:sz w:val="20"/>
          <w:szCs w:val="20"/>
        </w:rPr>
        <w:t xml:space="preserve">Hours reset at the start of each retainer month. Unused hours do not carry forward.</w:t>
      </w:r>
    </w:p>
    <w:p>
      <w:pPr>
        <w:pStyle w:val="ListParagraph"/>
        <w:numPr>
          <w:ilvl w:val="0"/>
          <w:numId w:val="2"/>
        </w:numPr>
        <w:spacing w:after="30" w:before="30" w:line="280"/>
      </w:pPr>
      <w:r>
        <w:rPr>
          <w:rFonts w:ascii="DM Sans" w:cs="DM Sans" w:eastAsia="DM Sans" w:hAnsi="DM Sans"/>
          <w:color w:val="1A1A1A"/>
          <w:sz w:val="20"/>
          <w:szCs w:val="20"/>
        </w:rPr>
        <w:t xml:space="preserve">Work exceeding the upper end of the monthly range is billed at the tier-specific overage rate, with written approval required before any overage hours are incurred.</w:t>
      </w:r>
    </w:p>
    <w:p>
      <w:pPr>
        <w:pStyle w:val="ListParagraph"/>
        <w:numPr>
          <w:ilvl w:val="0"/>
          <w:numId w:val="2"/>
        </w:numPr>
        <w:spacing w:after="30" w:before="30" w:line="280"/>
      </w:pPr>
      <w:r>
        <w:rPr>
          <w:rFonts w:ascii="DM Sans" w:cs="DM Sans" w:eastAsia="DM Sans" w:hAnsi="DM Sans"/>
          <w:color w:val="1A1A1A"/>
          <w:sz w:val="20"/>
          <w:szCs w:val="20"/>
        </w:rPr>
        <w:t xml:space="preserve">Overages are reconciled monthly and invoiced with the following month's retainer.</w:t>
      </w:r>
    </w:p>
    <w:p>
      <w:pPr>
        <w:pStyle w:val="ListParagraph"/>
        <w:numPr>
          <w:ilvl w:val="0"/>
          <w:numId w:val="2"/>
        </w:numPr>
        <w:spacing w:after="30" w:before="30" w:line="280"/>
      </w:pPr>
      <w:r>
        <w:rPr>
          <w:rFonts w:ascii="DM Sans" w:cs="DM Sans" w:eastAsia="DM Sans" w:hAnsi="DM Sans"/>
          <w:color w:val="1A1A1A"/>
          <w:sz w:val="20"/>
          <w:szCs w:val="20"/>
        </w:rPr>
        <w:t xml:space="preserve">Consistent overage month-over-month is a signal to discuss moving to a higher tier, not a reason to keep billing at overage.</w:t>
      </w:r>
    </w:p>
    <w:p>
      <w:pPr>
        <w:spacing w:after="80" w:before="240"/>
      </w:pPr>
      <w:r>
        <w:rPr>
          <w:rFonts w:ascii="DM Sans" w:cs="DM Sans" w:eastAsia="DM Sans" w:hAnsi="DM Sans"/>
          <w:b/>
          <w:bCs/>
          <w:caps/>
          <w:color w:val="1A1A1A"/>
          <w:spacing w:val="80"/>
          <w:sz w:val="16"/>
          <w:szCs w:val="16"/>
        </w:rPr>
        <w:t xml:space="preserve">04 · How Fees Are Set</w:t>
      </w:r>
    </w:p>
    <w:p>
      <w:pPr>
        <w:spacing w:after="240" w:before="120"/>
      </w:pPr>
      <w:r>
        <w:rPr>
          <w:rFonts w:ascii="Syne" w:cs="Syne" w:eastAsia="Syne" w:hAnsi="Syne"/>
          <w:b/>
          <w:bCs/>
          <w:color w:val="1A1A1A"/>
          <w:sz w:val="56"/>
          <w:szCs w:val="56"/>
        </w:rPr>
        <w:t xml:space="preserve">Monthly investment.</w:t>
      </w:r>
    </w:p>
    <w:p>
      <w:pPr>
        <w:spacing w:after="80" w:before="60" w:line="300"/>
        <w:jc w:val="left"/>
      </w:pPr>
      <w:r>
        <w:rPr>
          <w:rFonts w:ascii="DM Sans" w:cs="DM Sans" w:eastAsia="DM Sans" w:hAnsi="DM Sans"/>
          <w:b w:val="false"/>
          <w:bCs w:val="false"/>
          <w:i w:val="false"/>
          <w:iCs w:val="false"/>
          <w:color w:val="1A1A1A"/>
          <w:sz w:val="20"/>
          <w:szCs w:val="20"/>
        </w:rPr>
        <w:t xml:space="preserve">The monthly retainer fee is finalized at the retainer engagement letter, based on:</w:t>
      </w:r>
    </w:p>
    <w:p>
      <w:pPr>
        <w:pStyle w:val="ListParagraph"/>
        <w:numPr>
          <w:ilvl w:val="0"/>
          <w:numId w:val="2"/>
        </w:numPr>
        <w:spacing w:after="30" w:before="30" w:line="280"/>
      </w:pPr>
      <w:r>
        <w:rPr>
          <w:rFonts w:ascii="DM Sans" w:cs="DM Sans" w:eastAsia="DM Sans" w:hAnsi="DM Sans"/>
          <w:color w:val="1A1A1A"/>
          <w:sz w:val="20"/>
          <w:szCs w:val="20"/>
        </w:rPr>
        <w:t xml:space="preserve">The evaluation of the initial 60-day project, including the actual scope of the frameworks and deliverables built during the engagement.</w:t>
      </w:r>
    </w:p>
    <w:p>
      <w:pPr>
        <w:pStyle w:val="ListParagraph"/>
        <w:numPr>
          <w:ilvl w:val="0"/>
          <w:numId w:val="2"/>
        </w:numPr>
        <w:spacing w:after="30" w:before="30" w:line="280"/>
      </w:pPr>
      <w:r>
        <w:rPr>
          <w:rFonts w:ascii="DM Sans" w:cs="DM Sans" w:eastAsia="DM Sans" w:hAnsi="DM Sans"/>
          <w:color w:val="1A1A1A"/>
          <w:sz w:val="20"/>
          <w:szCs w:val="20"/>
        </w:rPr>
        <w:t xml:space="preserve">The profile of work required to sustain the initiatives and continue making progress on the growth and revenue-building opportunities identified in the plan.</w:t>
      </w:r>
    </w:p>
    <w:p>
      <w:pPr>
        <w:pStyle w:val="ListParagraph"/>
        <w:numPr>
          <w:ilvl w:val="0"/>
          <w:numId w:val="2"/>
        </w:numPr>
        <w:spacing w:after="30" w:before="30" w:line="280"/>
      </w:pPr>
      <w:r>
        <w:rPr>
          <w:rFonts w:ascii="DM Sans" w:cs="DM Sans" w:eastAsia="DM Sans" w:hAnsi="DM Sans"/>
          <w:color w:val="1A1A1A"/>
          <w:sz w:val="20"/>
          <w:szCs w:val="20"/>
        </w:rPr>
        <w:t xml:space="preserve">The retainer tier agreed at the final walk-through.</w:t>
      </w:r>
    </w:p>
    <w:p>
      <w:pPr>
        <w:pStyle w:val="ListParagraph"/>
        <w:numPr>
          <w:ilvl w:val="0"/>
          <w:numId w:val="2"/>
        </w:numPr>
        <w:spacing w:after="30" w:before="30" w:line="280"/>
      </w:pPr>
      <w:r>
        <w:rPr>
          <w:rFonts w:ascii="DM Sans" w:cs="DM Sans" w:eastAsia="DM Sans" w:hAnsi="DM Sans"/>
          <w:color w:val="1A1A1A"/>
          <w:sz w:val="20"/>
          <w:szCs w:val="20"/>
        </w:rPr>
        <w:t xml:space="preserve">The bulk rate implied by the tier's monthly hours, which is below the tier-specific overage rate.</w:t>
      </w:r>
    </w:p>
    <w:p>
      <w:pPr>
        <w:spacing w:after="0" w:before="120"/>
      </w:pPr>
      <w:r>
        <w:t xml:space="preserve"/>
      </w:r>
    </w:p>
    <w:p>
      <w:pPr>
        <w:spacing w:after="120" w:before="60" w:line="300"/>
        <w:jc w:val="left"/>
      </w:pPr>
      <w:r>
        <w:rPr>
          <w:rFonts w:ascii="DM Sans" w:cs="DM Sans" w:eastAsia="DM Sans" w:hAnsi="DM Sans"/>
          <w:b w:val="false"/>
          <w:bCs w:val="false"/>
          <w:i w:val="false"/>
          <w:iCs w:val="false"/>
          <w:color w:val="1A1A1A"/>
          <w:sz w:val="20"/>
          <w:szCs w:val="20"/>
        </w:rPr>
        <w:t xml:space="preserve">All monthly fees are fixed per month for the retainer term, not variable with hours logged within the included range. Monthly invoices are issued at the start of each retainer month. Overage, if any, is invoiced with the following month.</w:t>
      </w:r>
    </w:p>
    <w:p>
      <w:pPr>
        <w:spacing w:after="80" w:before="240"/>
      </w:pPr>
      <w:r>
        <w:rPr>
          <w:rFonts w:ascii="DM Sans" w:cs="DM Sans" w:eastAsia="DM Sans" w:hAnsi="DM Sans"/>
          <w:b/>
          <w:bCs/>
          <w:caps/>
          <w:color w:val="1A1A1A"/>
          <w:spacing w:val="80"/>
          <w:sz w:val="16"/>
          <w:szCs w:val="16"/>
        </w:rPr>
        <w:t xml:space="preserve">05 · Retainer Terms</w:t>
      </w:r>
    </w:p>
    <w:p>
      <w:pPr>
        <w:spacing w:after="240" w:before="120"/>
      </w:pPr>
      <w:r>
        <w:rPr>
          <w:rFonts w:ascii="Syne" w:cs="Syne" w:eastAsia="Syne" w:hAnsi="Syne"/>
          <w:b/>
          <w:bCs/>
          <w:color w:val="1A1A1A"/>
          <w:sz w:val="56"/>
          <w:szCs w:val="56"/>
        </w:rPr>
        <w:t xml:space="preserve">The commercials, summarized.</w:t>
      </w:r>
    </w:p>
    <w:p>
      <w:pPr>
        <w:spacing w:after="120" w:before="60" w:line="300"/>
        <w:jc w:val="left"/>
      </w:pPr>
      <w:r>
        <w:rPr>
          <w:rFonts w:ascii="DM Sans" w:cs="DM Sans" w:eastAsia="DM Sans" w:hAnsi="DM Sans"/>
          <w:b w:val="false"/>
          <w:bCs w:val="false"/>
          <w:i w:val="false"/>
          <w:iCs w:val="false"/>
          <w:color w:val="1A1A1A"/>
          <w:sz w:val="20"/>
          <w:szCs w:val="20"/>
        </w:rPr>
        <w:t xml:space="preserve">Full retainer terms are documented in the retainer engagement letter, which is a separate signed agreement from the initial-project engagement letter. High-level shape below:</w:t>
      </w:r>
    </w:p>
    <w:p>
      <w:pPr>
        <w:pStyle w:val="ListParagraph"/>
        <w:numPr>
          <w:ilvl w:val="0"/>
          <w:numId w:val="2"/>
        </w:numPr>
        <w:spacing w:after="30" w:before="30" w:line="280"/>
      </w:pPr>
      <w:r>
        <w:rPr>
          <w:rFonts w:ascii="DM Sans" w:cs="DM Sans" w:eastAsia="DM Sans" w:hAnsi="DM Sans"/>
          <w:color w:val="1A1A1A"/>
          <w:sz w:val="20"/>
          <w:szCs w:val="20"/>
        </w:rPr>
        <w:t xml:space="preserve">Start date: the first day of the month following the final walk-through of the initial project, unless the parties agree to an alternative start date in writing.</w:t>
      </w:r>
    </w:p>
    <w:p>
      <w:pPr>
        <w:pStyle w:val="ListParagraph"/>
        <w:numPr>
          <w:ilvl w:val="0"/>
          <w:numId w:val="2"/>
        </w:numPr>
        <w:spacing w:after="30" w:before="30" w:line="280"/>
      </w:pPr>
      <w:r>
        <w:rPr>
          <w:rFonts w:ascii="DM Sans" w:cs="DM Sans" w:eastAsia="DM Sans" w:hAnsi="DM Sans"/>
          <w:color w:val="1A1A1A"/>
          <w:sz w:val="20"/>
          <w:szCs w:val="20"/>
        </w:rPr>
        <w:t xml:space="preserve">Term: month-to-month with a 30-day written notice for non-renewal by either party. Minimum commitment, if any, is agreed at the retainer engagement letter.</w:t>
      </w:r>
    </w:p>
    <w:p>
      <w:pPr>
        <w:pStyle w:val="ListParagraph"/>
        <w:numPr>
          <w:ilvl w:val="0"/>
          <w:numId w:val="2"/>
        </w:numPr>
        <w:spacing w:after="30" w:before="30" w:line="280"/>
      </w:pPr>
      <w:r>
        <w:rPr>
          <w:rFonts w:ascii="DM Sans" w:cs="DM Sans" w:eastAsia="DM Sans" w:hAnsi="DM Sans"/>
          <w:color w:val="1A1A1A"/>
          <w:sz w:val="20"/>
          <w:szCs w:val="20"/>
        </w:rPr>
        <w:t xml:space="preserve">Deposit: a first-month deposit is required at retainer engagement letter signing, before the retainer month begins. The deposit is non-refundable.</w:t>
      </w:r>
    </w:p>
    <w:p>
      <w:pPr>
        <w:pStyle w:val="ListParagraph"/>
        <w:numPr>
          <w:ilvl w:val="0"/>
          <w:numId w:val="2"/>
        </w:numPr>
        <w:spacing w:after="30" w:before="30" w:line="280"/>
      </w:pPr>
      <w:r>
        <w:rPr>
          <w:rFonts w:ascii="DM Sans" w:cs="DM Sans" w:eastAsia="DM Sans" w:hAnsi="DM Sans"/>
          <w:color w:val="1A1A1A"/>
          <w:sz w:val="20"/>
          <w:szCs w:val="20"/>
        </w:rPr>
        <w:t xml:space="preserve">Payment terms: finalized through negotiation at the retainer engagement letter and documented in that letter.</w:t>
      </w:r>
    </w:p>
    <w:p>
      <w:pPr>
        <w:pStyle w:val="ListParagraph"/>
        <w:numPr>
          <w:ilvl w:val="0"/>
          <w:numId w:val="2"/>
        </w:numPr>
        <w:spacing w:after="30" w:before="30" w:line="280"/>
      </w:pPr>
      <w:r>
        <w:rPr>
          <w:rFonts w:ascii="DM Sans" w:cs="DM Sans" w:eastAsia="DM Sans" w:hAnsi="DM Sans"/>
          <w:color w:val="1A1A1A"/>
          <w:sz w:val="20"/>
          <w:szCs w:val="20"/>
        </w:rPr>
        <w:t xml:space="preserve">Non-payment: retainer work may be suspended if any invoice becomes past due, and all surviving obligations from the initial-project engagement letter continue to apply.</w:t>
      </w:r>
    </w:p>
    <w:p>
      <w:pPr>
        <w:pStyle w:val="ListParagraph"/>
        <w:numPr>
          <w:ilvl w:val="0"/>
          <w:numId w:val="2"/>
        </w:numPr>
        <w:spacing w:after="30" w:before="30" w:line="280"/>
      </w:pPr>
      <w:r>
        <w:rPr>
          <w:rFonts w:ascii="DM Sans" w:cs="DM Sans" w:eastAsia="DM Sans" w:hAnsi="DM Sans"/>
          <w:color w:val="1A1A1A"/>
          <w:sz w:val="20"/>
          <w:szCs w:val="20"/>
        </w:rPr>
        <w:t xml:space="preserve">Termination: any termination of the retainer mid-month requires a signed separation agreement consistent with the separation agreement template for the initial project.</w:t>
      </w:r>
    </w:p>
    <w:p>
      <w:pPr>
        <w:pStyle w:val="ListParagraph"/>
        <w:numPr>
          <w:ilvl w:val="0"/>
          <w:numId w:val="2"/>
        </w:numPr>
        <w:spacing w:after="30" w:before="30" w:line="280"/>
      </w:pPr>
      <w:r>
        <w:rPr>
          <w:rFonts w:ascii="DM Sans" w:cs="DM Sans" w:eastAsia="DM Sans" w:hAnsi="DM Sans"/>
          <w:color w:val="1A1A1A"/>
          <w:sz w:val="20"/>
          <w:szCs w:val="20"/>
        </w:rPr>
        <w:t xml:space="preserve">Confidentiality and IP: the terms of the initial engagement's NDA and IP clause continue to apply to any work performed under the retainer.</w:t>
      </w:r>
    </w:p>
    <w:p>
      <w:pPr>
        <w:spacing w:after="80" w:before="240"/>
      </w:pPr>
      <w:r>
        <w:rPr>
          <w:rFonts w:ascii="DM Sans" w:cs="DM Sans" w:eastAsia="DM Sans" w:hAnsi="DM Sans"/>
          <w:b/>
          <w:bCs/>
          <w:caps/>
          <w:color w:val="1A1A1A"/>
          <w:spacing w:val="80"/>
          <w:sz w:val="16"/>
          <w:szCs w:val="16"/>
        </w:rPr>
        <w:t xml:space="preserve">06 · Next Steps</w:t>
      </w:r>
    </w:p>
    <w:p>
      <w:pPr>
        <w:spacing w:after="240" w:before="120"/>
      </w:pPr>
      <w:r>
        <w:rPr>
          <w:rFonts w:ascii="Syne" w:cs="Syne" w:eastAsia="Syne" w:hAnsi="Syne"/>
          <w:b/>
          <w:bCs/>
          <w:color w:val="1A1A1A"/>
          <w:sz w:val="56"/>
          <w:szCs w:val="56"/>
        </w:rPr>
        <w:t xml:space="preserve">How we move.</w:t>
      </w:r>
    </w:p>
    <w:p>
      <w:pPr>
        <w:spacing w:after="80" w:before="60" w:line="300"/>
        <w:jc w:val="left"/>
      </w:pPr>
      <w:r>
        <w:rPr>
          <w:rFonts w:ascii="DM Sans" w:cs="DM Sans" w:eastAsia="DM Sans" w:hAnsi="DM Sans"/>
          <w:b w:val="false"/>
          <w:bCs w:val="false"/>
          <w:i w:val="false"/>
          <w:iCs w:val="false"/>
          <w:color w:val="1A1A1A"/>
          <w:sz w:val="20"/>
          <w:szCs w:val="20"/>
        </w:rPr>
        <w:t xml:space="preserve">Two things between the final walk-through of the initial project and a retainer start:</w:t>
      </w:r>
    </w:p>
    <w:p>
      <w:pPr>
        <w:pStyle w:val="ListParagraph"/>
        <w:numPr>
          <w:ilvl w:val="0"/>
          <w:numId w:val="2"/>
        </w:numPr>
        <w:spacing w:after="30" w:before="30" w:line="280"/>
      </w:pPr>
      <w:r>
        <w:rPr>
          <w:rFonts w:ascii="DM Sans" w:cs="DM Sans" w:eastAsia="DM Sans" w:hAnsi="DM Sans"/>
          <w:color w:val="1A1A1A"/>
          <w:sz w:val="20"/>
          <w:szCs w:val="20"/>
        </w:rPr>
        <w:t xml:space="preserve">At the final walk-through, agree on the right retainer shape based on the scope of the initial project and the work profile required to continue.</w:t>
      </w:r>
    </w:p>
    <w:p>
      <w:pPr>
        <w:pStyle w:val="ListParagraph"/>
        <w:numPr>
          <w:ilvl w:val="0"/>
          <w:numId w:val="2"/>
        </w:numPr>
        <w:spacing w:after="30" w:before="30" w:line="280"/>
      </w:pPr>
      <w:r>
        <w:rPr>
          <w:rFonts w:ascii="DM Sans" w:cs="DM Sans" w:eastAsia="DM Sans" w:hAnsi="DM Sans"/>
          <w:color w:val="1A1A1A"/>
          <w:sz w:val="20"/>
          <w:szCs w:val="20"/>
        </w:rPr>
        <w:t xml:space="preserve">Sign the retainer engagement letter, which confirms the tier, monthly fee, start date, and payment terms.</w:t>
      </w:r>
    </w:p>
    <w:p>
      <w:pPr>
        <w:spacing w:after="0" w:before="240"/>
      </w:pPr>
      <w:r>
        <w:t xml:space="preserve"/>
      </w:r>
    </w:p>
    <w:p>
      <w:pPr>
        <w:pBdr>
          <w:bottom w:val="single" w:color="C8C8C8" w:sz="4" w:space="1"/>
        </w:pBdr>
        <w:spacing w:after="80" w:before="80"/>
      </w:pPr>
      <w:r>
        <w:t xml:space="preserve"/>
      </w:r>
    </w:p>
    <w:p>
      <w:pPr>
        <w:spacing w:after="0" w:before="120"/>
      </w:pPr>
      <w:r>
        <w:t xml:space="preserve"/>
      </w:r>
    </w:p>
    <w:p>
      <w:pPr>
        <w:spacing w:after="120" w:before="60" w:line="300"/>
        <w:jc w:val="left"/>
      </w:pPr>
      <w:r>
        <w:rPr>
          <w:rFonts w:ascii="DM Sans" w:cs="DM Sans" w:eastAsia="DM Sans" w:hAnsi="DM Sans"/>
          <w:b w:val="false"/>
          <w:bCs w:val="false"/>
          <w:i/>
          <w:iCs/>
          <w:color w:val="707070"/>
          <w:sz w:val="18"/>
          <w:szCs w:val="18"/>
        </w:rPr>
        <w:t xml:space="preserve">This document is a proposal for the follow-up retainer structure, not a binding commitment to enter a retainer. No fees are due or payable under this document. The decision to continue into a retainer is made at the final walk-through of the initial project.</w:t>
      </w:r>
    </w:p>
    <w:p>
      <w:pPr>
        <w:spacing w:after="0" w:before="200"/>
      </w:pPr>
      <w:r>
        <w:t xml:space="preserve"/>
      </w:r>
    </w:p>
    <w:p>
      <w:pPr>
        <w:spacing w:after="40" w:before="200"/>
        <w:jc w:val="center"/>
      </w:pPr>
      <w:r>
        <w:rPr>
          <w:rFonts w:ascii="Syne" w:cs="Syne" w:eastAsia="Syne" w:hAnsi="Syne"/>
          <w:b/>
          <w:bCs/>
          <w:color w:val="1A1A1A"/>
          <w:spacing w:val="200"/>
          <w:sz w:val="22"/>
          <w:szCs w:val="22"/>
        </w:rPr>
        <w:t xml:space="preserve">THE STRATEGY STUDIO</w:t>
      </w:r>
    </w:p>
    <w:p>
      <w:pPr>
        <w:spacing w:after="0" w:before="40"/>
        <w:jc w:val="center"/>
      </w:pPr>
      <w:r>
        <w:rPr>
          <w:rFonts w:ascii="Syne" w:cs="Syne" w:eastAsia="Syne" w:hAnsi="Syne"/>
          <w:i/>
          <w:iCs/>
          <w:color w:val="1A1A1A"/>
          <w:sz w:val="18"/>
          <w:szCs w:val="18"/>
        </w:rPr>
        <w:t xml:space="preserve">Strategy that holds.  ·  Where rigor meets range.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Syne" w:cs="Syne" w:eastAsia="Syne" w:hAnsi="Syne"/>
        <w:i/>
        <w:iCs/>
        <w:color w:val="707070"/>
        <w:sz w:val="16"/>
        <w:szCs w:val="16"/>
      </w:rPr>
      <w:t xml:space="preserve">Strategy that holds.</w:t>
    </w:r>
    <w:r>
      <w:rPr>
        <w:rFonts w:ascii="DM Sans" w:cs="DM Sans" w:eastAsia="DM Sans" w:hAnsi="DM Sans"/>
        <w:sz w:val="16"/>
        <w:szCs w:val="16"/>
      </w:rPr>
      <w:t xml:space="preserve">	</w:t>
    </w:r>
    <w:r>
      <w:rPr>
        <w:rFonts w:ascii="DM Sans" w:cs="DM Sans" w:eastAsia="DM Sans" w:hAnsi="DM Sans"/>
        <w:color w:val="707070"/>
        <w:sz w:val="16"/>
        <w:szCs w:val="16"/>
      </w:rPr>
      <w:t xml:space="preserve">Page </w:t>
    </w:r>
    <w:r>
      <w:rPr>
        <w:rFonts w:ascii="DM Sans" w:cs="DM Sans" w:eastAsia="DM Sans" w:hAnsi="DM Sans"/>
        <w:color w:val="707070"/>
        <w:sz w:val="16"/>
        <w:szCs w:val="16"/>
      </w:rPr>
      <w:fldChar w:fldCharType="begin"/>
      <w:instrText xml:space="preserve">PAGE</w:instrText>
      <w:fldChar w:fldCharType="separate"/>
      <w:fldChar w:fldCharType="end"/>
    </w:r>
    <w:r>
      <w:rPr>
        <w:rFonts w:ascii="DM Sans" w:cs="DM Sans" w:eastAsia="DM Sans" w:hAnsi="DM Sans"/>
        <w:color w:val="707070"/>
        <w:sz w:val="16"/>
        <w:szCs w:val="16"/>
      </w:rPr>
      <w:t xml:space="preserve"> / </w:t>
    </w:r>
    <w:r>
      <w:rPr>
        <w:rFonts w:ascii="DM Sans" w:cs="DM Sans" w:eastAsia="DM Sans" w:hAnsi="DM Sans"/>
        <w:color w:val="7070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60"/>
            <w:right w:type="dxa" w:w="0"/>
          </w:tcMar>
        </w:tcPr>
        <w:p>
          <w:r>
            <w:rPr>
              <w:rFonts w:ascii="Syne" w:cs="Syne" w:eastAsia="Syne" w:hAnsi="Syne"/>
              <w:b/>
              <w:bCs/>
              <w:color w:val="1A1A1A"/>
              <w:spacing w:val="100"/>
              <w:sz w:val="16"/>
              <w:szCs w:val="16"/>
            </w:rPr>
            <w:t xml:space="preserve">THE STRATEGY STUDIO</w:t>
          </w:r>
        </w:p>
      </w:tc>
      <w:tc>
        <w:tcPr>
          <w:tcW w:type="dxa" w:w="4680"/>
          <w:tcBorders>
            <w:top w:val="none" w:color="FFFFFF" w:sz="0"/>
            <w:left w:val="none" w:color="FFFFFF" w:sz="0"/>
            <w:bottom w:val="none" w:color="FFFFFF" w:sz="0"/>
            <w:right w:val="none" w:color="FFFFFF" w:sz="0"/>
          </w:tcBorders>
          <w:tcMar>
            <w:top w:type="dxa" w:w="0"/>
            <w:left w:type="dxa" w:w="0"/>
            <w:bottom w:type="dxa" w:w="60"/>
            <w:right w:type="dxa" w:w="0"/>
          </w:tcMar>
        </w:tcPr>
        <w:p>
          <w:pPr>
            <w:jc w:val="right"/>
          </w:pPr>
          <w:r>
            <w:rPr>
              <w:rFonts w:ascii="DM Sans" w:cs="DM Sans" w:eastAsia="DM Sans" w:hAnsi="DM Sans"/>
              <w:color w:val="1A1A1A"/>
              <w:sz w:val="16"/>
              <w:szCs w:val="16"/>
            </w:rPr>
            <w:t xml:space="preserve">Retainer Proposal  ·  SX Collective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Retainer Proposal: SX Collective</dc:title>
  <dc:creator>The Strategy Studio</dc:creator>
  <cp:lastModifiedBy>Un-named</cp:lastModifiedBy>
  <cp:revision>1</cp:revision>
  <dcterms:created xsi:type="dcterms:W3CDTF">2026-04-24T21:33:26.986Z</dcterms:created>
  <dcterms:modified xsi:type="dcterms:W3CDTF">2026-04-24T21:33:26.986Z</dcterms:modified>
</cp:coreProperties>
</file>

<file path=docProps/custom.xml><?xml version="1.0" encoding="utf-8"?>
<Properties xmlns="http://schemas.openxmlformats.org/officeDocument/2006/custom-properties" xmlns:vt="http://schemas.openxmlformats.org/officeDocument/2006/docPropsVTypes"/>
</file>