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6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OPPORTUNITY DESIGNED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Internal Rate Card — CONFIDENTIAL, NOT FOR CLIENT DISTRIBUTION</w:t>
      </w:r>
    </w:p>
    <w:p>
      <w:pPr>
        <w:pBdr>
          <w:bottom w:val="single" w:color="DDDDDD" w:sz="3" w:space="1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This is your internal pricing reference. Use it to anchor proposals, inform negotiations, and keep pricing consistent across clients. Never share this document externally.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2D2D2D"/>
          <w:sz w:val="22"/>
          <w:szCs w:val="22"/>
        </w:rPr>
        <w:t xml:space="preserve">Pricing is set on scope and delivered value, not hours. These ranges reflect the full picture of what Opportunity Designed brings — the operator experience, the pre-cleared frameworks, and the depth of senior-level involvement.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Engagement Types &amp; Pricing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 Growth Diagnostic (Entry Product)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Investment</w:t>
            </w:r>
          </w:p>
        </w:tc>
        <w:tc>
          <w:tcPr>
            <w:tcW w:type="dxa" w:w="624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$15,000 – $25,000 depending on complexity</w:t>
            </w:r>
          </w:p>
        </w:tc>
      </w:tr>
      <w:tr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Length</w:t>
            </w:r>
          </w:p>
        </w:tc>
        <w:tc>
          <w:tcPr>
            <w:tcW w:type="dxa" w:w="624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4–6 weeks</w:t>
            </w:r>
          </w:p>
        </w:tc>
      </w:tr>
      <w:tr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Structure</w:t>
            </w:r>
          </w:p>
        </w:tc>
        <w:tc>
          <w:tcPr>
            <w:tcW w:type="dxa" w:w="624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Fixed scope, deliverable-based. Non-refundable deposit at signature.</w:t>
            </w:r>
          </w:p>
        </w:tc>
      </w:tr>
      <w:tr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Includes</w:t>
            </w:r>
          </w:p>
        </w:tc>
        <w:tc>
          <w:tcPr>
            <w:tcW w:type="dxa" w:w="624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Operational audit, assortment &amp; margin analysis, vendor structure evaluation, org assessment, risk &amp; opportunity map, 6–12 month roadmap</w:t>
            </w:r>
          </w:p>
        </w:tc>
      </w:tr>
      <w:tr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Deposit</w:t>
            </w:r>
          </w:p>
        </w:tc>
        <w:tc>
          <w:tcPr>
            <w:tcW w:type="dxa" w:w="624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30–50% of total, non-refundable, due at signing</w:t>
            </w:r>
          </w:p>
        </w:tc>
      </w:tr>
      <w:tr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When to price at $15K</w:t>
            </w:r>
          </w:p>
        </w:tc>
        <w:tc>
          <w:tcPr>
            <w:tcW w:type="dxa" w:w="624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Smaller brand, simpler scope, limited data available, indie retailer context</w:t>
            </w:r>
          </w:p>
        </w:tc>
      </w:tr>
      <w:tr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When to price at $25K</w:t>
            </w:r>
          </w:p>
        </w:tc>
        <w:tc>
          <w:tcPr>
            <w:tcW w:type="dxa" w:w="624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Multi-category, complex vendor structure, significant data analysis, larger org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 Strategic Retainer (Ongoing Advisory)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Minimum 3-month commitment. Scoped to what the business actually requires after the diagnostic.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Commitment Level</w:t>
            </w:r>
          </w:p>
        </w:tc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Investment</w:t>
            </w:r>
          </w:p>
        </w:tc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Weekly Involvement</w:t>
            </w:r>
          </w:p>
        </w:tc>
      </w:tr>
      <w:tr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$12,000 – $15,000</w:t>
            </w:r>
          </w:p>
        </w:tc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~10 hours/week</w:t>
            </w:r>
          </w:p>
        </w:tc>
      </w:tr>
      <w:tr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$16,000 – $20,000</w:t>
            </w:r>
          </w:p>
        </w:tc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~15 hours/week</w:t>
            </w:r>
          </w:p>
        </w:tc>
      </w:tr>
      <w:tr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Partnership</w:t>
            </w:r>
          </w:p>
        </w:tc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$22,000 – $25,000</w:t>
            </w:r>
          </w:p>
        </w:tc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~20 hours/week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Retainer invoices are monthly, due at the first of each month.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Minimum 3-month commitment. Early exit requires written notice and is subject to termination terms.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Month 1 invoice is due at signing (treated as deposit-equivalent — non-refundable).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 Build &amp; Transition (Full Rebuild with Handoff)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Investment</w:t>
            </w:r>
          </w:p>
        </w:tc>
        <w:tc>
          <w:tcPr>
            <w:tcW w:type="dxa" w:w="624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$40,000 – $80,000 depending on complexity</w:t>
            </w:r>
          </w:p>
        </w:tc>
      </w:tr>
      <w:tr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Structure</w:t>
            </w:r>
          </w:p>
        </w:tc>
        <w:tc>
          <w:tcPr>
            <w:tcW w:type="dxa" w:w="624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Multi-phase project with defined milestones and a clear handoff point</w:t>
            </w:r>
          </w:p>
        </w:tc>
      </w:tr>
      <w:tr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Deposit</w:t>
            </w:r>
          </w:p>
        </w:tc>
        <w:tc>
          <w:tcPr>
            <w:tcW w:type="dxa" w:w="624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30–40% at signing, non-refundable</w:t>
            </w:r>
          </w:p>
        </w:tc>
      </w:tr>
      <w:tr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When to price at $40K</w:t>
            </w:r>
          </w:p>
        </w:tc>
        <w:tc>
          <w:tcPr>
            <w:tcW w:type="dxa" w:w="624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Contained rebuild — one or two functional areas, clear scope</w:t>
            </w:r>
          </w:p>
        </w:tc>
      </w:tr>
      <w:tr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When to price at $80K</w:t>
            </w:r>
          </w:p>
        </w:tc>
        <w:tc>
          <w:tcPr>
            <w:tcW w:type="dxa" w:w="624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commercial rebuild — assortment, vendor, operations, team structure, reporting infrastructure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 Indie Retailer / Emerging Brand Pricing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Use this tier for independent retailers, early-stage brands, and founder-led businesses where the full rate is genuinely out of reach but the work is worth doing.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34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Tier 1</w:t>
            </w:r>
          </w:p>
        </w:tc>
        <w:tc>
          <w:tcPr>
            <w:tcW w:type="dxa" w:w="234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$6,000</w:t>
            </w:r>
          </w:p>
        </w:tc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30-day diagnostic. Pillar 01 assessed. 3 sessions + readout.</w:t>
            </w:r>
          </w:p>
        </w:tc>
      </w:tr>
      <w:tr>
        <w:tc>
          <w:tcPr>
            <w:tcW w:type="dxa" w:w="234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Tier 2</w:t>
            </w:r>
          </w:p>
        </w:tc>
        <w:tc>
          <w:tcPr>
            <w:tcW w:type="dxa" w:w="234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$9,500</w:t>
            </w:r>
          </w:p>
        </w:tc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60-day project. Pillars 01 deep, 02/03 directional. 5+ sessions + readout.</w:t>
            </w:r>
          </w:p>
        </w:tc>
      </w:tr>
      <w:tr>
        <w:tc>
          <w:tcPr>
            <w:tcW w:type="dxa" w:w="234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Tier 3</w:t>
            </w:r>
          </w:p>
        </w:tc>
        <w:tc>
          <w:tcPr>
            <w:tcW w:type="dxa" w:w="234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$15,000</w:t>
            </w:r>
          </w:p>
        </w:tc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90-day full build. All three pillars at strategic depth. Full session cadence + readout.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2D2D2D"/>
          <w:sz w:val="22"/>
          <w:szCs w:val="22"/>
        </w:rPr>
        <w:t xml:space="preserve">The SX Collective was the reference client for this tier. Use it as the floor for indie retailer engagements. Do not apply this pricing to growth-stage or established brands.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 Project Add-Ons (Scoped Separately)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Additional working sessions beyond scope: $500/session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Extended stakeholder interviews (beyond agreed count): $350/interview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Rushed timeline (accelerated delivery): 20–30% premium on base fee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Travel (if on-site required): actual costs + $250/day flat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Report redesign / designed output (beyond functional Word/PDF): scope separately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Negotiation Guidance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is negotiable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Net payment terms (how long the client has to pay milestone invoices)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Milestone structure (how the remaining fee is split across the project)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Scope within a tier (what's in, what's out, depth of each area)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Start date and timeline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is not negotiable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deposit. Non-refundable, due at signing, before work begins. Full stop.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7-business-day deliverable acceptance window.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3-round revision limit.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late payment terms.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requirement for a signed Separation Agreement before any termination.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Reporting to someone other than the decision-maker.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When clients push on price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First response: "What specifically feels out of reach?" — often it's cash flow, not the total number.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If cash flow is the issue: offer a longer payment schedule or a higher deposit with extended net terms.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If it's budget cap: consider whether a smaller scope (Tier 1 only, or a tighter diagnostic) is the right entry point.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If they want a discount just to get a discount: this is not your client.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Pricing Anchors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When asked your rate before giving a number, use:</w:t>
      </w:r>
    </w:p>
    <w:p>
      <w:pPr>
        <w:spacing w:after="100" w:before="60"/>
        <w:ind w:left="4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"Most of my engagements fall between $15K and $25K per month depending on depth of involvement."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Then pause. Let them respond. Don't fill the silence.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For project work, use:</w:t>
      </w:r>
    </w:p>
    <w:p>
      <w:pPr>
        <w:spacing w:after="100" w:before="60"/>
        <w:ind w:left="4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"Project fees are fixed and scoped by deliverable, not hours. I'll put the specific number in the proposal once I understand what the business needs."</w:t>
      </w:r>
    </w:p>
    <w:p>
      <w:pPr>
        <w:pBdr>
          <w:bottom w:val="single" w:color="DDDDDD" w:sz="3" w:space="1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C05621"/>
          <w:sz w:val="18"/>
          <w:szCs w:val="18"/>
        </w:rPr>
        <w:t xml:space="preserve">INTERNAL ONLY — NOT FOR CLIENT DISTRIBUTION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 — OPPORTUNITY DESIGNED  |  Opportunity. Designed.  | 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2026-06-02T03:35:55.599Z</dcterms:created>
  <dcterms:modified xsi:type="dcterms:W3CDTF">2026-06-02T03:35:55.599Z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