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A1A"/>
          <w:sz w:val="48"/>
          <w:szCs w:val="48"/>
        </w:rPr>
        <w:t xml:space="preserve">OPPORTUNITY DESIGNED</w:t>
      </w:r>
    </w:p>
    <w:p>
      <w:pPr>
        <w:spacing w:after="40" w:before="0"/>
      </w:pPr>
      <w:r>
        <w:rPr>
          <w:rFonts w:ascii="Arial" w:cs="Arial" w:eastAsia="Arial" w:hAnsi="Arial"/>
          <w:i/>
          <w:iCs/>
          <w:color w:val="777777"/>
          <w:sz w:val="32"/>
          <w:szCs w:val="32"/>
        </w:rPr>
        <w:t xml:space="preserve">Master Services Agreement</w:t>
      </w:r>
    </w:p>
    <w:p>
      <w:pPr>
        <w:pBdr>
          <w:bottom w:val="single" w:color="DDDDDD" w:sz="3" w:space="1"/>
        </w:pBdr>
        <w:spacing w:after="200" w:before="200"/>
      </w:pPr>
      <w:r>
        <w:rPr>
          <w:rFonts w:ascii="Arial" w:cs="Arial" w:eastAsia="Arial" w:hAnsi="Arial"/>
          <w:sz w:val="4"/>
          <w:szCs w:val="4"/>
        </w:rPr>
        <w:t xml:space="preserve"/>
      </w:r>
    </w:p>
    <w:p>
      <w:pPr>
        <w:spacing w:after="100" w:before="60"/>
      </w:pPr>
      <w:r>
        <w:rPr>
          <w:rFonts w:ascii="Arial" w:cs="Arial" w:eastAsia="Arial" w:hAnsi="Arial"/>
          <w:b w:val="false"/>
          <w:bCs w:val="false"/>
          <w:i w:val="false"/>
          <w:iCs w:val="false"/>
          <w:color w:val="2D2D2D"/>
          <w:sz w:val="22"/>
          <w:szCs w:val="22"/>
        </w:rPr>
        <w:t xml:space="preserve">This Master Services Agreement ("Agreement") is entered into between Opportunity Designed, operated by Addie Morrow ("Consultant"), and the client identified in the applicable Statement of Work or Proposal ("Client"). This Agreement governs all consulting engagements between the parties unless a separate written agreement signed by both parties expressly supersedes it.</w:t>
      </w:r>
    </w:p>
    <w:p>
      <w:pPr>
        <w:spacing w:after="80" w:before="80"/>
      </w:pPr>
      <w:r>
        <w:rPr>
          <w:rFonts w:ascii="Arial" w:cs="Arial" w:eastAsia="Arial" w:hAnsi="Arial"/>
          <w:i/>
          <w:iCs/>
          <w:color w:val="B45309"/>
          <w:sz w:val="18"/>
          <w:szCs w:val="18"/>
        </w:rPr>
        <w:t xml:space="preserve">⚠️  Attorney review recommended before use in any live engagement.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1. Definitions</w:t>
      </w:r>
    </w:p>
    <w:p>
      <w:pPr>
        <w:spacing w:after="100" w:before="60"/>
      </w:pPr>
      <w:r>
        <w:rPr>
          <w:rFonts w:ascii="Arial" w:cs="Arial" w:eastAsia="Arial" w:hAnsi="Arial"/>
          <w:b w:val="false"/>
          <w:bCs w:val="false"/>
          <w:i w:val="false"/>
          <w:iCs w:val="false"/>
          <w:color w:val="2D2D2D"/>
          <w:sz w:val="22"/>
          <w:szCs w:val="22"/>
        </w:rPr>
        <w:t xml:space="preserve">"Engagement" means the specific project or retainer described in a Proposal or Statement of Work ("SOW") accepted in writing by Client.</w:t>
      </w:r>
    </w:p>
    <w:p>
      <w:pPr>
        <w:spacing w:after="100" w:before="60"/>
      </w:pPr>
      <w:r>
        <w:rPr>
          <w:rFonts w:ascii="Arial" w:cs="Arial" w:eastAsia="Arial" w:hAnsi="Arial"/>
          <w:b w:val="false"/>
          <w:bCs w:val="false"/>
          <w:i w:val="false"/>
          <w:iCs w:val="false"/>
          <w:color w:val="2D2D2D"/>
          <w:sz w:val="22"/>
          <w:szCs w:val="22"/>
        </w:rPr>
        <w:t xml:space="preserve">"Deliverable" means any work product, report, framework, analysis, presentation, or other tangible output produced by Consultant for Client under an Engagement.</w:t>
      </w:r>
    </w:p>
    <w:p>
      <w:pPr>
        <w:spacing w:after="100" w:before="60"/>
      </w:pPr>
      <w:r>
        <w:rPr>
          <w:rFonts w:ascii="Arial" w:cs="Arial" w:eastAsia="Arial" w:hAnsi="Arial"/>
          <w:b w:val="false"/>
          <w:bCs w:val="false"/>
          <w:i w:val="false"/>
          <w:iCs w:val="false"/>
          <w:color w:val="2D2D2D"/>
          <w:sz w:val="22"/>
          <w:szCs w:val="22"/>
        </w:rPr>
        <w:t xml:space="preserve">"Confidential Information" has the meaning set forth in the Mutual Non-Disclosure Agreement executed by the parties, or if no such agreement has been executed, means any non-public business, financial, operational, or strategic information disclosed by one party to the other in connection with an Engagement.</w:t>
      </w:r>
    </w:p>
    <w:p>
      <w:pPr>
        <w:spacing w:after="100" w:before="60"/>
      </w:pPr>
      <w:r>
        <w:rPr>
          <w:rFonts w:ascii="Arial" w:cs="Arial" w:eastAsia="Arial" w:hAnsi="Arial"/>
          <w:b w:val="false"/>
          <w:bCs w:val="false"/>
          <w:i w:val="false"/>
          <w:iCs w:val="false"/>
          <w:color w:val="2D2D2D"/>
          <w:sz w:val="22"/>
          <w:szCs w:val="22"/>
        </w:rPr>
        <w:t xml:space="preserve">"Deposit" means the non-refundable upfront payment required at signing of the engagement letter, as specified in the applicable Proposal.</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2. Scope of Services</w:t>
      </w:r>
    </w:p>
    <w:p>
      <w:pPr>
        <w:spacing w:after="100" w:before="60"/>
      </w:pPr>
      <w:r>
        <w:rPr>
          <w:rFonts w:ascii="Arial" w:cs="Arial" w:eastAsia="Arial" w:hAnsi="Arial"/>
          <w:b w:val="false"/>
          <w:bCs w:val="false"/>
          <w:i w:val="false"/>
          <w:iCs w:val="false"/>
          <w:color w:val="2D2D2D"/>
          <w:sz w:val="22"/>
          <w:szCs w:val="22"/>
        </w:rPr>
        <w:t xml:space="preserve">2.1  Consultant will perform the services described in each Proposal or SOW accepted by Client. Each Proposal, once accepted in writing by both parties, is incorporated into and governed by this Agreement.</w:t>
      </w:r>
    </w:p>
    <w:p>
      <w:pPr>
        <w:spacing w:after="100" w:before="60"/>
      </w:pPr>
      <w:r>
        <w:rPr>
          <w:rFonts w:ascii="Arial" w:cs="Arial" w:eastAsia="Arial" w:hAnsi="Arial"/>
          <w:b w:val="false"/>
          <w:bCs w:val="false"/>
          <w:i w:val="false"/>
          <w:iCs w:val="false"/>
          <w:color w:val="2D2D2D"/>
          <w:sz w:val="22"/>
          <w:szCs w:val="22"/>
        </w:rPr>
        <w:t xml:space="preserve">2.2  Consultant is an independent contractor. Nothing in this Agreement creates an employment, partnership, joint venture, or agency relationship. Consultant determines the means and methods of performing services, subject to the deliverable requirements in the applicable Proposal.</w:t>
      </w:r>
    </w:p>
    <w:p>
      <w:pPr>
        <w:spacing w:after="100" w:before="60"/>
      </w:pPr>
      <w:r>
        <w:rPr>
          <w:rFonts w:ascii="Arial" w:cs="Arial" w:eastAsia="Arial" w:hAnsi="Arial"/>
          <w:b w:val="false"/>
          <w:bCs w:val="false"/>
          <w:i w:val="false"/>
          <w:iCs w:val="false"/>
          <w:color w:val="2D2D2D"/>
          <w:sz w:val="22"/>
          <w:szCs w:val="22"/>
        </w:rPr>
        <w:t xml:space="preserve">2.3  Scope changes require a written amendment signed by both parties. Requests for work outside the agreed scope will be scoped and priced separately before work begins.</w:t>
      </w:r>
    </w:p>
    <w:p>
      <w:pPr>
        <w:spacing w:after="100" w:before="60"/>
      </w:pPr>
      <w:r>
        <w:rPr>
          <w:rFonts w:ascii="Arial" w:cs="Arial" w:eastAsia="Arial" w:hAnsi="Arial"/>
          <w:b w:val="false"/>
          <w:bCs w:val="false"/>
          <w:i w:val="false"/>
          <w:iCs w:val="false"/>
          <w:color w:val="2D2D2D"/>
          <w:sz w:val="22"/>
          <w:szCs w:val="22"/>
        </w:rPr>
        <w:t xml:space="preserve">2.4  Consultant reserves the right to decline scope expansions that conflict with existing client commitments or Consultant's capacity at the time of the request.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3. Fees, Payment, and Deposit</w:t>
      </w:r>
    </w:p>
    <w:p>
      <w:pPr>
        <w:spacing w:after="100" w:before="60"/>
      </w:pPr>
      <w:r>
        <w:rPr>
          <w:rFonts w:ascii="Arial" w:cs="Arial" w:eastAsia="Arial" w:hAnsi="Arial"/>
          <w:b w:val="false"/>
          <w:bCs w:val="false"/>
          <w:i w:val="false"/>
          <w:iCs w:val="false"/>
          <w:color w:val="2D2D2D"/>
          <w:sz w:val="22"/>
          <w:szCs w:val="22"/>
        </w:rPr>
        <w:t xml:space="preserve">3.1  Fees are fixed per Proposal. Consultant does not bill by the hour unless the applicable Proposal expressly provides otherwise.</w:t>
      </w:r>
    </w:p>
    <w:p>
      <w:pPr>
        <w:spacing w:after="100" w:before="60"/>
      </w:pPr>
      <w:r>
        <w:rPr>
          <w:rFonts w:ascii="Arial" w:cs="Arial" w:eastAsia="Arial" w:hAnsi="Arial"/>
          <w:b w:val="false"/>
          <w:bCs w:val="false"/>
          <w:i w:val="false"/>
          <w:iCs w:val="false"/>
          <w:color w:val="2D2D2D"/>
          <w:sz w:val="22"/>
          <w:szCs w:val="22"/>
        </w:rPr>
        <w:t xml:space="preserve">3.2  A non-refundable Deposit is due at signing of the engagement letter and must be received before any work begins. The Deposit compensates Consultant for reserving capacity, beginning preparatory work, and declining other engagements. The Deposit is not subject to any net payment terms and is retained in full upon termination by either party for any reason.</w:t>
      </w:r>
    </w:p>
    <w:p>
      <w:pPr>
        <w:spacing w:after="100" w:before="60"/>
      </w:pPr>
      <w:r>
        <w:rPr>
          <w:rFonts w:ascii="Arial" w:cs="Arial" w:eastAsia="Arial" w:hAnsi="Arial"/>
          <w:b w:val="false"/>
          <w:bCs w:val="false"/>
          <w:i w:val="false"/>
          <w:iCs w:val="false"/>
          <w:color w:val="2D2D2D"/>
          <w:sz w:val="22"/>
          <w:szCs w:val="22"/>
        </w:rPr>
        <w:t xml:space="preserve">3.3  All remaining fees are invoiced on the milestone schedule specified in the applicable Proposal. Net payment terms, if any, apply only to milestone and final invoices, not to the Deposit.</w:t>
      </w:r>
    </w:p>
    <w:p>
      <w:pPr>
        <w:spacing w:after="100" w:before="60"/>
      </w:pPr>
      <w:r>
        <w:rPr>
          <w:rFonts w:ascii="Arial" w:cs="Arial" w:eastAsia="Arial" w:hAnsi="Arial"/>
          <w:b w:val="false"/>
          <w:bCs w:val="false"/>
          <w:i w:val="false"/>
          <w:iCs w:val="false"/>
          <w:color w:val="2D2D2D"/>
          <w:sz w:val="22"/>
          <w:szCs w:val="22"/>
        </w:rPr>
        <w:t xml:space="preserve">3.4  All invoices are due on the date specified. Invoices not paid in full by their due date accrue interest at 1.5% per month (18% annualized), or the maximum rate permitted by Utah law, whichever is lower, compounded monthly from the original due date. A late fee of $75.00 applies to any invoice more than seven (7) calendar days past due, in addition to accrued interest.</w:t>
      </w:r>
    </w:p>
    <w:p>
      <w:pPr>
        <w:spacing w:after="100" w:before="60"/>
      </w:pPr>
      <w:r>
        <w:rPr>
          <w:rFonts w:ascii="Arial" w:cs="Arial" w:eastAsia="Arial" w:hAnsi="Arial"/>
          <w:b w:val="false"/>
          <w:bCs w:val="false"/>
          <w:i w:val="false"/>
          <w:iCs w:val="false"/>
          <w:color w:val="2D2D2D"/>
          <w:sz w:val="22"/>
          <w:szCs w:val="22"/>
        </w:rPr>
        <w:t xml:space="preserve">3.5  Client is responsible for any taxes, duties, or levies imposed on Client's receipt of services. Consultant is responsible for taxes on Consultant's own income.</w:t>
      </w:r>
    </w:p>
    <w:p>
      <w:pPr>
        <w:spacing w:after="100" w:before="60"/>
      </w:pPr>
      <w:r>
        <w:rPr>
          <w:rFonts w:ascii="Arial" w:cs="Arial" w:eastAsia="Arial" w:hAnsi="Arial"/>
          <w:b w:val="false"/>
          <w:bCs w:val="false"/>
          <w:i w:val="false"/>
          <w:iCs w:val="false"/>
          <w:color w:val="2D2D2D"/>
          <w:sz w:val="22"/>
          <w:szCs w:val="22"/>
        </w:rPr>
        <w:t xml:space="preserve">3.6  Consultant may suspend work without liability if any invoice is more than fourteen (14) calendar days past due, until payment is received in full.</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4. Deliverables and Acceptance</w:t>
      </w:r>
    </w:p>
    <w:p>
      <w:pPr>
        <w:spacing w:after="100" w:before="60"/>
      </w:pPr>
      <w:r>
        <w:rPr>
          <w:rFonts w:ascii="Arial" w:cs="Arial" w:eastAsia="Arial" w:hAnsi="Arial"/>
          <w:b w:val="false"/>
          <w:bCs w:val="false"/>
          <w:i w:val="false"/>
          <w:iCs w:val="false"/>
          <w:color w:val="2D2D2D"/>
          <w:sz w:val="22"/>
          <w:szCs w:val="22"/>
        </w:rPr>
        <w:t xml:space="preserve">4.1  Consultant will deliver each Deliverable described in the applicable Proposal within the timeline agreed in writing.</w:t>
      </w:r>
    </w:p>
    <w:p>
      <w:pPr>
        <w:spacing w:after="100" w:before="60"/>
      </w:pPr>
      <w:r>
        <w:rPr>
          <w:rFonts w:ascii="Arial" w:cs="Arial" w:eastAsia="Arial" w:hAnsi="Arial"/>
          <w:b w:val="false"/>
          <w:bCs w:val="false"/>
          <w:i w:val="false"/>
          <w:iCs w:val="false"/>
          <w:color w:val="2D2D2D"/>
          <w:sz w:val="22"/>
          <w:szCs w:val="22"/>
        </w:rPr>
        <w:t xml:space="preserve">4.2  Client has seven (7) business days following delivery of each Deliverable to provide written notice of specific, scope-based objections. A Deliverable is deemed accepted if Client does not provide written objections within this window.</w:t>
      </w:r>
    </w:p>
    <w:p>
      <w:pPr>
        <w:spacing w:after="100" w:before="60"/>
      </w:pPr>
      <w:r>
        <w:rPr>
          <w:rFonts w:ascii="Arial" w:cs="Arial" w:eastAsia="Arial" w:hAnsi="Arial"/>
          <w:b w:val="false"/>
          <w:bCs w:val="false"/>
          <w:i w:val="false"/>
          <w:iCs w:val="false"/>
          <w:color w:val="2D2D2D"/>
          <w:sz w:val="22"/>
          <w:szCs w:val="22"/>
        </w:rPr>
        <w:t xml:space="preserve">4.3  Client is entitled to up to three (3) rounds of revisions per Deliverable, requested in writing during the acceptance window. Revision requests must reference specific scope requirements from the Proposal. Subjective dissatisfaction, strategic disagreement with recommendations, or preference for a different direction is not a valid basis for withholding acceptance or requesting revisions beyond the agreed rounds.</w:t>
      </w:r>
    </w:p>
    <w:p>
      <w:pPr>
        <w:spacing w:after="100" w:before="60"/>
      </w:pPr>
      <w:r>
        <w:rPr>
          <w:rFonts w:ascii="Arial" w:cs="Arial" w:eastAsia="Arial" w:hAnsi="Arial"/>
          <w:b w:val="false"/>
          <w:bCs w:val="false"/>
          <w:i w:val="false"/>
          <w:iCs w:val="false"/>
          <w:color w:val="2D2D2D"/>
          <w:sz w:val="22"/>
          <w:szCs w:val="22"/>
        </w:rPr>
        <w:t xml:space="preserve">4.4  Accepted Deliverables are non-refundable.</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5. Intellectual Property</w:t>
      </w:r>
    </w:p>
    <w:p>
      <w:pPr>
        <w:spacing w:after="100" w:before="60"/>
      </w:pPr>
      <w:r>
        <w:rPr>
          <w:rFonts w:ascii="Arial" w:cs="Arial" w:eastAsia="Arial" w:hAnsi="Arial"/>
          <w:b w:val="false"/>
          <w:bCs w:val="false"/>
          <w:i w:val="false"/>
          <w:iCs w:val="false"/>
          <w:color w:val="2D2D2D"/>
          <w:sz w:val="22"/>
          <w:szCs w:val="22"/>
        </w:rPr>
        <w:t xml:space="preserve">5.1  Upon receipt of full payment for an Engagement, Consultant assigns to Client ownership of all Deliverables produced specifically for that Engagement.</w:t>
      </w:r>
    </w:p>
    <w:p>
      <w:pPr>
        <w:spacing w:after="100" w:before="60"/>
      </w:pPr>
      <w:r>
        <w:rPr>
          <w:rFonts w:ascii="Arial" w:cs="Arial" w:eastAsia="Arial" w:hAnsi="Arial"/>
          <w:b w:val="false"/>
          <w:bCs w:val="false"/>
          <w:i w:val="false"/>
          <w:iCs w:val="false"/>
          <w:color w:val="2D2D2D"/>
          <w:sz w:val="22"/>
          <w:szCs w:val="22"/>
        </w:rPr>
        <w:t xml:space="preserve">5.2  Consultant retains, in perpetuity, ownership of: (a) all pre-existing frameworks, methodologies, templates, tools, and processes used or adapted in producing Deliverables; (b) any general industry knowledge, analytical approaches, or working methods developed during the Engagement; and (c) anonymized, non-client-identifying learnings that Consultant may apply in future work.</w:t>
      </w:r>
    </w:p>
    <w:p>
      <w:pPr>
        <w:spacing w:after="100" w:before="60"/>
      </w:pPr>
      <w:r>
        <w:rPr>
          <w:rFonts w:ascii="Arial" w:cs="Arial" w:eastAsia="Arial" w:hAnsi="Arial"/>
          <w:b w:val="false"/>
          <w:bCs w:val="false"/>
          <w:i w:val="false"/>
          <w:iCs w:val="false"/>
          <w:color w:val="2D2D2D"/>
          <w:sz w:val="22"/>
          <w:szCs w:val="22"/>
        </w:rPr>
        <w:t xml:space="preserve">5.3  Client grants Consultant a limited, non-exclusive license to use Client's name, logo, and a brief description of the Engagement as a reference in Consultant's portfolio and marketing materials, unless Client provides written objection within thirty (30) days of Engagement completion.</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6. Confidentiality</w:t>
      </w:r>
    </w:p>
    <w:p>
      <w:pPr>
        <w:spacing w:after="100" w:before="60"/>
      </w:pPr>
      <w:r>
        <w:rPr>
          <w:rFonts w:ascii="Arial" w:cs="Arial" w:eastAsia="Arial" w:hAnsi="Arial"/>
          <w:b w:val="false"/>
          <w:bCs w:val="false"/>
          <w:i w:val="false"/>
          <w:iCs w:val="false"/>
          <w:color w:val="2D2D2D"/>
          <w:sz w:val="22"/>
          <w:szCs w:val="22"/>
        </w:rPr>
        <w:t xml:space="preserve">6.1  Each party agrees to hold the other's Confidential Information in strict confidence and not to disclose it to any third party without the disclosing party's prior written consent, except as required by law or legal process.</w:t>
      </w:r>
    </w:p>
    <w:p>
      <w:pPr>
        <w:spacing w:after="100" w:before="60"/>
      </w:pPr>
      <w:r>
        <w:rPr>
          <w:rFonts w:ascii="Arial" w:cs="Arial" w:eastAsia="Arial" w:hAnsi="Arial"/>
          <w:b w:val="false"/>
          <w:bCs w:val="false"/>
          <w:i w:val="false"/>
          <w:iCs w:val="false"/>
          <w:color w:val="2D2D2D"/>
          <w:sz w:val="22"/>
          <w:szCs w:val="22"/>
        </w:rPr>
        <w:t xml:space="preserve">6.2  Each party agrees to use the other's Confidential Information solely for the purposes of the Engagement.</w:t>
      </w:r>
    </w:p>
    <w:p>
      <w:pPr>
        <w:spacing w:after="100" w:before="60"/>
      </w:pPr>
      <w:r>
        <w:rPr>
          <w:rFonts w:ascii="Arial" w:cs="Arial" w:eastAsia="Arial" w:hAnsi="Arial"/>
          <w:b w:val="false"/>
          <w:bCs w:val="false"/>
          <w:i w:val="false"/>
          <w:iCs w:val="false"/>
          <w:color w:val="2D2D2D"/>
          <w:sz w:val="22"/>
          <w:szCs w:val="22"/>
        </w:rPr>
        <w:t xml:space="preserve">6.3  Confidentiality obligations survive termination of this Agreement indefinitely.</w:t>
      </w:r>
    </w:p>
    <w:p>
      <w:pPr>
        <w:spacing w:after="100" w:before="60"/>
      </w:pPr>
      <w:r>
        <w:rPr>
          <w:rFonts w:ascii="Arial" w:cs="Arial" w:eastAsia="Arial" w:hAnsi="Arial"/>
          <w:b w:val="false"/>
          <w:bCs w:val="false"/>
          <w:i w:val="false"/>
          <w:iCs w:val="false"/>
          <w:color w:val="2D2D2D"/>
          <w:sz w:val="22"/>
          <w:szCs w:val="22"/>
        </w:rPr>
        <w:t xml:space="preserve">6.4  Where the parties have executed a separate Mutual Non-Disclosure Agreement, that agreement governs confidentiality and supplements this Section.</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7. Non-Solicitation</w:t>
      </w:r>
    </w:p>
    <w:p>
      <w:pPr>
        <w:spacing w:after="100" w:before="60"/>
      </w:pPr>
      <w:r>
        <w:rPr>
          <w:rFonts w:ascii="Arial" w:cs="Arial" w:eastAsia="Arial" w:hAnsi="Arial"/>
          <w:b w:val="false"/>
          <w:bCs w:val="false"/>
          <w:i w:val="false"/>
          <w:iCs w:val="false"/>
          <w:color w:val="2D2D2D"/>
          <w:sz w:val="22"/>
          <w:szCs w:val="22"/>
        </w:rPr>
        <w:t xml:space="preserve">During the term of any active Engagement and for twelve (12) months thereafter, Client agrees not to directly solicit, recruit, or hire any employee, contractor, or subcontractor of Consultant who was involved in the Engagement, without Consultant's prior written consent.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8. Representations and Warranties</w:t>
      </w:r>
    </w:p>
    <w:p>
      <w:pPr>
        <w:spacing w:after="100" w:before="60"/>
      </w:pPr>
      <w:r>
        <w:rPr>
          <w:rFonts w:ascii="Arial" w:cs="Arial" w:eastAsia="Arial" w:hAnsi="Arial"/>
          <w:b w:val="false"/>
          <w:bCs w:val="false"/>
          <w:i w:val="false"/>
          <w:iCs w:val="false"/>
          <w:color w:val="2D2D2D"/>
          <w:sz w:val="22"/>
          <w:szCs w:val="22"/>
        </w:rPr>
        <w:t xml:space="preserve">8.1  Each party represents that it has the authority to enter into this Agreement and that doing so does not violate any other agreement to which it is a party.</w:t>
      </w:r>
    </w:p>
    <w:p>
      <w:pPr>
        <w:spacing w:after="100" w:before="60"/>
      </w:pPr>
      <w:r>
        <w:rPr>
          <w:rFonts w:ascii="Arial" w:cs="Arial" w:eastAsia="Arial" w:hAnsi="Arial"/>
          <w:b w:val="false"/>
          <w:bCs w:val="false"/>
          <w:i w:val="false"/>
          <w:iCs w:val="false"/>
          <w:color w:val="2D2D2D"/>
          <w:sz w:val="22"/>
          <w:szCs w:val="22"/>
        </w:rPr>
        <w:t xml:space="preserve">8.2  Consultant represents that the services will be performed in a professional and workmanlike manner consistent with industry standards.</w:t>
      </w:r>
    </w:p>
    <w:p>
      <w:pPr>
        <w:spacing w:after="100" w:before="60"/>
      </w:pPr>
      <w:r>
        <w:rPr>
          <w:rFonts w:ascii="Arial" w:cs="Arial" w:eastAsia="Arial" w:hAnsi="Arial"/>
          <w:b w:val="false"/>
          <w:bCs w:val="false"/>
          <w:i w:val="false"/>
          <w:iCs w:val="false"/>
          <w:color w:val="2D2D2D"/>
          <w:sz w:val="22"/>
          <w:szCs w:val="22"/>
        </w:rPr>
        <w:t xml:space="preserve">8.3  EXCEPT AS EXPRESSLY SET FORTH IN THIS AGREEMENT, CONSULTANT MAKES NO WARRANTIES, EXPRESS OR IMPLIED, INCLUDING WARRANTIES OF MERCHANTABILITY, FITNESS FOR A PARTICULAR PURPOSE, OR GUARANTEED BUSINESS OUTCOMES. STRATEGIC RECOMMENDATIONS ARE BASED ON INFORMATION PROVIDED BY CLIENT AND CONSULTANT'S PROFESSIONAL JUDGMENT; RESULTS ARE NOT GUARANTEED.</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9. Limitation of Liability</w:t>
      </w:r>
    </w:p>
    <w:p>
      <w:pPr>
        <w:spacing w:after="100" w:before="60"/>
      </w:pPr>
      <w:r>
        <w:rPr>
          <w:rFonts w:ascii="Arial" w:cs="Arial" w:eastAsia="Arial" w:hAnsi="Arial"/>
          <w:b w:val="false"/>
          <w:bCs w:val="false"/>
          <w:i w:val="false"/>
          <w:iCs w:val="false"/>
          <w:color w:val="2D2D2D"/>
          <w:sz w:val="22"/>
          <w:szCs w:val="22"/>
        </w:rPr>
        <w:t xml:space="preserve">9.1  IN NO EVENT WILL CONSULTANT BE LIABLE FOR ANY INDIRECT, INCIDENTAL, SPECIAL, CONSEQUENTIAL, OR PUNITIVE DAMAGES, INCLUDING LOST PROFITS OR REVENUE, ARISING OUT OF OR RELATED TO THIS AGREEMENT, EVEN IF ADVISED OF THE POSSIBILITY OF SUCH DAMAGES.</w:t>
      </w:r>
    </w:p>
    <w:p>
      <w:pPr>
        <w:spacing w:after="100" w:before="60"/>
      </w:pPr>
      <w:r>
        <w:rPr>
          <w:rFonts w:ascii="Arial" w:cs="Arial" w:eastAsia="Arial" w:hAnsi="Arial"/>
          <w:b w:val="false"/>
          <w:bCs w:val="false"/>
          <w:i w:val="false"/>
          <w:iCs w:val="false"/>
          <w:color w:val="2D2D2D"/>
          <w:sz w:val="22"/>
          <w:szCs w:val="22"/>
        </w:rPr>
        <w:t xml:space="preserve">9.2  CONSULTANT'S TOTAL CUMULATIVE LIABILITY TO CLIENT FOR ANY CLAIMS ARISING OUT OF OR RELATED TO AN ENGAGEMENT IS LIMITED TO THE TOTAL FEES ACTUALLY PAID BY CLIENT UNDER THAT ENGAGEMENT IN THE THREE (3) MONTHS PRECEDING THE CLAIM.</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10. Indemnification</w:t>
      </w:r>
    </w:p>
    <w:p>
      <w:pPr>
        <w:spacing w:after="100" w:before="60"/>
      </w:pPr>
      <w:r>
        <w:rPr>
          <w:rFonts w:ascii="Arial" w:cs="Arial" w:eastAsia="Arial" w:hAnsi="Arial"/>
          <w:b w:val="false"/>
          <w:bCs w:val="false"/>
          <w:i w:val="false"/>
          <w:iCs w:val="false"/>
          <w:color w:val="2D2D2D"/>
          <w:sz w:val="22"/>
          <w:szCs w:val="22"/>
        </w:rPr>
        <w:t xml:space="preserve">Client agrees to indemnify, defend, and hold harmless Consultant and Consultant's agents from and against any claims, damages, losses, or expenses (including reasonable attorneys' fees) arising from: (a) Client's breach of this Agreement; (b) Client's misuse or modification of any Deliverable; or (c) Client's implementation of recommendations in a manner materially different from what was recommended by Consultant.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11. Termination</w:t>
      </w:r>
    </w:p>
    <w:p>
      <w:pPr>
        <w:spacing w:after="100" w:before="60"/>
      </w:pPr>
      <w:r>
        <w:rPr>
          <w:rFonts w:ascii="Arial" w:cs="Arial" w:eastAsia="Arial" w:hAnsi="Arial"/>
          <w:b w:val="false"/>
          <w:bCs w:val="false"/>
          <w:i w:val="false"/>
          <w:iCs w:val="false"/>
          <w:color w:val="2D2D2D"/>
          <w:sz w:val="22"/>
          <w:szCs w:val="22"/>
        </w:rPr>
        <w:t xml:space="preserve">11.1  Either party may terminate an Engagement by providing written notice of intent to terminate with a minimum of seven (7) business days' notice, subject to the terms of this Section and the applicable Proposal.</w:t>
      </w:r>
    </w:p>
    <w:p>
      <w:pPr>
        <w:spacing w:after="100" w:before="60"/>
      </w:pPr>
      <w:r>
        <w:rPr>
          <w:rFonts w:ascii="Arial" w:cs="Arial" w:eastAsia="Arial" w:hAnsi="Arial"/>
          <w:b w:val="false"/>
          <w:bCs w:val="false"/>
          <w:i w:val="false"/>
          <w:iCs w:val="false"/>
          <w:color w:val="2D2D2D"/>
          <w:sz w:val="22"/>
          <w:szCs w:val="22"/>
        </w:rPr>
        <w:t xml:space="preserve">11.2  Termination requires execution of a Separation Agreement by both parties. The Separation Agreement template will be provided to Client upon receipt of written notice of termination.</w:t>
      </w:r>
    </w:p>
    <w:p>
      <w:pPr>
        <w:spacing w:after="100" w:before="60"/>
      </w:pPr>
      <w:r>
        <w:rPr>
          <w:rFonts w:ascii="Arial" w:cs="Arial" w:eastAsia="Arial" w:hAnsi="Arial"/>
          <w:b w:val="false"/>
          <w:bCs w:val="false"/>
          <w:i w:val="false"/>
          <w:iCs w:val="false"/>
          <w:color w:val="2D2D2D"/>
          <w:sz w:val="22"/>
          <w:szCs w:val="22"/>
        </w:rPr>
        <w:t xml:space="preserve">11.3  Upon termination: (a) the Deposit is retained in full by Consultant; (b) no fees are pro-rated; (c) if Client initiates termination, all previously issued invoices and any outstanding balances become immediately due and payable, and any negotiated net payment terms are void; (d) if Consultant initiates termination, previously issued invoices remain payable per their original terms.</w:t>
      </w:r>
    </w:p>
    <w:p>
      <w:pPr>
        <w:spacing w:after="100" w:before="60"/>
      </w:pPr>
      <w:r>
        <w:rPr>
          <w:rFonts w:ascii="Arial" w:cs="Arial" w:eastAsia="Arial" w:hAnsi="Arial"/>
          <w:b w:val="false"/>
          <w:bCs w:val="false"/>
          <w:i w:val="false"/>
          <w:iCs w:val="false"/>
          <w:color w:val="2D2D2D"/>
          <w:sz w:val="22"/>
          <w:szCs w:val="22"/>
        </w:rPr>
        <w:t xml:space="preserve">11.4  Sections 5, 6, 7, 8, 9, 10, 11, and 12 survive termination of this Agreement.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12. General Provisions</w:t>
      </w:r>
    </w:p>
    <w:p>
      <w:pPr>
        <w:spacing w:after="100" w:before="60"/>
      </w:pPr>
      <w:r>
        <w:rPr>
          <w:rFonts w:ascii="Arial" w:cs="Arial" w:eastAsia="Arial" w:hAnsi="Arial"/>
          <w:b w:val="false"/>
          <w:bCs w:val="false"/>
          <w:i w:val="false"/>
          <w:iCs w:val="false"/>
          <w:color w:val="2D2D2D"/>
          <w:sz w:val="22"/>
          <w:szCs w:val="22"/>
        </w:rPr>
        <w:t xml:space="preserve">12.1  Governing Law. This Agreement is governed by the laws of the State of Utah, without reference to its conflict-of-laws principles.</w:t>
      </w:r>
    </w:p>
    <w:p>
      <w:pPr>
        <w:spacing w:after="100" w:before="60"/>
      </w:pPr>
      <w:r>
        <w:rPr>
          <w:rFonts w:ascii="Arial" w:cs="Arial" w:eastAsia="Arial" w:hAnsi="Arial"/>
          <w:b w:val="false"/>
          <w:bCs w:val="false"/>
          <w:i w:val="false"/>
          <w:iCs w:val="false"/>
          <w:color w:val="2D2D2D"/>
          <w:sz w:val="22"/>
          <w:szCs w:val="22"/>
        </w:rPr>
        <w:t xml:space="preserve">12.2  Dispute Resolution. Any dispute arising from this Agreement will be resolved first by good-faith negotiation between the parties. If negotiation does not resolve the dispute within thirty (30) days, the parties agree to non-binding mediation in Salt Lake County, Utah before initiating any litigation. The prevailing party in any legal action is entitled to recover reasonable attorneys' fees and costs.</w:t>
      </w:r>
    </w:p>
    <w:p>
      <w:pPr>
        <w:spacing w:after="100" w:before="60"/>
      </w:pPr>
      <w:r>
        <w:rPr>
          <w:rFonts w:ascii="Arial" w:cs="Arial" w:eastAsia="Arial" w:hAnsi="Arial"/>
          <w:b w:val="false"/>
          <w:bCs w:val="false"/>
          <w:i w:val="false"/>
          <w:iCs w:val="false"/>
          <w:color w:val="2D2D2D"/>
          <w:sz w:val="22"/>
          <w:szCs w:val="22"/>
        </w:rPr>
        <w:t xml:space="preserve">12.3  Entire Agreement. This Agreement, together with all executed Proposals and SOWs and any executed Mutual NDA, constitutes the entire agreement between the parties regarding consulting services and supersedes all prior discussions, representations, and agreements on that subject.</w:t>
      </w:r>
    </w:p>
    <w:p>
      <w:pPr>
        <w:spacing w:after="100" w:before="60"/>
      </w:pPr>
      <w:r>
        <w:rPr>
          <w:rFonts w:ascii="Arial" w:cs="Arial" w:eastAsia="Arial" w:hAnsi="Arial"/>
          <w:b w:val="false"/>
          <w:bCs w:val="false"/>
          <w:i w:val="false"/>
          <w:iCs w:val="false"/>
          <w:color w:val="2D2D2D"/>
          <w:sz w:val="22"/>
          <w:szCs w:val="22"/>
        </w:rPr>
        <w:t xml:space="preserve">12.4  Amendment. This Agreement may be amended only by a written instrument signed by both parties.</w:t>
      </w:r>
    </w:p>
    <w:p>
      <w:pPr>
        <w:spacing w:after="100" w:before="60"/>
      </w:pPr>
      <w:r>
        <w:rPr>
          <w:rFonts w:ascii="Arial" w:cs="Arial" w:eastAsia="Arial" w:hAnsi="Arial"/>
          <w:b w:val="false"/>
          <w:bCs w:val="false"/>
          <w:i w:val="false"/>
          <w:iCs w:val="false"/>
          <w:color w:val="2D2D2D"/>
          <w:sz w:val="22"/>
          <w:szCs w:val="22"/>
        </w:rPr>
        <w:t xml:space="preserve">12.5  Waiver. Failure by either party to enforce any provision of this Agreement does not constitute a waiver of that provision or any other provision.</w:t>
      </w:r>
    </w:p>
    <w:p>
      <w:pPr>
        <w:spacing w:after="100" w:before="60"/>
      </w:pPr>
      <w:r>
        <w:rPr>
          <w:rFonts w:ascii="Arial" w:cs="Arial" w:eastAsia="Arial" w:hAnsi="Arial"/>
          <w:b w:val="false"/>
          <w:bCs w:val="false"/>
          <w:i w:val="false"/>
          <w:iCs w:val="false"/>
          <w:color w:val="2D2D2D"/>
          <w:sz w:val="22"/>
          <w:szCs w:val="22"/>
        </w:rPr>
        <w:t xml:space="preserve">12.6  Severability. If any provision of this Agreement is found unenforceable, it will be modified to the minimum extent necessary to make it enforceable, and the remaining provisions will continue in full force.</w:t>
      </w:r>
    </w:p>
    <w:p>
      <w:pPr>
        <w:spacing w:after="100" w:before="60"/>
      </w:pPr>
      <w:r>
        <w:rPr>
          <w:rFonts w:ascii="Arial" w:cs="Arial" w:eastAsia="Arial" w:hAnsi="Arial"/>
          <w:b w:val="false"/>
          <w:bCs w:val="false"/>
          <w:i w:val="false"/>
          <w:iCs w:val="false"/>
          <w:color w:val="2D2D2D"/>
          <w:sz w:val="22"/>
          <w:szCs w:val="22"/>
        </w:rPr>
        <w:t xml:space="preserve">12.7  Electronic Signatures. Signatures delivered electronically, including by PDF or through any standard electronic-signature platform, are deemed original for all purposes.</w:t>
      </w:r>
    </w:p>
    <w:p>
      <w:pPr>
        <w:spacing w:after="100" w:before="60"/>
      </w:pPr>
      <w:r>
        <w:rPr>
          <w:rFonts w:ascii="Arial" w:cs="Arial" w:eastAsia="Arial" w:hAnsi="Arial"/>
          <w:b w:val="false"/>
          <w:bCs w:val="false"/>
          <w:i w:val="false"/>
          <w:iCs w:val="false"/>
          <w:color w:val="2D2D2D"/>
          <w:sz w:val="22"/>
          <w:szCs w:val="22"/>
        </w:rPr>
        <w:t xml:space="preserve">12.8  Counterparts. This Agreement may be executed in counterparts, each of which is an original and all of which together constitute one instrument.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Signatures</w:t>
      </w:r>
    </w:p>
    <w:p>
      <w:pPr>
        <w:spacing w:after="100" w:before="60"/>
      </w:pPr>
      <w:r>
        <w:rPr>
          <w:rFonts w:ascii="Arial" w:cs="Arial" w:eastAsia="Arial" w:hAnsi="Arial"/>
          <w:b w:val="false"/>
          <w:bCs w:val="false"/>
          <w:i w:val="false"/>
          <w:iCs w:val="false"/>
          <w:color w:val="2D2D2D"/>
          <w:sz w:val="22"/>
          <w:szCs w:val="22"/>
        </w:rPr>
        <w:t xml:space="preserve">Each party acknowledges that it has read this Agreement, has had the opportunity to consult with legal counsel, and executes it voluntarily.</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OPPORTUNITY DESIGNED</w:t>
            </w:r>
          </w:p>
        </w:tc>
        <w:tc>
          <w:tcPr>
            <w:tcW w:type="dxa" w:w="486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4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Signature: _______________________</w:t>
            </w:r>
          </w:p>
        </w:tc>
        <w:tc>
          <w:tcPr>
            <w:tcW w:type="dxa" w:w="4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Signature: _______________________</w:t>
            </w:r>
          </w:p>
        </w:tc>
      </w:tr>
      <w:tr>
        <w:tc>
          <w:tcPr>
            <w:tcW w:type="dxa" w:w="45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Addie Morrow</w:t>
            </w:r>
          </w:p>
        </w:tc>
        <w:tc>
          <w:tcPr>
            <w:tcW w:type="dxa" w:w="486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Printed Name: ___________________</w:t>
            </w:r>
          </w:p>
        </w:tc>
      </w:tr>
      <w:tr>
        <w:tc>
          <w:tcPr>
            <w:tcW w:type="dxa" w:w="4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Founder, Opportunity Designed</w:t>
            </w:r>
          </w:p>
        </w:tc>
        <w:tc>
          <w:tcPr>
            <w:tcW w:type="dxa" w:w="4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Title: __________________________</w:t>
            </w:r>
          </w:p>
        </w:tc>
      </w:tr>
      <w:tr>
        <w:tc>
          <w:tcPr>
            <w:tcW w:type="dxa" w:w="45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Date: ___________________________</w:t>
            </w:r>
          </w:p>
        </w:tc>
        <w:tc>
          <w:tcPr>
            <w:tcW w:type="dxa" w:w="486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Date: ___________________________</w:t>
            </w:r>
          </w:p>
        </w:tc>
      </w:tr>
    </w:tbl>
    <w:p>
      <w:pPr>
        <w:spacing w:after="80" w:before="0"/>
      </w:pPr>
      <w:r>
        <w:rPr>
          <w:rFonts w:ascii="Arial" w:cs="Arial" w:eastAsia="Arial" w:hAnsi="Arial"/>
          <w:sz w:val="20"/>
          <w:szCs w:val="20"/>
        </w:rPr>
        <w:t xml:space="preserve"/>
      </w:r>
    </w:p>
    <w:p>
      <w:pPr>
        <w:spacing w:after="100" w:before="60"/>
      </w:pPr>
      <w:r>
        <w:rPr>
          <w:rFonts w:ascii="Arial" w:cs="Arial" w:eastAsia="Arial" w:hAnsi="Arial"/>
          <w:b w:val="false"/>
          <w:bCs w:val="false"/>
          <w:i/>
          <w:iCs/>
          <w:color w:val="777777"/>
          <w:sz w:val="22"/>
          <w:szCs w:val="22"/>
        </w:rPr>
        <w:t xml:space="preserve">Template form. Review with legal counsel before first use.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OPPORTUNITY DESIGNED  |  Opportunity. Designed.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2026-06-02T03:35:55.572Z</dcterms:created>
  <dcterms:modified xsi:type="dcterms:W3CDTF">2026-06-02T03:35:55.573Z</dcterms:modified>
</cp:coreProperties>
</file>

<file path=docProps/custom.xml><?xml version="1.0" encoding="utf-8"?>
<Properties xmlns="http://schemas.openxmlformats.org/officeDocument/2006/custom-properties" xmlns:vt="http://schemas.openxmlformats.org/officeDocument/2006/docPropsVTypes"/>
</file>