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 w:val="0"/>
        <w:spacing w:before="0" w:after="100" w:line="240" w:lineRule="auto"/>
      </w:pPr>
      <w:r>
        <w:rPr>
          <w:rFonts w:ascii="Aptos" w:hAnsi="Aptos"/>
          <w:b/>
          <w:i w:val="0"/>
          <w:color w:val="C59A55"/>
          <w:sz w:val="19"/>
        </w:rPr>
        <w:t>CLIENT COMMUNICATION TEMPLATE</w:t>
      </w:r>
    </w:p>
    <w:p>
      <w:pPr>
        <w:keepLines/>
        <w:spacing w:before="0" w:after="80" w:line="240" w:lineRule="auto"/>
      </w:pPr>
      <w:r>
        <w:rPr>
          <w:rFonts w:ascii="Aptos" w:hAnsi="Aptos"/>
          <w:b/>
          <w:i w:val="0"/>
          <w:color w:val="17324D"/>
          <w:sz w:val="48"/>
        </w:rPr>
        <w:t>Diagnostic Fee Credit Language</w:t>
      </w:r>
    </w:p>
    <w:p>
      <w:pPr>
        <w:keepLines/>
        <w:spacing w:before="0" w:after="240" w:line="264" w:lineRule="auto"/>
      </w:pPr>
      <w:r>
        <w:rPr>
          <w:rFonts w:ascii="Aptos" w:hAnsi="Aptos"/>
          <w:b w:val="0"/>
          <w:i w:val="0"/>
          <w:color w:val="687681"/>
          <w:sz w:val="23"/>
        </w:rPr>
        <w:t>Copy-ready wording for consultations and follow-up emails</w:t>
      </w:r>
    </w:p>
    <w:p>
      <w:pPr>
        <w:keepLines w:val="0"/>
        <w:spacing w:before="0" w:after="180" w:line="240" w:lineRule="auto"/>
        <w:pBdr>
          <w:bottom w:val="single" w:sz="10" w:space="1" w:color="C59A55"/>
        </w:pBdr>
      </w:pPr>
    </w:p>
    <w:p>
      <w:pPr>
        <w:keepLines w:val="0"/>
        <w:spacing w:before="0" w:after="80" w:line="276" w:lineRule="auto"/>
      </w:pPr>
      <w:r>
        <w:rPr>
          <w:rFonts w:ascii="Aptos" w:hAnsi="Aptos"/>
          <w:b/>
          <w:i w:val="0"/>
          <w:color w:val="17324D"/>
          <w:sz w:val="21"/>
        </w:rPr>
        <w:t xml:space="preserve">Purpose: </w:t>
      </w:r>
      <w:r>
        <w:rPr>
          <w:rFonts w:ascii="Aptos" w:hAnsi="Aptos"/>
          <w:b w:val="0"/>
          <w:i w:val="0"/>
          <w:color w:val="25313B"/>
          <w:sz w:val="21"/>
        </w:rPr>
        <w:t>Explain the possible invoice credit clearly while preserving the project deposit terms and written-approval requirement.</w:t>
      </w:r>
    </w:p>
    <w:p>
      <w:pPr>
        <w:keepLines/>
        <w:spacing w:before="240" w:after="40" w:line="240" w:lineRule="auto"/>
      </w:pPr>
      <w:r>
        <w:rPr>
          <w:rFonts w:ascii="Aptos" w:hAnsi="Aptos"/>
          <w:b/>
          <w:i w:val="0"/>
          <w:color w:val="315B78"/>
          <w:sz w:val="20"/>
        </w:rPr>
        <w:t>CONSULTATION SCRIPT</w:t>
      </w:r>
    </w:p>
    <w:p>
      <w:pPr>
        <w:keepLines/>
        <w:spacing w:before="0" w:after="120" w:line="240" w:lineRule="auto"/>
      </w:pPr>
      <w:r>
        <w:rPr>
          <w:rFonts w:ascii="Aptos" w:hAnsi="Aptos"/>
          <w:b w:val="0"/>
          <w:i/>
          <w:color w:val="687681"/>
          <w:sz w:val="19"/>
        </w:rPr>
        <w:t>Use verbally when explaining the diagnostic-to-project pathway.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vAlign w:val="center"/>
            <w:shd w:fill="F2F6F8"/>
            <w:tcMar>
              <w:top w:w="210" w:type="dxa"/>
              <w:start w:w="260" w:type="dxa"/>
              <w:bottom w:w="210" w:type="dxa"/>
              <w:end w:w="260" w:type="dxa"/>
            </w:tcMar>
          </w:tcPr>
          <w:p>
            <w:pPr>
              <w:keepLines/>
              <w:spacing w:before="0" w:after="0" w:line="293" w:lineRule="auto"/>
            </w:pPr>
            <w:r>
              <w:rPr>
                <w:rFonts w:ascii="Aptos" w:hAnsi="Aptos"/>
                <w:b w:val="0"/>
                <w:i w:val="0"/>
                <w:color w:val="25313B"/>
                <w:sz w:val="22"/>
              </w:rPr>
              <w:t>“If this diagnostic leads us into a larger engagement, I sometimes offer the $450 as an invoice credit on qualifying projects of $5,000 or more. The project deposit would still be due in full. The credit would be applied to a later invoice after the deposit is paid. It isn’t a refund or cash-back payment, and any credit would be confirmed in the written proposal.”</w:t>
            </w:r>
          </w:p>
        </w:tc>
      </w:tr>
    </w:tbl>
    <w:p>
      <w:pPr>
        <w:keepLines/>
        <w:spacing w:before="240" w:after="40" w:line="240" w:lineRule="auto"/>
      </w:pPr>
      <w:r>
        <w:rPr>
          <w:rFonts w:ascii="Aptos" w:hAnsi="Aptos"/>
          <w:b/>
          <w:i w:val="0"/>
          <w:color w:val="315B78"/>
          <w:sz w:val="20"/>
        </w:rPr>
        <w:t>EMAIL VERSION</w:t>
      </w:r>
    </w:p>
    <w:p>
      <w:pPr>
        <w:keepLines/>
        <w:spacing w:before="0" w:after="120" w:line="240" w:lineRule="auto"/>
      </w:pPr>
      <w:r>
        <w:rPr>
          <w:rFonts w:ascii="Aptos" w:hAnsi="Aptos"/>
          <w:b w:val="0"/>
          <w:i/>
          <w:color w:val="687681"/>
          <w:sz w:val="19"/>
        </w:rPr>
        <w:t>Paste into a follow-up email, proposal-prep message, or diagnostic recap.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vAlign w:val="center"/>
            <w:shd w:fill="FBF7EF"/>
            <w:tcMar>
              <w:top w:w="210" w:type="dxa"/>
              <w:start w:w="260" w:type="dxa"/>
              <w:bottom w:w="210" w:type="dxa"/>
              <w:end w:w="260" w:type="dxa"/>
            </w:tcMar>
          </w:tcPr>
          <w:p>
            <w:pPr>
              <w:keepLines/>
              <w:spacing w:before="0" w:after="0" w:line="293" w:lineRule="auto"/>
            </w:pPr>
            <w:r>
              <w:rPr>
                <w:rFonts w:ascii="Aptos" w:hAnsi="Aptos"/>
                <w:b w:val="0"/>
                <w:i w:val="0"/>
                <w:color w:val="25313B"/>
                <w:sz w:val="22"/>
              </w:rPr>
              <w:t>One additional note: if the diagnostic leads to a larger Opportunity Designed engagement of $5,000 or more, the $450 diagnostic fee may be eligible for an invoice credit. The project deposit would remain due in full, with any approved credit applied to a later project invoice. This is not a refund or cash-back offer. Any credit and its application would be confirmed in the project proposal.</w:t>
            </w:r>
          </w:p>
        </w:tc>
      </w:tr>
    </w:tbl>
    <w:p>
      <w:pPr>
        <w:keepLines/>
        <w:spacing w:before="240" w:after="0" w:line="276" w:lineRule="auto"/>
      </w:pPr>
      <w:r>
        <w:rPr>
          <w:rFonts w:ascii="Aptos" w:hAnsi="Aptos"/>
          <w:b/>
          <w:i w:val="0"/>
          <w:color w:val="17324D"/>
          <w:sz w:val="19"/>
        </w:rPr>
        <w:t xml:space="preserve">Internal reminder: </w:t>
      </w:r>
      <w:r>
        <w:rPr>
          <w:rFonts w:ascii="Aptos" w:hAnsi="Aptos"/>
          <w:b w:val="0"/>
          <w:i w:val="0"/>
          <w:color w:val="687681"/>
          <w:sz w:val="19"/>
        </w:rPr>
        <w:t>Confirm eligibility and the invoice where the credit will be applied in the written project proposal.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440" w:bottom="1037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 w:val="0"/>
      <w:spacing w:before="0" w:after="0" w:line="240" w:lineRule="auto"/>
      <w:jc w:val="center"/>
    </w:pPr>
    <w:r>
      <w:rPr>
        <w:rFonts w:ascii="Aptos" w:hAnsi="Aptos"/>
        <w:b w:val="0"/>
        <w:i w:val="0"/>
        <w:color w:val="687681"/>
        <w:sz w:val="17"/>
      </w:rPr>
      <w:t>Client communication template  •  Editable reference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 w:val="0"/>
      <w:spacing w:before="0" w:after="0" w:line="240" w:lineRule="auto"/>
      <w:jc w:val="right"/>
    </w:pPr>
    <w:r>
      <w:rPr>
        <w:rFonts w:ascii="Aptos" w:hAnsi="Aptos"/>
        <w:b/>
        <w:i w:val="0"/>
        <w:color w:val="315B78"/>
        <w:sz w:val="18"/>
      </w:rPr>
      <w:t>OPPORTUNITY DESIGNED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color w:val="2531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Opportunity Designed - Diagnostic Fee Credit Language</dc:title>
  <dc:subject>Consultation and email script template</dc:subject>
  <dc:creator>Opportunity Designed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